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BBM-STD-01 · Office BIM Manual · V0.7</w:t>
      </w:r>
    </w:p>
    <w:p>
      <w:pPr/>
      <w:r>
        <w:t xml:space="preserve">Linked copies: ID STD-01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Status: review draft | Revised: 2026-11-05 | Custody: private office standard | Source: V0.6</w:t>
      </w:r>
    </w:p>
    <w:p>
      <w:pPr/>
      <w:r>
        <w:t>Revision control: V0.7 applies standard watch no. 1 (DM circular 11-9-1 of 2026, COBie V3.0 status). V0.6 sets the warnings gate (§9.2) and points the container tokens to BBM-STD-93 §2.2. V0.5 applies the QMS patch res-033 (§9 links to BBM-STD-96–98). V0.4 closes audit res-026 rows G014–G046 (see revision history). V0.3 added Annex W2 S1–S6 with separate Security and HSI forms. Retained V0.2 procedures, especially 9.4, remain the core; historical revision references are retained. No actual permission, incident, safety approval or receiver acknowledgment is created.</w:t>
      </w:r>
    </w:p>
    <w:p>
      <w:pPr>
        <w:pStyle w:val="Heading1"/>
      </w:pPr>
      <w:r>
        <w:t>1 INTRODUCTION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87"/>
        <w:gridCol w:w="1033"/>
        <w:gridCol w:w="6928"/>
        <w:gridCol w:w="2018"/>
      </w:tblGrid>
      <w:tr>
        <w:trPr>
          <w:cantSplit/>
          <w:tblHeader/>
        </w:trPr>
        <w:tc>
          <w:tcPr>
            <w:tcW w:type="dxa" w:w="487"/>
            <w:shd w:val="clear" w:color="auto" w:fill="111113"/>
          </w:tcPr>
          <w:p>
            <w:r>
              <w:rPr>
                <w:b/>
                <w:color w:val="FFFFFF"/>
                <w:sz w:val="17"/>
              </w:rPr>
            </w:r>
            <w:r>
              <w:rPr>
                <w:b/>
                <w:color w:val="FFFFFF"/>
                <w:sz w:val="17"/>
              </w:rPr>
              <w:t>REV</w:t>
            </w:r>
          </w:p>
        </w:tc>
        <w:tc>
          <w:tcPr>
            <w:tcW w:type="dxa" w:w="1033"/>
            <w:shd w:val="clear" w:color="auto" w:fill="111113"/>
          </w:tcPr>
          <w:p>
            <w:r>
              <w:rPr>
                <w:b/>
                <w:color w:val="FFFFFF"/>
                <w:sz w:val="17"/>
              </w:rPr>
            </w:r>
            <w:r>
              <w:rPr>
                <w:b/>
                <w:color w:val="FFFFFF"/>
                <w:sz w:val="17"/>
              </w:rPr>
              <w:t>DATE</w:t>
            </w:r>
          </w:p>
        </w:tc>
        <w:tc>
          <w:tcPr>
            <w:tcW w:type="dxa" w:w="6928"/>
            <w:shd w:val="clear" w:color="auto" w:fill="111113"/>
          </w:tcPr>
          <w:p>
            <w:r>
              <w:rPr>
                <w:b/>
                <w:color w:val="FFFFFF"/>
                <w:sz w:val="17"/>
              </w:rPr>
            </w:r>
            <w:r>
              <w:rPr>
                <w:b/>
                <w:color w:val="FFFFFF"/>
                <w:sz w:val="17"/>
              </w:rPr>
              <w:t>DESCRIPTION</w:t>
            </w:r>
          </w:p>
        </w:tc>
        <w:tc>
          <w:tcPr>
            <w:tcW w:type="dxa" w:w="2018"/>
            <w:shd w:val="clear" w:color="auto" w:fill="111113"/>
          </w:tcPr>
          <w:p>
            <w:r>
              <w:rPr>
                <w:b/>
                <w:color w:val="FFFFFF"/>
                <w:sz w:val="17"/>
              </w:rPr>
            </w:r>
            <w:r>
              <w:rPr>
                <w:b/>
                <w:color w:val="FFFFFF"/>
                <w:sz w:val="17"/>
              </w:rPr>
              <w:t>ORIGINATED</w:t>
            </w:r>
          </w:p>
        </w:tc>
      </w:tr>
      <w:tr>
        <w:trPr>
          <w:cantSplit/>
        </w:trPr>
        <w:tc>
          <w:tcPr>
            <w:tcW w:type="dxa" w:w="487"/>
          </w:tcPr>
          <w:p>
            <w:r>
              <w:rPr>
                <w:sz w:val="17"/>
              </w:rPr>
            </w:r>
            <w:r>
              <w:rPr>
                <w:sz w:val="17"/>
              </w:rPr>
              <w:t>V0.7</w:t>
            </w:r>
          </w:p>
        </w:tc>
        <w:tc>
          <w:tcPr>
            <w:tcW w:type="dxa" w:w="1033"/>
          </w:tcPr>
          <w:p>
            <w:r>
              <w:rPr>
                <w:sz w:val="17"/>
              </w:rPr>
            </w:r>
            <w:r>
              <w:rPr>
                <w:sz w:val="17"/>
              </w:rPr>
              <w:t>2026-11-05</w:t>
            </w:r>
          </w:p>
        </w:tc>
        <w:tc>
          <w:tcPr>
            <w:tcW w:type="dxa" w:w="6928"/>
          </w:tcPr>
          <w:p>
            <w:r>
              <w:rPr>
                <w:sz w:val="17"/>
              </w:rPr>
            </w:r>
            <w:r>
              <w:rPr>
                <w:sz w:val="17"/>
              </w:rPr>
              <w:t>Standard watch no. 1 (RES-017): §2.6 and §12.5 cite DM circular 11-9-1 of 2026 (Building Quality and Safety Certificate) with Dubai Law No. 3 of 2026 and point to the assessment procedure in BBM-STD-75 §7 (</w:t>
            </w:r>
            <w:r>
              <w:rPr>
                <w:color w:val="9A7B45"/>
                <w:sz w:val="17"/>
                <w:u w:val="single"/>
              </w:rPr>
              <w:t>O-DEC-185</w:t>
            </w:r>
            <w:r>
              <w:rPr>
                <w:sz w:val="17"/>
              </w:rPr>
              <w:t>); S15 COBie V3.0 published 2023</w:t>
            </w:r>
          </w:p>
        </w:tc>
        <w:tc>
          <w:tcPr>
            <w:tcW w:type="dxa" w:w="2018"/>
          </w:tcPr>
          <w:p>
            <w:r>
              <w:rPr>
                <w:sz w:val="17"/>
              </w:rPr>
            </w:r>
            <w:r>
              <w:rPr>
                <w:sz w:val="17"/>
              </w:rPr>
              <w:t>Private review draft; actual approval pending</w:t>
            </w:r>
          </w:p>
        </w:tc>
      </w:tr>
      <w:tr>
        <w:trPr>
          <w:cantSplit/>
        </w:trPr>
        <w:tc>
          <w:tcPr>
            <w:tcW w:type="dxa" w:w="487"/>
          </w:tcPr>
          <w:p>
            <w:r>
              <w:rPr>
                <w:sz w:val="17"/>
              </w:rPr>
            </w:r>
            <w:r>
              <w:rPr>
                <w:sz w:val="17"/>
              </w:rPr>
              <w:t>V0.6</w:t>
            </w:r>
          </w:p>
        </w:tc>
        <w:tc>
          <w:tcPr>
            <w:tcW w:type="dxa" w:w="1033"/>
          </w:tcPr>
          <w:p>
            <w:r>
              <w:rPr>
                <w:sz w:val="17"/>
              </w:rPr>
            </w:r>
            <w:r>
              <w:rPr>
                <w:sz w:val="17"/>
              </w:rPr>
              <w:t>2026-11-05</w:t>
            </w:r>
          </w:p>
        </w:tc>
        <w:tc>
          <w:tcPr>
            <w:tcW w:type="dxa" w:w="6928"/>
          </w:tcPr>
          <w:p>
            <w:r>
              <w:rPr>
                <w:sz w:val="17"/>
              </w:rPr>
            </w:r>
            <w:r>
              <w:rPr>
                <w:sz w:val="17"/>
              </w:rPr>
              <w:t>§9.2 warnings gate: 0 blocking warnings at share, others ≤ 100 per 10,000 elements (</w:t>
            </w:r>
            <w:r>
              <w:rPr>
                <w:color w:val="9A7B45"/>
                <w:sz w:val="17"/>
                <w:u w:val="single"/>
              </w:rPr>
              <w:t>O-DEC-164</w:t>
            </w:r>
            <w:r>
              <w:rPr>
                <w:sz w:val="17"/>
              </w:rPr>
              <w:t>); §12.3 container token values from BBM-STD-93 §2.2 (</w:t>
            </w:r>
            <w:r>
              <w:rPr>
                <w:color w:val="9A7B45"/>
                <w:sz w:val="17"/>
                <w:u w:val="single"/>
              </w:rPr>
              <w:t>O-DEC-162</w:t>
            </w:r>
            <w:r>
              <w:rPr>
                <w:sz w:val="17"/>
              </w:rPr>
              <w:t>)</w:t>
            </w:r>
          </w:p>
        </w:tc>
        <w:tc>
          <w:tcPr>
            <w:tcW w:type="dxa" w:w="2018"/>
          </w:tcPr>
          <w:p>
            <w:r>
              <w:rPr>
                <w:sz w:val="17"/>
              </w:rPr>
            </w:r>
            <w:r>
              <w:rPr>
                <w:sz w:val="17"/>
              </w:rPr>
              <w:t>Private review draft; actual approval pending</w:t>
            </w:r>
          </w:p>
        </w:tc>
      </w:tr>
      <w:tr>
        <w:trPr>
          <w:cantSplit/>
        </w:trPr>
        <w:tc>
          <w:tcPr>
            <w:tcW w:type="dxa" w:w="487"/>
          </w:tcPr>
          <w:p>
            <w:r>
              <w:rPr>
                <w:sz w:val="17"/>
              </w:rPr>
            </w:r>
            <w:r>
              <w:rPr>
                <w:sz w:val="17"/>
              </w:rPr>
              <w:t>V0.5</w:t>
            </w:r>
          </w:p>
        </w:tc>
        <w:tc>
          <w:tcPr>
            <w:tcW w:type="dxa" w:w="1033"/>
          </w:tcPr>
          <w:p>
            <w:r>
              <w:rPr>
                <w:sz w:val="17"/>
              </w:rPr>
            </w:r>
            <w:r>
              <w:rPr>
                <w:sz w:val="17"/>
              </w:rPr>
              <w:t>2026-11-04</w:t>
            </w:r>
          </w:p>
        </w:tc>
        <w:tc>
          <w:tcPr>
            <w:tcW w:type="dxa" w:w="6928"/>
          </w:tcPr>
          <w:p>
            <w:r>
              <w:rPr>
                <w:sz w:val="17"/>
              </w:rPr>
            </w:r>
            <w:r>
              <w:rPr>
                <w:sz w:val="17"/>
              </w:rPr>
              <w:t>QMS patch res-033 (BBM-STD-96..98 links): §9.1 purpose, practice-director role (</w:t>
            </w:r>
            <w:r>
              <w:rPr>
                <w:color w:val="9A7B45"/>
                <w:sz w:val="17"/>
                <w:u w:val="single"/>
              </w:rPr>
              <w:t>O-DEC-150</w:t>
            </w:r>
            <w:r>
              <w:rPr>
                <w:sz w:val="17"/>
              </w:rPr>
              <w:t>), office checklists in 07-QA-QC, QMS procedure links (§9.1.1); §9.3 one office NC log</w:t>
            </w:r>
          </w:p>
        </w:tc>
        <w:tc>
          <w:tcPr>
            <w:tcW w:type="dxa" w:w="2018"/>
          </w:tcPr>
          <w:p>
            <w:r>
              <w:rPr>
                <w:sz w:val="17"/>
              </w:rPr>
            </w:r>
            <w:r>
              <w:rPr>
                <w:sz w:val="17"/>
              </w:rPr>
              <w:t>Private review draft; actual approval pending</w:t>
            </w:r>
          </w:p>
        </w:tc>
      </w:tr>
      <w:tr>
        <w:trPr/>
        <w:tc>
          <w:tcPr>
            <w:tcW w:type="dxa" w:w="487"/>
          </w:tcPr>
          <w:p>
            <w:r>
              <w:rPr>
                <w:sz w:val="17"/>
              </w:rPr>
            </w:r>
            <w:r>
              <w:rPr>
                <w:sz w:val="17"/>
              </w:rPr>
              <w:t>V0.4</w:t>
            </w:r>
          </w:p>
        </w:tc>
        <w:tc>
          <w:tcPr>
            <w:tcW w:type="dxa" w:w="1033"/>
          </w:tcPr>
          <w:p>
            <w:r>
              <w:rPr>
                <w:sz w:val="17"/>
              </w:rPr>
            </w:r>
            <w:r>
              <w:rPr>
                <w:sz w:val="17"/>
              </w:rPr>
              <w:t>2026-11-04</w:t>
            </w:r>
          </w:p>
        </w:tc>
        <w:tc>
          <w:tcPr>
            <w:tcW w:type="dxa" w:w="6928"/>
          </w:tcPr>
          <w:p>
            <w:r>
              <w:rPr>
                <w:sz w:val="17"/>
              </w:rPr>
            </w:r>
            <w:r>
              <w:rPr>
                <w:sz w:val="17"/>
              </w:rPr>
              <w:t>Audit res-026 closure G014–G046: authority BIM submissions (11.4) and local regulatory basis (2.6); CRS by EPSG code; 8-token file names everywhere (O-DEC-102); per-container revisions (O-DEC-113); Asset_ID, Classification_Code, Fire_Rating (O-DEC-116/​119/​121); code pointers to BBM-STD-93 (O-DEC-103); 2.5 mm text (O-DEC-118); software release policy (11.3.1, O-DEC-120); COBie per EIR (O-DEC-114); IMI Framework naming; links to BBM-STD-11 and current set versions; Notion artefacts removed; + cross-doc pointer pass (BBM-STD-86 CRS keys, 87 triage labels, 89 IDS sequence, 90 §3/​§4, 91, 93 folder numbers and suitability states, 66 v2.0 assets, 67 title-block superset) + template alignment (O-DEC-142..148) + folder names without dots (O-DEC-149)</w:t>
            </w:r>
          </w:p>
        </w:tc>
        <w:tc>
          <w:tcPr>
            <w:tcW w:type="dxa" w:w="2018"/>
          </w:tcPr>
          <w:p>
            <w:r>
              <w:rPr>
                <w:sz w:val="17"/>
              </w:rPr>
            </w:r>
            <w:r>
              <w:rPr>
                <w:sz w:val="17"/>
              </w:rPr>
              <w:t>Private review draft; actual approval pending</w:t>
            </w:r>
          </w:p>
        </w:tc>
      </w:tr>
      <w:tr>
        <w:trPr>
          <w:cantSplit/>
        </w:trPr>
        <w:tc>
          <w:tcPr>
            <w:tcW w:type="dxa" w:w="487"/>
          </w:tcPr>
          <w:p>
            <w:r>
              <w:rPr>
                <w:sz w:val="17"/>
              </w:rPr>
            </w:r>
            <w:r>
              <w:rPr>
                <w:sz w:val="17"/>
              </w:rPr>
              <w:t>V0.3</w:t>
            </w:r>
          </w:p>
        </w:tc>
        <w:tc>
          <w:tcPr>
            <w:tcW w:type="dxa" w:w="1033"/>
          </w:tcPr>
          <w:p>
            <w:r>
              <w:rPr>
                <w:sz w:val="17"/>
              </w:rPr>
            </w:r>
            <w:r>
              <w:rPr>
                <w:sz w:val="17"/>
              </w:rPr>
              <w:t>2026-10-16</w:t>
            </w:r>
          </w:p>
        </w:tc>
        <w:tc>
          <w:tcPr>
            <w:tcW w:type="dxa" w:w="6928"/>
          </w:tcPr>
          <w:p>
            <w:r>
              <w:rPr>
                <w:sz w:val="17"/>
              </w:rPr>
            </w:r>
            <w:r>
              <w:rPr>
                <w:sz w:val="17"/>
              </w:rPr>
              <w:t>W2 security and safety record annexes; retained V0.2 procedures</w:t>
            </w:r>
          </w:p>
        </w:tc>
        <w:tc>
          <w:tcPr>
            <w:tcW w:type="dxa" w:w="2018"/>
          </w:tcPr>
          <w:p>
            <w:r>
              <w:rPr>
                <w:sz w:val="17"/>
              </w:rPr>
            </w:r>
            <w:r>
              <w:rPr>
                <w:sz w:val="17"/>
              </w:rPr>
              <w:t>Private review draft; actual approval pending</w:t>
            </w:r>
          </w:p>
        </w:tc>
      </w:tr>
      <w:tr>
        <w:trPr>
          <w:cantSplit/>
        </w:trPr>
        <w:tc>
          <w:tcPr>
            <w:tcW w:type="dxa" w:w="487"/>
          </w:tcPr>
          <w:p>
            <w:r>
              <w:rPr>
                <w:sz w:val="17"/>
              </w:rPr>
            </w:r>
            <w:r>
              <w:rPr>
                <w:sz w:val="17"/>
              </w:rPr>
              <w:t>V0.2</w:t>
            </w:r>
          </w:p>
        </w:tc>
        <w:tc>
          <w:tcPr>
            <w:tcW w:type="dxa" w:w="1033"/>
          </w:tcPr>
          <w:p>
            <w:r>
              <w:rPr>
                <w:sz w:val="17"/>
              </w:rPr>
            </w:r>
            <w:r>
              <w:rPr>
                <w:sz w:val="17"/>
              </w:rPr>
              <w:t>2026-10-14</w:t>
            </w:r>
          </w:p>
        </w:tc>
        <w:tc>
          <w:tcPr>
            <w:tcW w:type="dxa" w:w="6928"/>
          </w:tcPr>
          <w:p>
            <w:r>
              <w:rPr>
                <w:sz w:val="17"/>
              </w:rPr>
            </w:r>
            <w:r>
              <w:rPr>
                <w:sz w:val="17"/>
              </w:rPr>
              <w:t>Section-by-section correction of requirements, naming, acceptance, security/​safety and annex control</w:t>
            </w:r>
          </w:p>
        </w:tc>
        <w:tc>
          <w:tcPr>
            <w:tcW w:type="dxa" w:w="2018"/>
          </w:tcPr>
          <w:p>
            <w:r>
              <w:rPr>
                <w:sz w:val="17"/>
              </w:rPr>
            </w:r>
            <w:r>
              <w:rPr>
                <w:sz w:val="17"/>
              </w:rPr>
              <w:t>Prepared for office review; approval pending</w:t>
            </w:r>
          </w:p>
        </w:tc>
      </w:tr>
    </w:tbl>
    <w:p/>
    <w:p>
      <w:pPr/>
      <w:r>
        <w:t>DOCUMENT AUTHOR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01"/>
        <w:gridCol w:w="2343"/>
        <w:gridCol w:w="2403"/>
        <w:gridCol w:w="2720"/>
      </w:tblGrid>
      <w:tr>
        <w:trPr>
          <w:cantSplit/>
          <w:tblHeader/>
        </w:trPr>
        <w:tc>
          <w:tcPr>
            <w:tcW w:type="dxa" w:w="3001"/>
            <w:shd w:val="clear" w:color="auto" w:fill="111113"/>
          </w:tcPr>
          <w:p>
            <w:r>
              <w:rPr>
                <w:b/>
                <w:color w:val="FFFFFF"/>
                <w:sz w:val="17"/>
              </w:rPr>
            </w:r>
            <w:r>
              <w:rPr>
                <w:b/>
                <w:color w:val="FFFFFF"/>
                <w:sz w:val="17"/>
              </w:rPr>
              <w:t>NAME &amp; CO.</w:t>
            </w:r>
          </w:p>
        </w:tc>
        <w:tc>
          <w:tcPr>
            <w:tcW w:type="dxa" w:w="2343"/>
            <w:shd w:val="clear" w:color="auto" w:fill="111113"/>
          </w:tcPr>
          <w:p>
            <w:r>
              <w:rPr>
                <w:b/>
                <w:color w:val="FFFFFF"/>
                <w:sz w:val="17"/>
              </w:rPr>
            </w:r>
            <w:r>
              <w:rPr>
                <w:b/>
                <w:color w:val="FFFFFF"/>
                <w:sz w:val="17"/>
              </w:rPr>
              <w:t>ROLE</w:t>
            </w:r>
          </w:p>
        </w:tc>
        <w:tc>
          <w:tcPr>
            <w:tcW w:type="dxa" w:w="2403"/>
            <w:shd w:val="clear" w:color="auto" w:fill="111113"/>
          </w:tcPr>
          <w:p>
            <w:r>
              <w:rPr>
                <w:b/>
                <w:color w:val="FFFFFF"/>
                <w:sz w:val="17"/>
              </w:rPr>
            </w:r>
            <w:r>
              <w:rPr>
                <w:b/>
                <w:color w:val="FFFFFF"/>
                <w:sz w:val="17"/>
              </w:rPr>
              <w:t>EMAIL</w:t>
            </w:r>
          </w:p>
        </w:tc>
        <w:tc>
          <w:tcPr>
            <w:tcW w:type="dxa" w:w="2720"/>
            <w:shd w:val="clear" w:color="auto" w:fill="111113"/>
          </w:tcPr>
          <w:p>
            <w:r>
              <w:rPr>
                <w:b/>
                <w:color w:val="FFFFFF"/>
                <w:sz w:val="17"/>
              </w:rPr>
            </w:r>
            <w:r>
              <w:rPr>
                <w:b/>
                <w:color w:val="FFFFFF"/>
                <w:sz w:val="17"/>
              </w:rPr>
              <w:t>CONTACT</w:t>
            </w:r>
          </w:p>
        </w:tc>
      </w:tr>
      <w:tr>
        <w:trPr>
          <w:cantSplit/>
        </w:trPr>
        <w:tc>
          <w:tcPr>
            <w:tcW w:type="dxa" w:w="3001"/>
          </w:tcPr>
          <w:p>
            <w:r>
              <w:rPr>
                <w:sz w:val="17"/>
              </w:rPr>
            </w:r>
          </w:p>
        </w:tc>
        <w:tc>
          <w:tcPr>
            <w:tcW w:type="dxa" w:w="2343"/>
          </w:tcPr>
          <w:p>
            <w:r>
              <w:rPr>
                <w:sz w:val="17"/>
              </w:rPr>
            </w:r>
          </w:p>
        </w:tc>
        <w:tc>
          <w:tcPr>
            <w:tcW w:type="dxa" w:w="2403"/>
          </w:tcPr>
          <w:p>
            <w:r>
              <w:rPr>
                <w:sz w:val="17"/>
              </w:rPr>
            </w:r>
          </w:p>
        </w:tc>
        <w:tc>
          <w:tcPr>
            <w:tcW w:type="dxa" w:w="2720"/>
          </w:tcPr>
          <w:p>
            <w:r>
              <w:rPr>
                <w:sz w:val="17"/>
              </w:rPr>
            </w:r>
          </w:p>
        </w:tc>
      </w:tr>
    </w:tbl>
    <w:p/>
    <w:p>
      <w:pPr/>
      <w:r>
        <w:t>ACKNOWLEDGED BY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01"/>
        <w:gridCol w:w="2343"/>
        <w:gridCol w:w="2403"/>
        <w:gridCol w:w="2720"/>
      </w:tblGrid>
      <w:tr>
        <w:trPr>
          <w:cantSplit/>
          <w:tblHeader/>
        </w:trPr>
        <w:tc>
          <w:tcPr>
            <w:tcW w:type="dxa" w:w="3001"/>
            <w:shd w:val="clear" w:color="auto" w:fill="111113"/>
          </w:tcPr>
          <w:p>
            <w:r>
              <w:rPr>
                <w:b/>
                <w:color w:val="FFFFFF"/>
                <w:sz w:val="17"/>
              </w:rPr>
            </w:r>
            <w:r>
              <w:rPr>
                <w:b/>
                <w:color w:val="FFFFFF"/>
                <w:sz w:val="17"/>
              </w:rPr>
              <w:t>NAME &amp; CO.</w:t>
            </w:r>
          </w:p>
        </w:tc>
        <w:tc>
          <w:tcPr>
            <w:tcW w:type="dxa" w:w="2343"/>
            <w:shd w:val="clear" w:color="auto" w:fill="111113"/>
          </w:tcPr>
          <w:p>
            <w:r>
              <w:rPr>
                <w:b/>
                <w:color w:val="FFFFFF"/>
                <w:sz w:val="17"/>
              </w:rPr>
            </w:r>
            <w:r>
              <w:rPr>
                <w:b/>
                <w:color w:val="FFFFFF"/>
                <w:sz w:val="17"/>
              </w:rPr>
              <w:t>ROLE</w:t>
            </w:r>
          </w:p>
        </w:tc>
        <w:tc>
          <w:tcPr>
            <w:tcW w:type="dxa" w:w="2403"/>
            <w:shd w:val="clear" w:color="auto" w:fill="111113"/>
          </w:tcPr>
          <w:p>
            <w:r>
              <w:rPr>
                <w:b/>
                <w:color w:val="FFFFFF"/>
                <w:sz w:val="17"/>
              </w:rPr>
            </w:r>
            <w:r>
              <w:rPr>
                <w:b/>
                <w:color w:val="FFFFFF"/>
                <w:sz w:val="17"/>
              </w:rPr>
              <w:t>EMAIL</w:t>
            </w:r>
          </w:p>
        </w:tc>
        <w:tc>
          <w:tcPr>
            <w:tcW w:type="dxa" w:w="2720"/>
            <w:shd w:val="clear" w:color="auto" w:fill="111113"/>
          </w:tcPr>
          <w:p>
            <w:r>
              <w:rPr>
                <w:b/>
                <w:color w:val="FFFFFF"/>
                <w:sz w:val="17"/>
              </w:rPr>
            </w:r>
            <w:r>
              <w:rPr>
                <w:b/>
                <w:color w:val="FFFFFF"/>
                <w:sz w:val="17"/>
              </w:rPr>
              <w:t>CONTACT</w:t>
            </w:r>
          </w:p>
        </w:tc>
      </w:tr>
      <w:tr>
        <w:trPr>
          <w:cantSplit/>
        </w:trPr>
        <w:tc>
          <w:tcPr>
            <w:tcW w:type="dxa" w:w="3001"/>
          </w:tcPr>
          <w:p>
            <w:r>
              <w:rPr>
                <w:sz w:val="17"/>
              </w:rPr>
            </w:r>
          </w:p>
        </w:tc>
        <w:tc>
          <w:tcPr>
            <w:tcW w:type="dxa" w:w="2343"/>
          </w:tcPr>
          <w:p>
            <w:r>
              <w:rPr>
                <w:sz w:val="17"/>
              </w:rPr>
            </w:r>
          </w:p>
        </w:tc>
        <w:tc>
          <w:tcPr>
            <w:tcW w:type="dxa" w:w="2403"/>
          </w:tcPr>
          <w:p>
            <w:r>
              <w:rPr>
                <w:sz w:val="17"/>
              </w:rPr>
            </w:r>
          </w:p>
        </w:tc>
        <w:tc>
          <w:tcPr>
            <w:tcW w:type="dxa" w:w="2720"/>
          </w:tcPr>
          <w:p>
            <w:r>
              <w:rPr>
                <w:sz w:val="17"/>
              </w:rPr>
            </w:r>
          </w:p>
        </w:tc>
      </w:tr>
    </w:tbl>
    <w:p/>
    <w:p>
      <w:pPr/>
      <w:r>
        <w:t>The office BIM Manual is a controlled document. This V0.5 is a review draft; revision creation does not authorise adoption or alter an appointment. The approval/effective-date fields below control release.</w:t>
      </w:r>
    </w:p>
    <w:p>
      <w:pPr>
        <w:pStyle w:val="Heading2"/>
      </w:pPr>
      <w:r>
        <w:t>1.1 DOCUMENT CONTROL AND OFFICE ADOPTION</w:t>
      </w:r>
    </w:p>
    <w:p>
      <w:pPr/>
      <w:r>
        <w:t>This manual covers the office's information-management and authoring processes through delivery, handover and operational exchanges within its appointment. It does not claim ISO certification or replace the office QMS, statutory design duties or signed contracts. ISO 19650-1:2018 and ISO 19650-2:2018 establish the information-management basis; ISO 19650-3:2020 addresses operational information. The current research basis is dated 14 October 2026; detailed normative clauses have not been audited.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79"/>
        <w:gridCol w:w="7798"/>
        <w:gridCol w:w="1490"/>
      </w:tblGrid>
      <w:tr>
        <w:trPr>
          <w:cantSplit/>
          <w:tblHeader/>
        </w:trPr>
        <w:tc>
          <w:tcPr>
            <w:tcW w:type="dxa" w:w="1179"/>
            <w:shd w:val="clear" w:color="auto" w:fill="111113"/>
          </w:tcPr>
          <w:p>
            <w:r>
              <w:rPr>
                <w:b/>
                <w:color w:val="FFFFFF"/>
                <w:sz w:val="17"/>
              </w:rPr>
            </w:r>
            <w:r>
              <w:rPr>
                <w:b/>
                <w:color w:val="FFFFFF"/>
                <w:sz w:val="17"/>
              </w:rPr>
              <w:t>Control</w:t>
            </w:r>
          </w:p>
        </w:tc>
        <w:tc>
          <w:tcPr>
            <w:tcW w:type="dxa" w:w="7798"/>
            <w:shd w:val="clear" w:color="auto" w:fill="111113"/>
          </w:tcPr>
          <w:p>
            <w:r>
              <w:rPr>
                <w:b/>
                <w:color w:val="FFFFFF"/>
                <w:sz w:val="17"/>
              </w:rPr>
            </w:r>
            <w:r>
              <w:rPr>
                <w:b/>
                <w:color w:val="FFFFFF"/>
                <w:sz w:val="17"/>
              </w:rPr>
              <w:t>Recommended value /​ completion field</w:t>
            </w:r>
          </w:p>
        </w:tc>
        <w:tc>
          <w:tcPr>
            <w:tcW w:type="dxa" w:w="1490"/>
            <w:shd w:val="clear" w:color="auto" w:fill="111113"/>
          </w:tcPr>
          <w:p>
            <w:r>
              <w:rPr>
                <w:b/>
                <w:color w:val="FFFFFF"/>
                <w:sz w:val="17"/>
              </w:rPr>
            </w:r>
            <w:r>
              <w:rPr>
                <w:b/>
                <w:color w:val="FFFFFF"/>
                <w:sz w:val="17"/>
              </w:rPr>
              <w:t>Release check</w:t>
            </w:r>
          </w:p>
        </w:tc>
      </w:tr>
      <w:tr>
        <w:trPr>
          <w:cantSplit/>
        </w:trPr>
        <w:tc>
          <w:tcPr>
            <w:tcW w:type="dxa" w:w="1179"/>
          </w:tcPr>
          <w:p>
            <w:r>
              <w:rPr>
                <w:sz w:val="17"/>
              </w:rPr>
            </w:r>
            <w:r>
              <w:rPr>
                <w:sz w:val="17"/>
              </w:rPr>
              <w:t>Process owner</w:t>
            </w:r>
          </w:p>
        </w:tc>
        <w:tc>
          <w:tcPr>
            <w:tcW w:type="dxa" w:w="7798"/>
          </w:tcPr>
          <w:p>
            <w:r>
              <w:rPr>
                <w:sz w:val="17"/>
              </w:rPr>
            </w:r>
            <w:r>
              <w:rPr>
                <w:b/>
                <w:sz w:val="17"/>
              </w:rPr>
              <w:t>Decision (BIM Manager, 2026-10-14):</w:t>
            </w:r>
            <w:r>
              <w:rPr>
                <w:sz w:val="17"/>
              </w:rPr>
              <w:t xml:space="preserve"> The BIM Manager owns the Manual and its maintenance; appoint a distinct deputy with capacity and record actual role holders in the private Directory before activation. Basis: Policy maintenance needs accountable ownership and resources G-A (</w:t>
            </w:r>
            <w:r>
              <w:rPr>
                <w:color w:val="9A7B45"/>
                <w:sz w:val="17"/>
                <w:u w:val="single"/>
              </w:rPr>
              <w:t>O-DEC-009</w:t>
            </w:r>
            <w:r>
              <w:rPr>
                <w:sz w:val="17"/>
              </w:rPr>
              <w:t>).</w:t>
            </w:r>
          </w:p>
        </w:tc>
        <w:tc>
          <w:tcPr>
            <w:tcW w:type="dxa" w:w="1490"/>
          </w:tcPr>
          <w:p>
            <w:r>
              <w:rPr>
                <w:sz w:val="17"/>
              </w:rPr>
            </w:r>
            <w:r>
              <w:rPr>
                <w:sz w:val="17"/>
              </w:rPr>
              <w:t>Office assigns accountable role and deputy</w:t>
            </w:r>
          </w:p>
        </w:tc>
      </w:tr>
      <w:tr>
        <w:trPr>
          <w:cantSplit/>
        </w:trPr>
        <w:tc>
          <w:tcPr>
            <w:tcW w:type="dxa" w:w="1179"/>
          </w:tcPr>
          <w:p>
            <w:r>
              <w:rPr>
                <w:sz w:val="17"/>
              </w:rPr>
            </w:r>
            <w:r>
              <w:rPr>
                <w:sz w:val="17"/>
              </w:rPr>
              <w:t>Approval authority</w:t>
            </w:r>
          </w:p>
        </w:tc>
        <w:tc>
          <w:tcPr>
            <w:tcW w:type="dxa" w:w="7798"/>
          </w:tcPr>
          <w:p>
            <w:r>
              <w:rPr>
                <w:sz w:val="17"/>
              </w:rPr>
            </w:r>
            <w:r>
              <w:rPr>
                <w:b/>
                <w:sz w:val="17"/>
              </w:rPr>
              <w:t>Decision (BIM Manager, 2026-10-14):</w:t>
            </w:r>
            <w:r>
              <w:rPr>
                <w:sz w:val="17"/>
              </w:rPr>
              <w:t xml:space="preserve"> The office director approves office standards and business requirements after relevant QMS, security, safety and business-owner reviews; project departures require the actual appointment authority and recorded scope/​date. Basis: Office governance does not transfer contractual or statutory powers G-A, G-E (</w:t>
            </w:r>
            <w:r>
              <w:rPr>
                <w:color w:val="9A7B45"/>
                <w:sz w:val="17"/>
                <w:u w:val="single"/>
              </w:rPr>
              <w:t>O-DEC-012</w:t>
            </w:r>
            <w:r>
              <w:rPr>
                <w:sz w:val="17"/>
              </w:rPr>
              <w:t>).</w:t>
            </w:r>
          </w:p>
        </w:tc>
        <w:tc>
          <w:tcPr>
            <w:tcW w:type="dxa" w:w="1490"/>
          </w:tcPr>
          <w:p>
            <w:r>
              <w:rPr>
                <w:sz w:val="17"/>
              </w:rPr>
            </w:r>
            <w:r>
              <w:rPr>
                <w:sz w:val="17"/>
              </w:rPr>
              <w:t>Record approval ID, role, date and scope</w:t>
            </w:r>
          </w:p>
        </w:tc>
      </w:tr>
      <w:tr>
        <w:trPr>
          <w:cantSplit/>
        </w:trPr>
        <w:tc>
          <w:tcPr>
            <w:tcW w:type="dxa" w:w="1179"/>
          </w:tcPr>
          <w:p>
            <w:r>
              <w:rPr>
                <w:sz w:val="17"/>
              </w:rPr>
            </w:r>
            <w:r>
              <w:rPr>
                <w:sz w:val="17"/>
              </w:rPr>
              <w:t>Effective date /​ next review</w:t>
            </w:r>
          </w:p>
        </w:tc>
        <w:tc>
          <w:tcPr>
            <w:tcW w:type="dxa" w:w="7798"/>
          </w:tcPr>
          <w:p>
            <w:r>
              <w:rPr>
                <w:sz w:val="17"/>
              </w:rPr>
            </w:r>
            <w:r>
              <w:rPr>
                <w:b/>
                <w:sz w:val="17"/>
              </w:rPr>
              <w:t>Decision (BIM Manager, 2026-10-14):</w:t>
            </w:r>
            <w:r>
              <w:rPr>
                <w:sz w:val="17"/>
              </w:rPr>
              <w:t xml:space="preserve"> Adopt office policy choices on 2026-10-14; review controlled standards every 12 months and at material standard, appointment, requirement, tool, authority, incident or ambiguity change; record actual implementation approval and first-use date separately. Basis: A policy review cadence does not prove that live records or tools are ready P04 (</w:t>
            </w:r>
            <w:r>
              <w:rPr>
                <w:color w:val="9A7B45"/>
                <w:sz w:val="17"/>
                <w:u w:val="single"/>
              </w:rPr>
              <w:t>O-DEC-015</w:t>
            </w:r>
            <w:r>
              <w:rPr>
                <w:sz w:val="17"/>
              </w:rPr>
              <w:t>).</w:t>
            </w:r>
          </w:p>
        </w:tc>
        <w:tc>
          <w:tcPr>
            <w:tcW w:type="dxa" w:w="1490"/>
          </w:tcPr>
          <w:p>
            <w:r>
              <w:rPr>
                <w:sz w:val="17"/>
              </w:rPr>
            </w:r>
            <w:r>
              <w:rPr>
                <w:sz w:val="17"/>
              </w:rPr>
              <w:t>Enter actual dates; notify users</w:t>
            </w:r>
          </w:p>
        </w:tc>
      </w:tr>
      <w:tr>
        <w:trPr>
          <w:cantSplit/>
        </w:trPr>
        <w:tc>
          <w:tcPr>
            <w:tcW w:type="dxa" w:w="1179"/>
          </w:tcPr>
          <w:p>
            <w:r>
              <w:rPr>
                <w:sz w:val="17"/>
              </w:rPr>
            </w:r>
            <w:r>
              <w:rPr>
                <w:sz w:val="17"/>
              </w:rPr>
              <w:t>Controlled location</w:t>
            </w:r>
          </w:p>
        </w:tc>
        <w:tc>
          <w:tcPr>
            <w:tcW w:type="dxa" w:w="7798"/>
          </w:tcPr>
          <w:p>
            <w:r>
              <w:rPr>
                <w:sz w:val="17"/>
              </w:rPr>
            </w:r>
            <w:r>
              <w:rPr>
                <w:b/>
                <w:sz w:val="17"/>
              </w:rPr>
              <w:t>Decision (BIM Manager, 2026-10-14):</w:t>
            </w:r>
            <w:r>
              <w:rPr>
                <w:sz w:val="17"/>
              </w:rPr>
              <w:t xml:space="preserve"> Keep controlled masters in the restricted office standards CDE with document ID, revision, approval and exact URI; distribute read-only approved office views and retain superseded editions without overwriting issued project baselines. Basis: Controlled identity, access and history must survive publication and change G-C, S05 (</w:t>
            </w:r>
            <w:r>
              <w:rPr>
                <w:color w:val="9A7B45"/>
                <w:sz w:val="17"/>
                <w:u w:val="single"/>
              </w:rPr>
              <w:t>O-DEC-013</w:t>
            </w:r>
            <w:r>
              <w:rPr>
                <w:sz w:val="17"/>
              </w:rPr>
              <w:t>).</w:t>
            </w:r>
          </w:p>
        </w:tc>
        <w:tc>
          <w:tcPr>
            <w:tcW w:type="dxa" w:w="1490"/>
          </w:tcPr>
          <w:p>
            <w:r>
              <w:rPr>
                <w:sz w:val="17"/>
              </w:rPr>
            </w:r>
            <w:r>
              <w:rPr>
                <w:sz w:val="17"/>
              </w:rPr>
              <w:t>Record CDE URI, document ID, revision and approval</w:t>
            </w:r>
          </w:p>
        </w:tc>
      </w:tr>
      <w:tr>
        <w:trPr>
          <w:cantSplit/>
        </w:trPr>
        <w:tc>
          <w:tcPr>
            <w:tcW w:type="dxa" w:w="1179"/>
          </w:tcPr>
          <w:p>
            <w:r>
              <w:rPr>
                <w:sz w:val="17"/>
              </w:rPr>
            </w:r>
            <w:r>
              <w:rPr>
                <w:sz w:val="17"/>
              </w:rPr>
              <w:t>Superseded edition</w:t>
            </w:r>
          </w:p>
        </w:tc>
        <w:tc>
          <w:tcPr>
            <w:tcW w:type="dxa" w:w="7798"/>
          </w:tcPr>
          <w:p>
            <w:r>
              <w:rPr>
                <w:sz w:val="17"/>
              </w:rPr>
            </w:r>
            <w:r>
              <w:rPr>
                <w:b/>
                <w:sz w:val="17"/>
              </w:rPr>
              <w:t>Decision (BIM Manager, 2026-10-14):</w:t>
            </w:r>
            <w:r>
              <w:rPr>
                <w:sz w:val="17"/>
              </w:rPr>
              <w:t xml:space="preserve"> Keep controlled masters in the restricted office standards CDE with document ID, revision, approval and exact URI; distribute read-only approved office views and retain superseded editions without overwriting issued project baselines. Basis: Controlled identity, access and history must survive publication and change G-C, S05 (</w:t>
            </w:r>
            <w:r>
              <w:rPr>
                <w:color w:val="9A7B45"/>
                <w:sz w:val="17"/>
                <w:u w:val="single"/>
              </w:rPr>
              <w:t>O-DEC-013</w:t>
            </w:r>
            <w:r>
              <w:rPr>
                <w:sz w:val="17"/>
              </w:rPr>
              <w:t>).</w:t>
            </w:r>
          </w:p>
        </w:tc>
        <w:tc>
          <w:tcPr>
            <w:tcW w:type="dxa" w:w="1490"/>
          </w:tcPr>
          <w:p>
            <w:r>
              <w:rPr>
                <w:sz w:val="17"/>
              </w:rPr>
            </w:r>
            <w:r>
              <w:rPr>
                <w:sz w:val="17"/>
              </w:rPr>
              <w:t>No historic issue renamed or overwritten</w:t>
            </w:r>
          </w:p>
        </w:tc>
      </w:tr>
      <w:tr>
        <w:trPr>
          <w:cantSplit/>
        </w:trPr>
        <w:tc>
          <w:tcPr>
            <w:tcW w:type="dxa" w:w="1179"/>
          </w:tcPr>
          <w:p>
            <w:r>
              <w:rPr>
                <w:sz w:val="17"/>
              </w:rPr>
            </w:r>
            <w:r>
              <w:rPr>
                <w:sz w:val="17"/>
              </w:rPr>
              <w:t>QMS interface</w:t>
            </w:r>
          </w:p>
        </w:tc>
        <w:tc>
          <w:tcPr>
            <w:tcW w:type="dxa" w:w="7798"/>
          </w:tcPr>
          <w:p>
            <w:r>
              <w:rPr>
                <w:sz w:val="17"/>
              </w:rPr>
            </w:r>
            <w:r>
              <w:rPr>
                <w:sz w:val="17"/>
              </w:rPr>
              <w:t>Link existing document control, competence, audit, non-conformance and management-review procedures</w:t>
            </w:r>
          </w:p>
        </w:tc>
        <w:tc>
          <w:tcPr>
            <w:tcW w:type="dxa" w:w="1490"/>
          </w:tcPr>
          <w:p>
            <w:r>
              <w:rPr>
                <w:sz w:val="17"/>
              </w:rPr>
            </w:r>
            <w:r>
              <w:rPr>
                <w:sz w:val="17"/>
              </w:rPr>
              <w:t>Populate actual procedure IDs; no invented accreditation</w:t>
            </w:r>
          </w:p>
        </w:tc>
      </w:tr>
    </w:tbl>
    <w:p/>
    <w:p>
      <w:pPr/>
      <w:r>
        <w:t>ISO 9001:2026 is the QMS reference in the research register. Any transition from an existing certified QMS needs the office's own adoption and certification-body arrangements; this draft is not evidence of that transition. Record the adopted edition in the standards register.</w:t>
      </w:r>
    </w:p>
    <w:p>
      <w:pPr/>
      <w:r>
        <w:rPr>
          <w:b/>
        </w:rPr>
        <w:t>Policy and precedence.</w:t>
      </w:r>
      <w:r>
        <w:t xml:space="preserve"> Applicable law and binding authority requirements must be satisfied. Resolve contractual document precedence using the signed appointment and Information Protocol; do not invent a hierarchy where they disagree. Approved appointment requirements/EIR and the confirmed project BEP/annex govern project-specific technical choices within that hierarchy. The approved office manual provides the baseline; approved software guides implement it. A guide, plugin, browser folder or diagram cannot change contractual obligations. Escalate unresolved conflict to the Lead Appointed Party and contract owner before the affected exchange.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5"/>
        <w:gridCol w:w="3548"/>
        <w:gridCol w:w="2663"/>
        <w:gridCol w:w="2971"/>
      </w:tblGrid>
      <w:tr>
        <w:trPr>
          <w:cantSplit/>
          <w:tblHeader/>
        </w:trPr>
        <w:tc>
          <w:tcPr>
            <w:tcW w:type="dxa" w:w="1285"/>
            <w:shd w:val="clear" w:color="auto" w:fill="111113"/>
          </w:tcPr>
          <w:p>
            <w:r>
              <w:rPr>
                <w:b/>
                <w:color w:val="FFFFFF"/>
                <w:sz w:val="17"/>
              </w:rPr>
            </w:r>
            <w:r>
              <w:rPr>
                <w:b/>
                <w:color w:val="FFFFFF"/>
                <w:sz w:val="17"/>
              </w:rPr>
              <w:t>Layer</w:t>
            </w:r>
          </w:p>
        </w:tc>
        <w:tc>
          <w:tcPr>
            <w:tcW w:type="dxa" w:w="3548"/>
            <w:shd w:val="clear" w:color="auto" w:fill="111113"/>
          </w:tcPr>
          <w:p>
            <w:r>
              <w:rPr>
                <w:b/>
                <w:color w:val="FFFFFF"/>
                <w:sz w:val="17"/>
              </w:rPr>
            </w:r>
            <w:r>
              <w:rPr>
                <w:b/>
                <w:color w:val="FFFFFF"/>
                <w:sz w:val="17"/>
              </w:rPr>
              <w:t>Content</w:t>
            </w:r>
          </w:p>
        </w:tc>
        <w:tc>
          <w:tcPr>
            <w:tcW w:type="dxa" w:w="2663"/>
            <w:shd w:val="clear" w:color="auto" w:fill="111113"/>
          </w:tcPr>
          <w:p>
            <w:r>
              <w:rPr>
                <w:b/>
                <w:color w:val="FFFFFF"/>
                <w:sz w:val="17"/>
              </w:rPr>
            </w:r>
            <w:r>
              <w:rPr>
                <w:b/>
                <w:color w:val="FFFFFF"/>
                <w:sz w:val="17"/>
              </w:rPr>
              <w:t>Change owner</w:t>
            </w:r>
          </w:p>
        </w:tc>
        <w:tc>
          <w:tcPr>
            <w:tcW w:type="dxa" w:w="2971"/>
            <w:shd w:val="clear" w:color="auto" w:fill="111113"/>
          </w:tcPr>
          <w:p>
            <w:r>
              <w:rPr>
                <w:b/>
                <w:color w:val="FFFFFF"/>
                <w:sz w:val="17"/>
              </w:rPr>
            </w:r>
            <w:r>
              <w:rPr>
                <w:b/>
                <w:color w:val="FFFFFF"/>
                <w:sz w:val="17"/>
              </w:rPr>
              <w:t>Evidence before use</w:t>
            </w:r>
          </w:p>
        </w:tc>
      </w:tr>
      <w:tr>
        <w:trPr>
          <w:cantSplit/>
        </w:trPr>
        <w:tc>
          <w:tcPr>
            <w:tcW w:type="dxa" w:w="1285"/>
          </w:tcPr>
          <w:p>
            <w:r>
              <w:rPr>
                <w:sz w:val="17"/>
              </w:rPr>
            </w:r>
            <w:r>
              <w:rPr>
                <w:sz w:val="17"/>
              </w:rPr>
              <w:t>Office policy</w:t>
            </w:r>
          </w:p>
        </w:tc>
        <w:tc>
          <w:tcPr>
            <w:tcW w:type="dxa" w:w="3548"/>
          </w:tcPr>
          <w:p>
            <w:r>
              <w:rPr>
                <w:sz w:val="17"/>
              </w:rPr>
            </w:r>
            <w:r>
              <w:rPr>
                <w:sz w:val="17"/>
              </w:rPr>
              <w:t>Reusable procedures, roles, forms and principles</w:t>
            </w:r>
          </w:p>
        </w:tc>
        <w:tc>
          <w:tcPr>
            <w:tcW w:type="dxa" w:w="2663"/>
          </w:tcPr>
          <w:p>
            <w:r>
              <w:rPr>
                <w:sz w:val="17"/>
              </w:rPr>
            </w:r>
            <w:r>
              <w:rPr>
                <w:sz w:val="17"/>
              </w:rPr>
              <w:t>Manual owner</w:t>
            </w:r>
          </w:p>
        </w:tc>
        <w:tc>
          <w:tcPr>
            <w:tcW w:type="dxa" w:w="2971"/>
          </w:tcPr>
          <w:p>
            <w:r>
              <w:rPr>
                <w:sz w:val="17"/>
              </w:rPr>
            </w:r>
            <w:r>
              <w:rPr>
                <w:sz w:val="17"/>
              </w:rPr>
              <w:t>Approved edition and distribution record</w:t>
            </w:r>
          </w:p>
        </w:tc>
      </w:tr>
      <w:tr>
        <w:trPr>
          <w:cantSplit/>
        </w:trPr>
        <w:tc>
          <w:tcPr>
            <w:tcW w:type="dxa" w:w="1285"/>
          </w:tcPr>
          <w:p>
            <w:r>
              <w:rPr>
                <w:sz w:val="17"/>
              </w:rPr>
            </w:r>
            <w:r>
              <w:rPr>
                <w:sz w:val="17"/>
              </w:rPr>
              <w:t>Project annex /​ BEP</w:t>
            </w:r>
          </w:p>
        </w:tc>
        <w:tc>
          <w:tcPr>
            <w:tcW w:type="dxa" w:w="3548"/>
          </w:tcPr>
          <w:p>
            <w:r>
              <w:rPr>
                <w:sz w:val="17"/>
              </w:rPr>
            </w:r>
            <w:r>
              <w:rPr>
                <w:sz w:val="17"/>
              </w:rPr>
              <w:t>Actual appointment, grammar, dates, requirements, thresholds, tools and recipients</w:t>
            </w:r>
          </w:p>
        </w:tc>
        <w:tc>
          <w:tcPr>
            <w:tcW w:type="dxa" w:w="2663"/>
          </w:tcPr>
          <w:p>
            <w:r>
              <w:rPr>
                <w:sz w:val="17"/>
              </w:rPr>
            </w:r>
            <w:r>
              <w:rPr>
                <w:sz w:val="17"/>
              </w:rPr>
              <w:t>Lead Appointed Party with relevant appointing-party approvals</w:t>
            </w:r>
          </w:p>
        </w:tc>
        <w:tc>
          <w:tcPr>
            <w:tcW w:type="dxa" w:w="2971"/>
          </w:tcPr>
          <w:p>
            <w:r>
              <w:rPr>
                <w:sz w:val="17"/>
              </w:rPr>
            </w:r>
            <w:r>
              <w:rPr>
                <w:sz w:val="17"/>
              </w:rPr>
              <w:t>Approved annex IDs and authorised deviations</w:t>
            </w:r>
          </w:p>
        </w:tc>
      </w:tr>
      <w:tr>
        <w:trPr>
          <w:cantSplit/>
        </w:trPr>
        <w:tc>
          <w:tcPr>
            <w:tcW w:type="dxa" w:w="1285"/>
          </w:tcPr>
          <w:p>
            <w:r>
              <w:rPr>
                <w:sz w:val="17"/>
              </w:rPr>
            </w:r>
            <w:r>
              <w:rPr>
                <w:sz w:val="17"/>
              </w:rPr>
              <w:t>Software guide</w:t>
            </w:r>
          </w:p>
        </w:tc>
        <w:tc>
          <w:tcPr>
            <w:tcW w:type="dxa" w:w="3548"/>
          </w:tcPr>
          <w:p>
            <w:r>
              <w:rPr>
                <w:sz w:val="17"/>
              </w:rPr>
            </w:r>
            <w:r>
              <w:rPr>
                <w:sz w:val="17"/>
              </w:rPr>
              <w:t>Exact tested operations for the approved build</w:t>
            </w:r>
          </w:p>
        </w:tc>
        <w:tc>
          <w:tcPr>
            <w:tcW w:type="dxa" w:w="2663"/>
          </w:tcPr>
          <w:p>
            <w:r>
              <w:rPr>
                <w:sz w:val="17"/>
              </w:rPr>
            </w:r>
            <w:r>
              <w:rPr>
                <w:sz w:val="17"/>
              </w:rPr>
              <w:t>Technical lead</w:t>
            </w:r>
          </w:p>
        </w:tc>
        <w:tc>
          <w:tcPr>
            <w:tcW w:type="dxa" w:w="2971"/>
          </w:tcPr>
          <w:p>
            <w:r>
              <w:rPr>
                <w:sz w:val="17"/>
              </w:rPr>
            </w:r>
            <w:r>
              <w:rPr>
                <w:sz w:val="17"/>
              </w:rPr>
              <w:t>Representative test and guide revision</w:t>
            </w:r>
          </w:p>
        </w:tc>
      </w:tr>
    </w:tbl>
    <w:p/>
    <w:p>
      <w:pPr/>
      <w:r>
        <w:rPr>
          <w:b/>
        </w:rPr>
        <w:t>Decision (BIM Manager, 2026-10-14):</w:t>
      </w:r>
      <w:r>
        <w:t xml:space="preserve"> Record defaults as decided office policy on 2026-10-14 with linked IDs; activation still requires actual authorised holders, scoped registers, signed rights, installed builds and passing mobilisation/receiver evidence; preserve NOT EXECUTED/NOT VERIFIED facts. Basis: Founder-authorised choices settle defaults without fabricating contract approval or implementation G-E, S04 (</w:t>
      </w:r>
      <w:r>
        <w:rPr>
          <w:color w:val="9A7B45"/>
          <w:u w:val="single"/>
        </w:rPr>
        <w:t>O-DEC-100</w:t>
      </w:r>
      <w:r>
        <w:t>).</w:t>
      </w:r>
    </w:p>
    <w:p>
      <w:pPr>
        <w:pStyle w:val="Heading2"/>
      </w:pPr>
      <w:r>
        <w:t>1.2 PURPOSE</w:t>
      </w:r>
    </w:p>
    <w:p>
      <w:pPr/>
      <w:r>
        <w:t>This manual defines the standards, methods, and governance needed to deliver coordinated, information-rich BIM across design, documentation, and handover.</w:t>
      </w:r>
    </w:p>
    <w:p>
      <w:pPr/>
      <w:r>
        <w:t>Problems solved: inconsistent modeling, naming, and deliverables. unclear roles and gates. variable model health and data completeness.</w:t>
      </w:r>
    </w:p>
    <w:p>
      <w:pPr/>
      <w:r>
        <w:t>Audience: project team members producing or consuming BIM. discipline leads. coordinators. reviewers. client representatives.</w:t>
      </w:r>
    </w:p>
    <w:p>
      <w:pPr/>
      <w:r>
        <w:t>Outcomes: predictable information drops. consistent drawings and schedules. validated exports for IFC and CDE. clear QA-QC thresholds and acceptance gates.</w:t>
      </w:r>
    </w:p>
    <w:p>
      <w:pPr>
        <w:pStyle w:val="Heading2"/>
      </w:pPr>
      <w:r>
        <w:t>1.3 SCOPE</w:t>
      </w:r>
    </w:p>
    <w:p>
      <w:pPr/>
      <w:r>
        <w:t>In scope:</w:t>
      </w:r>
    </w:p>
    <w:p>
      <w:pPr/>
      <w:r>
        <w:t>Standards and naming conventions</w:t>
      </w:r>
    </w:p>
    <w:p>
      <w:pPr/>
      <w:r>
        <w:t>Roles, responsibilities, and RACI</w:t>
      </w:r>
    </w:p>
    <w:p>
      <w:pPr/>
      <w:r>
        <w:t>Governance, acceptance gates, and evidence</w:t>
      </w:r>
    </w:p>
    <w:p>
      <w:pPr/>
      <w:r>
        <w:t>Information delivery milestones and data drops</w:t>
      </w:r>
    </w:p>
    <w:p>
      <w:pPr/>
      <w:r>
        <w:t>Parameters, data dictionaries, and LOIN</w:t>
      </w:r>
    </w:p>
    <w:p>
      <w:pPr/>
      <w:r>
        <w:t>Worksets and model partitioning</w:t>
      </w:r>
    </w:p>
    <w:p>
      <w:pPr/>
      <w:r>
        <w:t>Graphic standards for documentation</w:t>
      </w:r>
    </w:p>
    <w:p>
      <w:pPr/>
      <w:r>
        <w:t>Content and detail libraries</w:t>
      </w:r>
    </w:p>
    <w:p>
      <w:pPr/>
      <w:r>
        <w:t>Documentation rules for drawings, schedules, and publishing</w:t>
      </w:r>
    </w:p>
    <w:p>
      <w:pPr/>
      <w:r>
        <w:t>Workflows and protocols for modeling, coordination, and issue tracking</w:t>
      </w:r>
    </w:p>
    <w:p>
      <w:pPr/>
      <w:r>
        <w:t>Quality standards: model health and data completeness thresholds</w:t>
      </w:r>
    </w:p>
    <w:p>
      <w:pPr/>
      <w:r>
        <w:t>Coordination and clash responsibility matrix</w:t>
      </w:r>
    </w:p>
    <w:p>
      <w:pPr/>
      <w:r>
        <w:t>Data exchange and IFC export and validation</w:t>
      </w:r>
    </w:p>
    <w:p>
      <w:pPr/>
      <w:r>
        <w:t>CDE structure, permissions, and versioning</w:t>
      </w:r>
    </w:p>
    <w:p>
      <w:pPr/>
      <w:r>
        <w:t>Glossary and appendices referenced by this manual</w:t>
      </w:r>
    </w:p>
    <w:p>
      <w:pPr/>
      <w:r>
        <w:t>Out of scope:</w:t>
      </w:r>
    </w:p>
    <w:p>
      <w:pPr/>
      <w:r>
        <w:t>Commercial terms, fees, and contracts</w:t>
      </w:r>
    </w:p>
    <w:p>
      <w:pPr/>
      <w:r>
        <w:t>Non-project corporate policies unrelated to BIM delivery</w:t>
      </w:r>
    </w:p>
    <w:p>
      <w:pPr/>
      <w:r>
        <w:t>Software procurement and licensing administration</w:t>
      </w:r>
    </w:p>
    <w:p>
      <w:pPr/>
      <w:r>
        <w:t>Individual training plans and HR processes</w:t>
      </w:r>
    </w:p>
    <w:p>
      <w:pPr/>
      <w:r>
        <w:t>Construction means and methods beyond documented deliverables</w:t>
      </w:r>
    </w:p>
    <w:p>
      <w:pPr/>
      <w:r>
        <w:t>Project-specific EIR/BEP content not adopted into this manual (unless cross-referenced)</w:t>
      </w:r>
    </w:p>
    <w:p>
      <w:pPr/>
      <w:r>
        <w:t>Acceptance for scope</w:t>
      </w:r>
    </w:p>
    <w:p>
      <w:pPr/>
      <w:r>
        <w:t>Every new topic added to the manual must be explicitly mapped to In scope or Out of scope.</w:t>
      </w:r>
    </w:p>
    <w:p>
      <w:pPr/>
      <w:r>
        <w:t>Where conflict exists, the explicit lists above override section text.</w:t>
      </w:r>
    </w:p>
    <w:p>
      <w:pPr>
        <w:pStyle w:val="Heading2"/>
      </w:pPr>
      <w:r>
        <w:t>1.4 DEFINITIONS AND ABBREVIATIONS</w:t>
      </w:r>
    </w:p>
    <w:p>
      <w:pPr/>
      <w:r>
        <w:t>This manual inherits canonical term definitions from the central glossary.</w:t>
      </w:r>
    </w:p>
    <w:p>
      <w:pPr/>
      <w:r>
        <w:t xml:space="preserve">Primary reference: </w:t>
      </w:r>
      <w:r>
        <w:rPr>
          <w:color w:val="9A7B45"/>
          <w:u w:val="single"/>
        </w:rPr>
        <w:t>Office Glossary V0.3</w:t>
      </w:r>
      <w:r>
        <w:t xml:space="preserve"> (adopt approved edition in the register)</w:t>
      </w:r>
    </w:p>
    <w:p>
      <w:pPr/>
      <w:r>
        <w:t>Manual-specific terms below extend or specialize meanings for this manual only.</w:t>
      </w:r>
    </w:p>
    <w:p>
      <w:pPr/>
      <w:r>
        <w:t>Initial terms</w:t>
      </w:r>
    </w:p>
    <w:p>
      <w:pPr/>
      <w:r>
        <w:t>Acceptance Gate: A formal decision point with criteria and evidence required for A, B, or C acceptance.</w:t>
      </w:r>
    </w:p>
    <w:p>
      <w:pPr/>
      <w:r>
        <w:t>Data Completeness: The minimum required population of parameters for a given exchange (LOIN worksheet), discipline, and element class.</w:t>
      </w:r>
    </w:p>
    <w:p>
      <w:pPr/>
      <w:r>
        <w:t>Model Health: Quantitative thresholds that indicate model stability and maintainability, measured by agreed metrics.</w:t>
      </w:r>
    </w:p>
    <w:p>
      <w:pPr/>
      <w:r>
        <w:t>Uniclass: The classification system adopted for structuring content and metadata across the project.</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01-policy-phase-map.png"/>
                    <pic:cNvPicPr/>
                  </pic:nvPicPr>
                  <pic:blipFill>
                    <a:blip r:embed="rId15"/>
                    <a:stretch>
                      <a:fillRect/>
                    </a:stretch>
                  </pic:blipFill>
                  <pic:spPr>
                    <a:xfrm>
                      <a:off x="0" y="0"/>
                      <a:ext cx="6645910" cy="3738324"/>
                    </a:xfrm>
                    <a:prstGeom prst="rect"/>
                  </pic:spPr>
                </pic:pic>
              </a:graphicData>
            </a:graphic>
          </wp:inline>
        </w:drawing>
      </w:r>
    </w:p>
    <w:p>
      <w:pPr/>
      <w:r>
        <w:rPr>
          <w:i/>
        </w:rPr>
        <w:t>Policy, project annexes and software instructions govern nine recurring manual phases; they are not nine project stages.</w:t>
      </w:r>
    </w:p>
    <w:p>
      <w:pPr>
        <w:pStyle w:val="Heading2"/>
      </w:pPr>
      <w:r>
        <w:t>1.5 NINE-PHASE NAVIGATION AND EXIT EVIDENCE</w:t>
      </w:r>
    </w:p>
    <w:p>
      <w:pPr/>
      <w:r>
        <w:t>The phases organise work and repeat when a delivery or operational trigger changes. RIBA Plan of Work 2020 has eight stages, 0–7; there is no automatic phase-to-stage, LOD or clash-tolerance equivalence. Procurement can overlap Technical Design and Manufacturing and Construction. Use the project stage/exchange schedule to allocate services and outputs.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52"/>
        <w:gridCol w:w="2282"/>
        <w:gridCol w:w="2723"/>
        <w:gridCol w:w="4208"/>
      </w:tblGrid>
      <w:tr>
        <w:trPr>
          <w:cantSplit/>
          <w:tblHeader/>
        </w:trPr>
        <w:tc>
          <w:tcPr>
            <w:tcW w:type="dxa" w:w="1252"/>
            <w:shd w:val="clear" w:color="auto" w:fill="111113"/>
          </w:tcPr>
          <w:p>
            <w:r>
              <w:rPr>
                <w:b/>
                <w:color w:val="FFFFFF"/>
                <w:sz w:val="17"/>
              </w:rPr>
            </w:r>
            <w:r>
              <w:rPr>
                <w:b/>
                <w:color w:val="FFFFFF"/>
                <w:sz w:val="17"/>
              </w:rPr>
              <w:t>Manual phase</w:t>
            </w:r>
          </w:p>
        </w:tc>
        <w:tc>
          <w:tcPr>
            <w:tcW w:type="dxa" w:w="2282"/>
            <w:shd w:val="clear" w:color="auto" w:fill="111113"/>
          </w:tcPr>
          <w:p>
            <w:r>
              <w:rPr>
                <w:b/>
                <w:color w:val="FFFFFF"/>
                <w:sz w:val="17"/>
              </w:rPr>
            </w:r>
            <w:r>
              <w:rPr>
                <w:b/>
                <w:color w:val="FFFFFF"/>
                <w:sz w:val="17"/>
              </w:rPr>
              <w:t>Procedure /​ form in this manual</w:t>
            </w:r>
          </w:p>
        </w:tc>
        <w:tc>
          <w:tcPr>
            <w:tcW w:type="dxa" w:w="2723"/>
            <w:shd w:val="clear" w:color="auto" w:fill="111113"/>
          </w:tcPr>
          <w:p>
            <w:r>
              <w:rPr>
                <w:b/>
                <w:color w:val="FFFFFF"/>
                <w:sz w:val="17"/>
              </w:rPr>
            </w:r>
            <w:r>
              <w:rPr>
                <w:b/>
                <w:color w:val="FFFFFF"/>
                <w:sz w:val="17"/>
              </w:rPr>
              <w:t>Responsible function</w:t>
            </w:r>
          </w:p>
        </w:tc>
        <w:tc>
          <w:tcPr>
            <w:tcW w:type="dxa" w:w="4208"/>
            <w:shd w:val="clear" w:color="auto" w:fill="111113"/>
          </w:tcPr>
          <w:p>
            <w:r>
              <w:rPr>
                <w:b/>
                <w:color w:val="FFFFFF"/>
                <w:sz w:val="17"/>
              </w:rPr>
            </w:r>
            <w:r>
              <w:rPr>
                <w:b/>
                <w:color w:val="FFFFFF"/>
                <w:sz w:val="17"/>
              </w:rPr>
              <w:t>Exit evidence /​ decision</w:t>
            </w:r>
          </w:p>
        </w:tc>
      </w:tr>
      <w:tr>
        <w:trPr>
          <w:cantSplit/>
        </w:trPr>
        <w:tc>
          <w:tcPr>
            <w:tcW w:type="dxa" w:w="1252"/>
          </w:tcPr>
          <w:p>
            <w:r>
              <w:rPr>
                <w:sz w:val="17"/>
              </w:rPr>
            </w:r>
            <w:r>
              <w:rPr>
                <w:sz w:val="17"/>
              </w:rPr>
              <w:t>Intro</w:t>
            </w:r>
          </w:p>
        </w:tc>
        <w:tc>
          <w:tcPr>
            <w:tcW w:type="dxa" w:w="2282"/>
          </w:tcPr>
          <w:p>
            <w:r>
              <w:rPr>
                <w:sz w:val="17"/>
              </w:rPr>
            </w:r>
            <w:r>
              <w:rPr>
                <w:sz w:val="17"/>
              </w:rPr>
              <w:t>1.1–1.5; requirements trace 2.5</w:t>
            </w:r>
          </w:p>
        </w:tc>
        <w:tc>
          <w:tcPr>
            <w:tcW w:type="dxa" w:w="2723"/>
          </w:tcPr>
          <w:p>
            <w:r>
              <w:rPr>
                <w:sz w:val="17"/>
              </w:rPr>
            </w:r>
            <w:r>
              <w:rPr>
                <w:sz w:val="17"/>
              </w:rPr>
              <w:t>Office management /​ appointing-party liaison</w:t>
            </w:r>
          </w:p>
        </w:tc>
        <w:tc>
          <w:tcPr>
            <w:tcW w:type="dxa" w:w="4208"/>
          </w:tcPr>
          <w:p>
            <w:r>
              <w:rPr>
                <w:sz w:val="17"/>
              </w:rPr>
            </w:r>
            <w:r>
              <w:rPr>
                <w:sz w:val="17"/>
              </w:rPr>
              <w:t>Scope, adopted editions and decision needs recorded</w:t>
            </w:r>
          </w:p>
        </w:tc>
      </w:tr>
      <w:tr>
        <w:trPr>
          <w:cantSplit/>
        </w:trPr>
        <w:tc>
          <w:tcPr>
            <w:tcW w:type="dxa" w:w="1252"/>
          </w:tcPr>
          <w:p>
            <w:r>
              <w:rPr>
                <w:sz w:val="17"/>
              </w:rPr>
            </w:r>
            <w:r>
              <w:rPr>
                <w:sz w:val="17"/>
              </w:rPr>
              <w:t>Setup</w:t>
            </w:r>
          </w:p>
        </w:tc>
        <w:tc>
          <w:tcPr>
            <w:tcW w:type="dxa" w:w="2282"/>
          </w:tcPr>
          <w:p>
            <w:r>
              <w:rPr>
                <w:sz w:val="17"/>
              </w:rPr>
            </w:r>
            <w:r>
              <w:rPr>
                <w:sz w:val="17"/>
              </w:rPr>
              <w:t>2.2–2.5; 3.1–3.3; 8.1 initiation</w:t>
            </w:r>
          </w:p>
        </w:tc>
        <w:tc>
          <w:tcPr>
            <w:tcW w:type="dxa" w:w="2723"/>
          </w:tcPr>
          <w:p>
            <w:r>
              <w:rPr>
                <w:sz w:val="17"/>
              </w:rPr>
            </w:r>
            <w:r>
              <w:rPr>
                <w:sz w:val="17"/>
              </w:rPr>
              <w:t>Lead Appointed Party /​ task-team leads</w:t>
            </w:r>
          </w:p>
        </w:tc>
        <w:tc>
          <w:tcPr>
            <w:tcW w:type="dxa" w:w="4208"/>
          </w:tcPr>
          <w:p>
            <w:r>
              <w:rPr>
                <w:sz w:val="17"/>
              </w:rPr>
            </w:r>
            <w:r>
              <w:rPr>
                <w:sz w:val="17"/>
              </w:rPr>
              <w:t>Approved annex, roles, tested coordinates and mobilisation record</w:t>
            </w:r>
          </w:p>
        </w:tc>
      </w:tr>
      <w:tr>
        <w:trPr>
          <w:cantSplit/>
        </w:trPr>
        <w:tc>
          <w:tcPr>
            <w:tcW w:type="dxa" w:w="1252"/>
          </w:tcPr>
          <w:p>
            <w:r>
              <w:rPr>
                <w:sz w:val="17"/>
              </w:rPr>
            </w:r>
            <w:r>
              <w:rPr>
                <w:sz w:val="17"/>
              </w:rPr>
              <w:t>Modeling</w:t>
            </w:r>
          </w:p>
        </w:tc>
        <w:tc>
          <w:tcPr>
            <w:tcW w:type="dxa" w:w="2282"/>
          </w:tcPr>
          <w:p>
            <w:r>
              <w:rPr>
                <w:sz w:val="17"/>
              </w:rPr>
            </w:r>
            <w:r>
              <w:rPr>
                <w:sz w:val="17"/>
              </w:rPr>
              <w:t>3.2–3.3; 4–6; 8.2 methodologies</w:t>
            </w:r>
          </w:p>
        </w:tc>
        <w:tc>
          <w:tcPr>
            <w:tcW w:type="dxa" w:w="2723"/>
          </w:tcPr>
          <w:p>
            <w:r>
              <w:rPr>
                <w:sz w:val="17"/>
              </w:rPr>
            </w:r>
            <w:r>
              <w:rPr>
                <w:sz w:val="17"/>
              </w:rPr>
              <w:t>Discipline leads</w:t>
            </w:r>
          </w:p>
        </w:tc>
        <w:tc>
          <w:tcPr>
            <w:tcW w:type="dxa" w:w="4208"/>
          </w:tcPr>
          <w:p>
            <w:r>
              <w:rPr>
                <w:sz w:val="17"/>
              </w:rPr>
            </w:r>
            <w:r>
              <w:rPr>
                <w:sz w:val="17"/>
              </w:rPr>
              <w:t>Purpose-led information produced; library and borrowing checks</w:t>
            </w:r>
          </w:p>
        </w:tc>
      </w:tr>
      <w:tr>
        <w:trPr>
          <w:cantSplit/>
        </w:trPr>
        <w:tc>
          <w:tcPr>
            <w:tcW w:type="dxa" w:w="1252"/>
          </w:tcPr>
          <w:p>
            <w:r>
              <w:rPr>
                <w:sz w:val="17"/>
              </w:rPr>
            </w:r>
            <w:r>
              <w:rPr>
                <w:sz w:val="17"/>
              </w:rPr>
              <w:t>Delivery</w:t>
            </w:r>
          </w:p>
        </w:tc>
        <w:tc>
          <w:tcPr>
            <w:tcW w:type="dxa" w:w="2282"/>
          </w:tcPr>
          <w:p>
            <w:r>
              <w:rPr>
                <w:sz w:val="17"/>
              </w:rPr>
            </w:r>
            <w:r>
              <w:rPr>
                <w:sz w:val="17"/>
              </w:rPr>
              <w:t>2.3; 7.3; 11; 12.2</w:t>
            </w:r>
          </w:p>
        </w:tc>
        <w:tc>
          <w:tcPr>
            <w:tcW w:type="dxa" w:w="2723"/>
          </w:tcPr>
          <w:p>
            <w:r>
              <w:rPr>
                <w:sz w:val="17"/>
              </w:rPr>
            </w:r>
            <w:r>
              <w:rPr>
                <w:sz w:val="17"/>
              </w:rPr>
              <w:t>Delivery-team authoriser</w:t>
            </w:r>
          </w:p>
        </w:tc>
        <w:tc>
          <w:tcPr>
            <w:tcW w:type="dxa" w:w="4208"/>
          </w:tcPr>
          <w:p>
            <w:r>
              <w:rPr>
                <w:sz w:val="17"/>
              </w:rPr>
            </w:r>
            <w:r>
              <w:rPr>
                <w:sz w:val="17"/>
              </w:rPr>
              <w:t>Identified checked container set and transmittal</w:t>
            </w:r>
          </w:p>
        </w:tc>
      </w:tr>
      <w:tr>
        <w:trPr>
          <w:cantSplit/>
        </w:trPr>
        <w:tc>
          <w:tcPr>
            <w:tcW w:type="dxa" w:w="1252"/>
          </w:tcPr>
          <w:p>
            <w:r>
              <w:rPr>
                <w:sz w:val="17"/>
              </w:rPr>
            </w:r>
            <w:r>
              <w:rPr>
                <w:sz w:val="17"/>
              </w:rPr>
              <w:t>Information</w:t>
            </w:r>
          </w:p>
        </w:tc>
        <w:tc>
          <w:tcPr>
            <w:tcW w:type="dxa" w:w="2282"/>
          </w:tcPr>
          <w:p>
            <w:r>
              <w:rPr>
                <w:sz w:val="17"/>
              </w:rPr>
            </w:r>
            <w:r>
              <w:rPr>
                <w:sz w:val="17"/>
              </w:rPr>
              <w:t>2.5; 3.2; 11.3</w:t>
            </w:r>
          </w:p>
        </w:tc>
        <w:tc>
          <w:tcPr>
            <w:tcW w:type="dxa" w:w="2723"/>
          </w:tcPr>
          <w:p>
            <w:r>
              <w:rPr>
                <w:sz w:val="17"/>
              </w:rPr>
            </w:r>
            <w:r>
              <w:rPr>
                <w:sz w:val="17"/>
              </w:rPr>
              <w:t>Information Manager /​ data owners</w:t>
            </w:r>
          </w:p>
        </w:tc>
        <w:tc>
          <w:tcPr>
            <w:tcW w:type="dxa" w:w="4208"/>
          </w:tcPr>
          <w:p>
            <w:r>
              <w:rPr>
                <w:sz w:val="17"/>
              </w:rPr>
            </w:r>
            <w:r>
              <w:rPr>
                <w:sz w:val="17"/>
              </w:rPr>
              <w:t>Requirements-to-properties/​docs trace and validation</w:t>
            </w:r>
          </w:p>
        </w:tc>
      </w:tr>
      <w:tr>
        <w:trPr>
          <w:cantSplit/>
        </w:trPr>
        <w:tc>
          <w:tcPr>
            <w:tcW w:type="dxa" w:w="1252"/>
          </w:tcPr>
          <w:p>
            <w:r>
              <w:rPr>
                <w:sz w:val="17"/>
              </w:rPr>
            </w:r>
            <w:r>
              <w:rPr>
                <w:sz w:val="17"/>
              </w:rPr>
              <w:t>Coordination</w:t>
            </w:r>
          </w:p>
        </w:tc>
        <w:tc>
          <w:tcPr>
            <w:tcW w:type="dxa" w:w="2282"/>
          </w:tcPr>
          <w:p>
            <w:r>
              <w:rPr>
                <w:sz w:val="17"/>
              </w:rPr>
            </w:r>
            <w:r>
              <w:rPr>
                <w:sz w:val="17"/>
              </w:rPr>
              <w:t>8.1.5; 10</w:t>
            </w:r>
          </w:p>
        </w:tc>
        <w:tc>
          <w:tcPr>
            <w:tcW w:type="dxa" w:w="2723"/>
          </w:tcPr>
          <w:p>
            <w:r>
              <w:rPr>
                <w:sz w:val="17"/>
              </w:rPr>
            </w:r>
            <w:r>
              <w:rPr>
                <w:sz w:val="17"/>
              </w:rPr>
              <w:t>BIM Coordinator /​ designers</w:t>
            </w:r>
          </w:p>
        </w:tc>
        <w:tc>
          <w:tcPr>
            <w:tcW w:type="dxa" w:w="4208"/>
          </w:tcPr>
          <w:p>
            <w:r>
              <w:rPr>
                <w:sz w:val="17"/>
              </w:rPr>
            </w:r>
            <w:r>
              <w:rPr>
                <w:sz w:val="17"/>
              </w:rPr>
              <w:t>Versioned federation, disposition and retest evidence</w:t>
            </w:r>
          </w:p>
        </w:tc>
      </w:tr>
      <w:tr>
        <w:trPr>
          <w:cantSplit/>
        </w:trPr>
        <w:tc>
          <w:tcPr>
            <w:tcW w:type="dxa" w:w="1252"/>
          </w:tcPr>
          <w:p>
            <w:r>
              <w:rPr>
                <w:sz w:val="17"/>
              </w:rPr>
            </w:r>
            <w:r>
              <w:rPr>
                <w:sz w:val="17"/>
              </w:rPr>
              <w:t>Discipline</w:t>
            </w:r>
          </w:p>
        </w:tc>
        <w:tc>
          <w:tcPr>
            <w:tcW w:type="dxa" w:w="2282"/>
          </w:tcPr>
          <w:p>
            <w:r>
              <w:rPr>
                <w:sz w:val="17"/>
              </w:rPr>
            </w:r>
            <w:r>
              <w:rPr>
                <w:sz w:val="17"/>
              </w:rPr>
              <w:t>4–9; design assurance in 9.4</w:t>
            </w:r>
          </w:p>
        </w:tc>
        <w:tc>
          <w:tcPr>
            <w:tcW w:type="dxa" w:w="2723"/>
          </w:tcPr>
          <w:p>
            <w:r>
              <w:rPr>
                <w:sz w:val="17"/>
              </w:rPr>
            </w:r>
            <w:r>
              <w:rPr>
                <w:sz w:val="17"/>
              </w:rPr>
              <w:t>Discipline lead /​ competent design reviewer</w:t>
            </w:r>
          </w:p>
        </w:tc>
        <w:tc>
          <w:tcPr>
            <w:tcW w:type="dxa" w:w="4208"/>
          </w:tcPr>
          <w:p>
            <w:r>
              <w:rPr>
                <w:sz w:val="17"/>
              </w:rPr>
            </w:r>
            <w:r>
              <w:rPr>
                <w:sz w:val="17"/>
              </w:rPr>
              <w:t>Design, documentation and required-data checks complete</w:t>
            </w:r>
          </w:p>
        </w:tc>
      </w:tr>
      <w:tr>
        <w:trPr>
          <w:cantSplit/>
        </w:trPr>
        <w:tc>
          <w:tcPr>
            <w:tcW w:type="dxa" w:w="1252"/>
          </w:tcPr>
          <w:p>
            <w:r>
              <w:rPr>
                <w:sz w:val="17"/>
              </w:rPr>
            </w:r>
            <w:r>
              <w:rPr>
                <w:sz w:val="17"/>
              </w:rPr>
              <w:t>Authority</w:t>
            </w:r>
          </w:p>
        </w:tc>
        <w:tc>
          <w:tcPr>
            <w:tcW w:type="dxa" w:w="2282"/>
          </w:tcPr>
          <w:p>
            <w:r>
              <w:rPr>
                <w:sz w:val="17"/>
              </w:rPr>
            </w:r>
            <w:r>
              <w:rPr>
                <w:sz w:val="17"/>
              </w:rPr>
              <w:t>2.1; 2.6; 11.4; 12.4; BBM-STD-85 authority annex</w:t>
            </w:r>
          </w:p>
        </w:tc>
        <w:tc>
          <w:tcPr>
            <w:tcW w:type="dxa" w:w="2723"/>
          </w:tcPr>
          <w:p>
            <w:r>
              <w:rPr>
                <w:sz w:val="17"/>
              </w:rPr>
            </w:r>
            <w:r>
              <w:rPr>
                <w:sz w:val="17"/>
              </w:rPr>
              <w:t>Appointed submission /​ acceptance role</w:t>
            </w:r>
          </w:p>
        </w:tc>
        <w:tc>
          <w:tcPr>
            <w:tcW w:type="dxa" w:w="4208"/>
          </w:tcPr>
          <w:p>
            <w:r>
              <w:rPr>
                <w:sz w:val="17"/>
              </w:rPr>
            </w:r>
            <w:r>
              <w:rPr>
                <w:sz w:val="17"/>
              </w:rPr>
              <w:t>Authorisation, authority submission and recipient decisions separated</w:t>
            </w:r>
          </w:p>
        </w:tc>
      </w:tr>
      <w:tr>
        <w:trPr>
          <w:cantSplit/>
        </w:trPr>
        <w:tc>
          <w:tcPr>
            <w:tcW w:type="dxa" w:w="1252"/>
          </w:tcPr>
          <w:p>
            <w:r>
              <w:rPr>
                <w:sz w:val="17"/>
              </w:rPr>
            </w:r>
            <w:r>
              <w:rPr>
                <w:sz w:val="17"/>
              </w:rPr>
              <w:t>Handover</w:t>
            </w:r>
          </w:p>
        </w:tc>
        <w:tc>
          <w:tcPr>
            <w:tcW w:type="dxa" w:w="2282"/>
          </w:tcPr>
          <w:p>
            <w:r>
              <w:rPr>
                <w:sz w:val="17"/>
              </w:rPr>
            </w:r>
            <w:r>
              <w:rPr>
                <w:sz w:val="17"/>
              </w:rPr>
              <w:t>2.5; 11.3; 12.5</w:t>
            </w:r>
          </w:p>
        </w:tc>
        <w:tc>
          <w:tcPr>
            <w:tcW w:type="dxa" w:w="2723"/>
          </w:tcPr>
          <w:p>
            <w:r>
              <w:rPr>
                <w:sz w:val="17"/>
              </w:rPr>
            </w:r>
            <w:r>
              <w:rPr>
                <w:sz w:val="17"/>
              </w:rPr>
              <w:t>Asset information owner /​ operational recipient</w:t>
            </w:r>
          </w:p>
        </w:tc>
        <w:tc>
          <w:tcPr>
            <w:tcW w:type="dxa" w:w="4208"/>
          </w:tcPr>
          <w:p>
            <w:r>
              <w:rPr>
                <w:sz w:val="17"/>
              </w:rPr>
            </w:r>
            <w:r>
              <w:rPr>
                <w:sz w:val="17"/>
              </w:rPr>
              <w:t>Tested operational ingestion, training, residual risks and update ownership</w:t>
            </w:r>
          </w:p>
        </w:tc>
      </w:tr>
    </w:tbl>
    <w:p/>
    <w:p>
      <w:pPr/>
      <w:r>
        <w:t>A link or empty form does not demonstrate completion. Each project records evidence IDs, source revisions, checks, owners and actual decisions against this map.</w:t>
      </w:r>
    </w:p>
    <w:p>
      <w:pPr>
        <w:pStyle w:val="Heading1"/>
      </w:pPr>
      <w:r>
        <w:t>2 PROJECT STRUCTURE</w:t>
      </w:r>
    </w:p>
    <w:p>
      <w:pPr>
        <w:pStyle w:val="Heading2"/>
      </w:pPr>
      <w:r>
        <w:t>2.1 GOVERNANCE AND GATES</w:t>
      </w:r>
    </w:p>
    <w:p>
      <w:pPr>
        <w:pStyle w:val="Heading3"/>
      </w:pPr>
      <w:r>
        <w:t>This section defines decision gates, criteria, and evidence required to progress.</w:t>
      </w:r>
    </w:p>
    <w:p>
      <w:pPr/>
      <w:r>
        <w:t xml:space="preserve">Office stage gates (one list, the eight gates in 2.3): Strategic Need / Business Case (RIBA 0); Brief / Information Requirements Approval (RIBA 1); Concept Design Approval (RIBA 2); Coordination Freeze (RIBA 3); Issue for Review (RIBA 4); Verified Construction Information Exchange (RIBA 5, procurement-dependent); Handover Data Acceptance (RIBA 6); Operational Trigger / AIM Update Acceptance (RIBA 7). These are one of three gate families; the basis-of-design gates G0–G5 (BBM-STD-12) and the authority gates (BBM-STD-57 §4) are mapped to them in </w:t>
      </w:r>
      <w:r>
        <w:rPr>
          <w:color w:val="9A7B45"/>
          <w:u w:val="single"/>
        </w:rPr>
        <w:t>BBM-STD-93</w:t>
      </w:r>
      <w:r>
        <w:t xml:space="preserve"> (O-DEC-109).</w:t>
      </w:r>
    </w:p>
    <w:p>
      <w:pPr/>
      <w:r>
        <w:t>Evidence per gate: drawing set snapshot, schedules, model health report, data completeness report, change log since last gate.</w:t>
      </w:r>
    </w:p>
    <w:p>
      <w:pPr/>
      <w:r>
        <w:t>Acceptance legend: gate outcomes are letters A = Accepted, B = Accepted with comments, C = Rejected, with meanings per Glossary 1.5 (O-DEC-020, O-DEC-107). Comments logged with owners and due dates.</w:t>
      </w:r>
    </w:p>
    <w:p>
      <w:pPr/>
      <w:r>
        <w:t>Decision authority: Task-team reviewers check and approve sharing; the LAP authorises the delivery-team submission; the appointing party or its delegated recipient accepts the exchange. Design and authority approval remain separate duties. Record actual delegated powers in the project annex; a job title alone grants no gate authority.</w:t>
      </w:r>
    </w:p>
    <w:p>
      <w:pPr/>
      <w:r>
        <w:t>Records: Store evidence sets in CDE under the gate folder. Link references in this manual where applicable.</w:t>
      </w:r>
    </w:p>
    <w:p>
      <w:pPr>
        <w:pStyle w:val="Heading3"/>
      </w:pPr>
      <w:r>
        <w:t>Acceptance for 2.1</w:t>
      </w:r>
    </w:p>
    <w:p>
      <w:pPr/>
      <w:r>
        <w:t>Each active project has a gate calendar and required evidence list per gate.</w:t>
      </w:r>
    </w:p>
    <w:p>
      <w:pPr/>
      <w:r>
        <w:t>Every gate outcome has owners, due dates for B/C comments, and storage links in the CDE.</w:t>
      </w:r>
    </w:p>
    <w:p>
      <w:pPr/>
      <w:r>
        <w:t>Cross-reference: 2.3 Information delivery milestones</w:t>
      </w:r>
    </w:p>
    <w:p>
      <w:pPr>
        <w:pStyle w:val="Heading2"/>
      </w:pPr>
      <w:r>
        <w:t>2.2 ROLES AND RESPONSIBILITIES</w:t>
      </w:r>
    </w:p>
    <w:p>
      <w:pPr/>
      <w:r>
        <w:t>Define parties per ISO 19650 and assign accountability using a lightweight RACI.</w:t>
      </w:r>
    </w:p>
    <w:p>
      <w:pPr/>
      <w:r>
        <w:t xml:space="preserve">Core roles: Appointing Party. Lead Appointed Party (LAP). Task Teams per discipline. Information Manager. BIM Coordinator. Discipline Leads. QA-QC Lead. Office roles: BIM Manager (office standards owner, O-DEC-008/009). Security Lead (O-DEC-045). Design Safety Lead (O-DEC-046). Asset Information Owner / operational safety owner (handover recipient). Office Director (approves office standards, O-DEC-012). The master responsibility matrix is </w:t>
      </w:r>
      <w:r>
        <w:rPr>
          <w:color w:val="9A7B45"/>
          <w:u w:val="single"/>
        </w:rPr>
        <w:t>BBM-STD-55</w:t>
      </w:r>
      <w:r>
        <w:t>.</w:t>
      </w:r>
    </w:p>
    <w:p>
      <w:pPr/>
      <w:r>
        <w:t>Responsibilities:</w:t>
      </w:r>
    </w:p>
    <w:p>
      <w:pPr/>
      <w:r>
        <w:t>Appointing Party: sets EIR. approves major gates. accepts deliverables.</w:t>
      </w:r>
    </w:p>
    <w:p>
      <w:pPr/>
      <w:r>
        <w:t>LAP: consolidates BEP. plans information delivery. ensures gate evidence.</w:t>
      </w:r>
    </w:p>
    <w:p>
      <w:pPr/>
      <w:r>
        <w:t>Information Manager: governs CDE, naming, metadata, permissions.</w:t>
      </w:r>
    </w:p>
    <w:p>
      <w:pPr/>
      <w:r>
        <w:t>BIM Coordinator: runs coordination cycles. maintains clash matrix. tracks issues.</w:t>
      </w:r>
    </w:p>
    <w:p>
      <w:pPr/>
      <w:r>
        <w:t>Discipline Leads: own model health and data completeness within discipline.</w:t>
      </w:r>
    </w:p>
    <w:p>
      <w:pPr/>
      <w:r>
        <w:t>QA-QC Lead: audits against thresholds. logs findings and follow-ups.</w:t>
      </w:r>
    </w:p>
    <w:p>
      <w:pPr/>
      <w:r>
        <w:t>BIM Manager: owns this Manual, the Glossary and the office quality framework; proposes office standard changes.</w:t>
      </w:r>
    </w:p>
    <w:p>
      <w:pPr/>
      <w:r>
        <w:t>Security Lead: runs the security triage and security management plan (9.4; BBM-STD-87).</w:t>
      </w:r>
    </w:p>
    <w:p>
      <w:pPr/>
      <w:r>
        <w:t>Design Safety Lead: owns structured health and safety information during delivery (9.4; BBM-STD-88).</w:t>
      </w:r>
    </w:p>
    <w:p>
      <w:pPr/>
      <w:r>
        <w:t>Asset Information Owner: confirms AIR scope and accepts handover information (12.5).</w:t>
      </w:r>
    </w:p>
    <w:p>
      <w:pPr/>
      <w:r>
        <w:t>Office Director: approves office standards and their changes.</w:t>
      </w:r>
    </w:p>
    <w:p>
      <w:pPr>
        <w:pStyle w:val="Heading3"/>
      </w:pPr>
      <w:r>
        <w:t>RACI summary (high level)</w:t>
      </w:r>
    </w:p>
    <w:p>
      <w:pPr/>
      <w:r>
        <w:t>BEP preparation/confirmation: LAP (A/R), task-team leads (R for their commitments), Information Manager and BIM Coordinator (C); appointing party reviews/accepts the response as required by the appointment. Keep receiving acceptance in a separate activity row.</w:t>
      </w:r>
    </w:p>
    <w:p>
      <w:pPr/>
      <w:r>
        <w:t>Gate Evidence: LAP (A), BIM Coord (R), Disc Leads (R), QA-QC (C), Appointing (I)</w:t>
      </w:r>
    </w:p>
    <w:p>
      <w:pPr/>
      <w:r>
        <w:t>CDE Governance: Info Manager (A/R), LAP (C), All Teams (I)</w:t>
      </w:r>
    </w:p>
    <w:p>
      <w:pPr/>
      <w:r>
        <w:t>Coordination &amp; Clash: BIM Coord (A/R), Disc Leads (R), QA-QC (C), LAP (I)</w:t>
      </w:r>
    </w:p>
    <w:p>
      <w:pPr/>
      <w:r>
        <w:t>Model Health &amp; Data Completeness: Disc Leads (A/R), QA-QC (C), BIM Coord (C)</w:t>
      </w:r>
    </w:p>
    <w:p>
      <w:pPr/>
      <w:r>
        <w:t>Security assessment: Security Lead (A/R), Information Manager (R), LAP (C), Appointing (I)</w:t>
      </w:r>
    </w:p>
    <w:p>
      <w:pPr/>
      <w:r>
        <w:t>HSI records: Design Safety Lead (A), Disc Leads (R), Asset Information Owner (C at handover), LAP (I)</w:t>
      </w:r>
    </w:p>
    <w:p>
      <w:pPr/>
      <w:r>
        <w:t>Standards change: BIM Manager (R), Office Director (A), Disc Leads and Security Lead (C), All Teams (I)</w:t>
      </w:r>
    </w:p>
    <w:p>
      <w:pPr>
        <w:pStyle w:val="Heading3"/>
      </w:pPr>
      <w:r>
        <w:t>Acceptance for 2.2</w:t>
      </w:r>
    </w:p>
    <w:p>
      <w:pPr/>
      <w:r>
        <w:t>Named role → named person on the project roster with contact. RACI conflicts resolved.</w:t>
      </w:r>
    </w:p>
    <w:p>
      <w:pPr/>
      <w:r>
        <w:t>Each responsibility mapped to at least one measurable check or artifact.</w:t>
      </w:r>
    </w:p>
    <w:p>
      <w:pPr>
        <w:pStyle w:val="Heading2"/>
      </w:pPr>
      <w:r>
        <w:t>2.3 INFORMATION DELIVERY MILESTONES</w:t>
      </w:r>
    </w:p>
    <w:p>
      <w:pPr/>
      <w:r>
        <w:t>Define when information is produced, who owns it, and the completion rules at each stage.</w:t>
      </w:r>
    </w:p>
    <w:p>
      <w:pPr>
        <w:pStyle w:val="Heading3"/>
      </w:pPr>
      <w:r>
        <w:t>STAGE MAPPING (RIBA → PROJECT GATES)</w:t>
      </w:r>
    </w:p>
    <w:p>
      <w:pPr/>
      <w:r>
        <w:t>RIBA 0 STRATEGIC DEFINITION → GATE: STRATEGIC NEED / BUSINESS CASE</w:t>
      </w:r>
    </w:p>
    <w:p>
      <w:pPr/>
      <w:r>
        <w:t>RIBA 1 PREPARATION AND BRIEFING → GATE: BRIEF / INFORMATION REQUIREMENTS APPROVAL</w:t>
      </w:r>
    </w:p>
    <w:p>
      <w:pPr/>
      <w:r>
        <w:t>RIBA 2 CONCEPT DESIGN → GATE: CONCEPT DESIGN APPROVAL</w:t>
      </w:r>
    </w:p>
    <w:p>
      <w:pPr/>
      <w:r>
        <w:t>RIBA 3 SPATIAL COORDINATION → GATE: COORDINATION FREEZE</w:t>
      </w:r>
    </w:p>
    <w:p>
      <w:pPr/>
      <w:r>
        <w:t>RIBA 4 TECHNICAL DESIGN → GATE: ISSUE FOR REVIEW</w:t>
      </w:r>
    </w:p>
    <w:p>
      <w:pPr/>
      <w:r>
        <w:t>RIBA 5 MANUFACTURING AND CONSTRUCTION → GATE: VERIFIED CONSTRUCTION INFORMATION EXCHANGE (procurement-dependent)</w:t>
      </w:r>
    </w:p>
    <w:p>
      <w:pPr/>
      <w:r>
        <w:t>RIBA 6 HANDOVER → GATE: HANDOVER DATA ACCEPTANCE</w:t>
      </w:r>
    </w:p>
    <w:p>
      <w:pPr/>
      <w:r>
        <w:t>RIBA 7 USE → GATE: OPERATIONAL TRIGGER / AIM UPDATE ACCEPTANCE</w:t>
      </w:r>
    </w:p>
    <w:p>
      <w:pPr>
        <w:pStyle w:val="Heading3"/>
      </w:pPr>
      <w:r>
        <w:t>REQUIRED DROPS PER STAGE (MINIMUM)</w:t>
      </w:r>
    </w:p>
    <w:p>
      <w:pPr/>
      <w:r>
        <w:t>MODELS: Discipline models current to stage, federated model published, origin and coordinates validated</w:t>
      </w:r>
    </w:p>
    <w:p>
      <w:pPr/>
      <w:r>
        <w:t>DRAWINGS: Minimum sheet set per discipline for the stage, title blocks and revisions correct</w:t>
      </w:r>
    </w:p>
    <w:p>
      <w:pPr/>
      <w:r>
        <w:t>SCHEDULES: Agreed list with required fields populated to the LOIN worksheet of the exchange (BBM-STD-54)</w:t>
      </w:r>
    </w:p>
    <w:p>
      <w:pPr/>
      <w:r>
        <w:t>NON-GRAPHICAL: Parameter exports, COBie (version per EIR, default COBie 2.4; O-DEC-114) or asset registers as required by EIR</w:t>
      </w:r>
    </w:p>
    <w:p>
      <w:pPr/>
      <w:r>
        <w:t>REPORTS: Model health report and data completeness report since last gate</w:t>
      </w:r>
    </w:p>
    <w:p>
      <w:pPr/>
      <w:r>
        <w:t>CHANGE LOG: Summary of design changes since previous gate with impacts</w:t>
      </w:r>
    </w:p>
    <w:p>
      <w:pPr>
        <w:pStyle w:val="Heading3"/>
      </w:pPr>
      <w:r>
        <w:t>OWNERSHIP</w:t>
      </w:r>
    </w:p>
    <w:p>
      <w:pPr/>
      <w:r>
        <w:t>LAP: Confirms completeness of the drop and signs off the pack</w:t>
      </w:r>
    </w:p>
    <w:p>
      <w:pPr/>
      <w:r>
        <w:t>DISCIPLINE LEADS: Own discipline deliverables and schedule fields</w:t>
      </w:r>
    </w:p>
    <w:p>
      <w:pPr/>
      <w:r>
        <w:t>BIM COORDINATOR: Publishes federated model, runs clash, and records outcomes</w:t>
      </w:r>
    </w:p>
    <w:p>
      <w:pPr/>
      <w:r>
        <w:t>INFORMATION MANAGER: Verifies naming, metadata, and CDE placement</w:t>
      </w:r>
    </w:p>
    <w:p>
      <w:pPr>
        <w:pStyle w:val="Heading3"/>
      </w:pPr>
      <w:r>
        <w:t>CADENCE</w:t>
      </w:r>
    </w:p>
    <w:p>
      <w:pPr/>
      <w:r>
        <w:t>COORDINATION: Weekly during RIBA 3–4. Biweekly at other stages unless project dictates otherwise</w:t>
      </w:r>
    </w:p>
    <w:p>
      <w:pPr/>
      <w:r>
        <w:t>PRE-GATE MINI-DROP: 2–3 days before gate for automated checks and comment buffering</w:t>
      </w:r>
    </w:p>
    <w:p>
      <w:pPr/>
      <w:r>
        <w:t>FINAL EVIDENCE PACK: Posted to CDE by T-0 (gate day) 09:00 local time</w:t>
      </w:r>
    </w:p>
    <w:p>
      <w:pPr>
        <w:pStyle w:val="Heading3"/>
      </w:pPr>
      <w:r>
        <w:t>ACCEPTANCE FOR 2.3</w:t>
      </w:r>
    </w:p>
    <w:p>
      <w:pPr/>
      <w:r>
        <w:t>A dated checklist for the next gate is published one week before the gate and includes owners per item</w:t>
      </w:r>
    </w:p>
    <w:p>
      <w:pPr/>
      <w:r>
        <w:t>A coordination run is executed within 48 hours before the gate with issues triaged</w:t>
      </w:r>
    </w:p>
    <w:p>
      <w:pPr/>
      <w:r>
        <w:t>No mandatory blocking check fails at gate time. Any permissible non-blocking exception has the appointment-defined approval, recipient scope and competent design/safety concurrence recorded.</w:t>
      </w:r>
    </w:p>
    <w:p>
      <w:pPr/>
      <w:r>
        <w:t>All naming and metadata validations pass for the drop location in CDE</w:t>
      </w:r>
    </w:p>
    <w:p>
      <w:pPr>
        <w:pStyle w:val="Heading2"/>
      </w:pPr>
      <w:r>
        <w:t>2.4 CDE NAVIGATION</w:t>
      </w:r>
    </w:p>
    <w:p>
      <w:pPr/>
      <w:r>
        <w:t>Section 12.1 is the maintained folder outline and permissions schedule referenced as 2.4 by legacy procedures. Section 12.4 defines the state/decision workflow. Folder structure is a project implementation. Where a platform differs, use the approved folder/state alias register in 12.4.</w:t>
      </w:r>
    </w:p>
    <w:p>
      <w:pPr>
        <w:pStyle w:val="Heading2"/>
      </w:pPr>
      <w:r>
        <w:t>2.5 REQUIREMENTS CASCADE AND DECISION TRACE</w:t>
      </w:r>
    </w:p>
    <w:p>
      <w:pPr/>
      <w:r>
        <w:t>Under ISO 19650-1:2018 and ISO 19650-3:2020, OIR states organisational decision needs; PIR states project decisions; AIR states operational asset needs. EIR defines appointment-specific exchanges supporting those needs. Delivery information develops the PIM; accepted operational information supports the maintained AIM. AIR is not an AIM, and an EIR can apply to delivery or operational appointments. Do not assume every office produces or owns the client's OIR/AIR: request and clarify them within the office's scope.</w:t>
      </w:r>
    </w:p>
    <w:p>
      <w:pPr/>
      <w:r>
        <w:t xml:space="preserve">Use the private </w:t>
      </w:r>
      <w:r>
        <w:rPr>
          <w:color w:val="9A7B45"/>
          <w:u w:val="single"/>
        </w:rPr>
        <w:t>Office OIR V0.3</w:t>
      </w:r>
      <w:r>
        <w:t xml:space="preserve">, </w:t>
      </w:r>
      <w:r>
        <w:rPr>
          <w:color w:val="9A7B45"/>
          <w:u w:val="single"/>
        </w:rPr>
        <w:t>Directory V0.3</w:t>
      </w:r>
      <w:r>
        <w:t xml:space="preserve"> and </w:t>
      </w:r>
      <w:r>
        <w:rPr>
          <w:color w:val="9A7B45"/>
          <w:u w:val="single"/>
        </w:rPr>
        <w:t>Glossary V0.3</w:t>
      </w:r>
      <w:r>
        <w:t xml:space="preserve"> as companion review drafts until each is approved. Adopt original generic TBP controls only through an office review and project annex; do not copy private project data into generic TBP. Requirements follow ISO 19650-1/-2; IMI Framework (formerly UK BIM Framework, renamed May 2025) Guidance D ed.2 (2021, archived) and Guidance F ed.1 (2020, archived) are explanatory. Information Protocol: IMI template for BS EN ISO 19650-2, Ed 6.</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69"/>
        <w:gridCol w:w="1328"/>
        <w:gridCol w:w="1217"/>
        <w:gridCol w:w="1306"/>
        <w:gridCol w:w="1217"/>
        <w:gridCol w:w="2165"/>
        <w:gridCol w:w="2266"/>
      </w:tblGrid>
      <w:tr>
        <w:trPr>
          <w:cantSplit/>
          <w:tblHeader/>
        </w:trPr>
        <w:tc>
          <w:tcPr>
            <w:tcW w:type="dxa" w:w="969"/>
            <w:shd w:val="clear" w:color="auto" w:fill="111113"/>
          </w:tcPr>
          <w:p>
            <w:r>
              <w:rPr>
                <w:b/>
                <w:color w:val="FFFFFF"/>
                <w:sz w:val="17"/>
              </w:rPr>
            </w:r>
            <w:r>
              <w:rPr>
                <w:b/>
                <w:color w:val="FFFFFF"/>
                <w:sz w:val="17"/>
              </w:rPr>
              <w:t>Trace ID</w:t>
            </w:r>
          </w:p>
        </w:tc>
        <w:tc>
          <w:tcPr>
            <w:tcW w:type="dxa" w:w="1328"/>
            <w:shd w:val="clear" w:color="auto" w:fill="111113"/>
          </w:tcPr>
          <w:p>
            <w:r>
              <w:rPr>
                <w:b/>
                <w:color w:val="FFFFFF"/>
                <w:sz w:val="17"/>
              </w:rPr>
            </w:r>
            <w:r>
              <w:rPr>
                <w:b/>
                <w:color w:val="FFFFFF"/>
                <w:sz w:val="17"/>
              </w:rPr>
              <w:t>Upstream decision /​ owner</w:t>
            </w:r>
          </w:p>
        </w:tc>
        <w:tc>
          <w:tcPr>
            <w:tcW w:type="dxa" w:w="1217"/>
            <w:shd w:val="clear" w:color="auto" w:fill="111113"/>
          </w:tcPr>
          <w:p>
            <w:r>
              <w:rPr>
                <w:b/>
                <w:color w:val="FFFFFF"/>
                <w:sz w:val="17"/>
              </w:rPr>
            </w:r>
            <w:r>
              <w:rPr>
                <w:b/>
                <w:color w:val="FFFFFF"/>
                <w:sz w:val="17"/>
              </w:rPr>
              <w:t>Requirement and purpose</w:t>
            </w:r>
          </w:p>
        </w:tc>
        <w:tc>
          <w:tcPr>
            <w:tcW w:type="dxa" w:w="1306"/>
            <w:shd w:val="clear" w:color="auto" w:fill="111113"/>
          </w:tcPr>
          <w:p>
            <w:r>
              <w:rPr>
                <w:b/>
                <w:color w:val="FFFFFF"/>
                <w:sz w:val="17"/>
              </w:rPr>
            </w:r>
            <w:r>
              <w:rPr>
                <w:b/>
                <w:color w:val="FFFFFF"/>
                <w:sz w:val="17"/>
              </w:rPr>
              <w:t>Appointment /​ producer</w:t>
            </w:r>
          </w:p>
        </w:tc>
        <w:tc>
          <w:tcPr>
            <w:tcW w:type="dxa" w:w="1217"/>
            <w:shd w:val="clear" w:color="auto" w:fill="111113"/>
          </w:tcPr>
          <w:p>
            <w:r>
              <w:rPr>
                <w:b/>
                <w:color w:val="FFFFFF"/>
                <w:sz w:val="17"/>
              </w:rPr>
            </w:r>
            <w:r>
              <w:rPr>
                <w:b/>
                <w:color w:val="FFFFFF"/>
                <w:sz w:val="17"/>
              </w:rPr>
              <w:t>Exchange /​ recipient</w:t>
            </w:r>
          </w:p>
        </w:tc>
        <w:tc>
          <w:tcPr>
            <w:tcW w:type="dxa" w:w="2165"/>
            <w:shd w:val="clear" w:color="auto" w:fill="111113"/>
          </w:tcPr>
          <w:p>
            <w:r>
              <w:rPr>
                <w:b/>
                <w:color w:val="FFFFFF"/>
                <w:sz w:val="17"/>
              </w:rPr>
            </w:r>
            <w:r>
              <w:rPr>
                <w:b/>
                <w:color w:val="FFFFFF"/>
                <w:sz w:val="17"/>
              </w:rPr>
              <w:t>Geometry; data; documentation</w:t>
            </w:r>
          </w:p>
        </w:tc>
        <w:tc>
          <w:tcPr>
            <w:tcW w:type="dxa" w:w="2266"/>
            <w:shd w:val="clear" w:color="auto" w:fill="111113"/>
          </w:tcPr>
          <w:p>
            <w:r>
              <w:rPr>
                <w:b/>
                <w:color w:val="FFFFFF"/>
                <w:sz w:val="17"/>
              </w:rPr>
            </w:r>
            <w:r>
              <w:rPr>
                <w:b/>
                <w:color w:val="FFFFFF"/>
                <w:sz w:val="17"/>
              </w:rPr>
              <w:t>Acceptance /​ evidence</w:t>
            </w:r>
          </w:p>
        </w:tc>
      </w:tr>
      <w:tr>
        <w:trPr>
          <w:cantSplit/>
        </w:trPr>
        <w:tc>
          <w:tcPr>
            <w:tcW w:type="dxa" w:w="969"/>
          </w:tcPr>
          <w:p>
            <w:r>
              <w:rPr>
                <w:sz w:val="17"/>
              </w:rPr>
            </w:r>
            <w:r>
              <w:rPr>
                <w:sz w:val="17"/>
              </w:rPr>
              <w:t>SYN-01 (synthetic example)</w:t>
            </w:r>
          </w:p>
        </w:tc>
        <w:tc>
          <w:tcPr>
            <w:tcW w:type="dxa" w:w="1328"/>
          </w:tcPr>
          <w:p>
            <w:r>
              <w:rPr>
                <w:sz w:val="17"/>
              </w:rPr>
            </w:r>
            <w:r>
              <w:rPr>
                <w:sz w:val="17"/>
              </w:rPr>
              <w:t>PIR-P01; design decision owner: confirm room capacity</w:t>
            </w:r>
          </w:p>
        </w:tc>
        <w:tc>
          <w:tcPr>
            <w:tcW w:type="dxa" w:w="1217"/>
          </w:tcPr>
          <w:p>
            <w:r>
              <w:rPr>
                <w:sz w:val="17"/>
              </w:rPr>
            </w:r>
            <w:r>
              <w:rPr>
                <w:sz w:val="17"/>
              </w:rPr>
              <w:t>EIR-E01; spatial coordination review</w:t>
            </w:r>
          </w:p>
        </w:tc>
        <w:tc>
          <w:tcPr>
            <w:tcW w:type="dxa" w:w="1306"/>
          </w:tcPr>
          <w:p>
            <w:r>
              <w:rPr>
                <w:sz w:val="17"/>
              </w:rPr>
            </w:r>
            <w:r>
              <w:rPr>
                <w:sz w:val="17"/>
              </w:rPr>
              <w:t>Appointment A; architectural task team</w:t>
            </w:r>
          </w:p>
        </w:tc>
        <w:tc>
          <w:tcPr>
            <w:tcW w:type="dxa" w:w="1217"/>
          </w:tcPr>
          <w:p>
            <w:r>
              <w:rPr>
                <w:sz w:val="17"/>
              </w:rPr>
            </w:r>
            <w:r>
              <w:rPr>
                <w:sz w:val="17"/>
              </w:rPr>
              <w:t>EX-01 at agreed coordination gate; design reviewer</w:t>
            </w:r>
          </w:p>
        </w:tc>
        <w:tc>
          <w:tcPr>
            <w:tcW w:type="dxa" w:w="2165"/>
          </w:tcPr>
          <w:p>
            <w:r>
              <w:rPr>
                <w:sz w:val="17"/>
              </w:rPr>
            </w:r>
            <w:r>
              <w:rPr>
                <w:sz w:val="17"/>
              </w:rPr>
              <w:t>Room extents; unique room ID, use, area in m²; brief comparison report</w:t>
            </w:r>
          </w:p>
        </w:tc>
        <w:tc>
          <w:tcPr>
            <w:tcW w:type="dxa" w:w="2266"/>
          </w:tcPr>
          <w:p>
            <w:r>
              <w:rPr>
                <w:sz w:val="17"/>
              </w:rPr>
            </w:r>
            <w:r>
              <w:rPr>
                <w:sz w:val="17"/>
              </w:rPr>
              <w:t>Every in-scope room reconciled to approved brief; omissions/​discrepancies dispositioned by decision owner</w:t>
            </w:r>
          </w:p>
        </w:tc>
      </w:tr>
      <w:tr>
        <w:trPr>
          <w:cantSplit/>
        </w:trPr>
        <w:tc>
          <w:tcPr>
            <w:tcW w:type="dxa" w:w="969"/>
          </w:tcPr>
          <w:p>
            <w:r>
              <w:rPr>
                <w:sz w:val="17"/>
              </w:rPr>
            </w:r>
            <w:r>
              <w:rPr>
                <w:sz w:val="17"/>
              </w:rPr>
              <w:t>SYN-02 (synthetic example)</w:t>
            </w:r>
          </w:p>
        </w:tc>
        <w:tc>
          <w:tcPr>
            <w:tcW w:type="dxa" w:w="1328"/>
          </w:tcPr>
          <w:p>
            <w:r>
              <w:rPr>
                <w:sz w:val="17"/>
              </w:rPr>
            </w:r>
            <w:r>
              <w:rPr>
                <w:sz w:val="17"/>
              </w:rPr>
              <w:t>AIR-A01; operational owner: plan servicing</w:t>
            </w:r>
          </w:p>
        </w:tc>
        <w:tc>
          <w:tcPr>
            <w:tcW w:type="dxa" w:w="1217"/>
          </w:tcPr>
          <w:p>
            <w:r>
              <w:rPr>
                <w:sz w:val="17"/>
              </w:rPr>
            </w:r>
            <w:r>
              <w:rPr>
                <w:sz w:val="17"/>
              </w:rPr>
              <w:t>EIR-E02; handover into AIM</w:t>
            </w:r>
          </w:p>
        </w:tc>
        <w:tc>
          <w:tcPr>
            <w:tcW w:type="dxa" w:w="1306"/>
          </w:tcPr>
          <w:p>
            <w:r>
              <w:rPr>
                <w:sz w:val="17"/>
              </w:rPr>
            </w:r>
            <w:r>
              <w:rPr>
                <w:sz w:val="17"/>
              </w:rPr>
              <w:t>Appointment A; equipment producer</w:t>
            </w:r>
          </w:p>
        </w:tc>
        <w:tc>
          <w:tcPr>
            <w:tcW w:type="dxa" w:w="1217"/>
          </w:tcPr>
          <w:p>
            <w:r>
              <w:rPr>
                <w:sz w:val="17"/>
              </w:rPr>
            </w:r>
            <w:r>
              <w:rPr>
                <w:sz w:val="17"/>
              </w:rPr>
              <w:t>EX-02 at handover; maintenance recipient</w:t>
            </w:r>
          </w:p>
        </w:tc>
        <w:tc>
          <w:tcPr>
            <w:tcW w:type="dxa" w:w="2165"/>
          </w:tcPr>
          <w:p>
            <w:r>
              <w:rPr>
                <w:sz w:val="17"/>
              </w:rPr>
            </w:r>
            <w:r>
              <w:rPr>
                <w:sz w:val="17"/>
              </w:rPr>
              <w:t>Equipment location/​access envelope; asset ID, type, service interval/​unit; approved O&amp;M document links</w:t>
            </w:r>
          </w:p>
        </w:tc>
        <w:tc>
          <w:tcPr>
            <w:tcW w:type="dxa" w:w="2266"/>
          </w:tcPr>
          <w:p>
            <w:r>
              <w:rPr>
                <w:sz w:val="17"/>
              </w:rPr>
            </w:r>
            <w:r>
              <w:rPr>
                <w:sz w:val="17"/>
              </w:rPr>
              <w:t>Required maintainable assets and mandatory values valid; recipient import and document-link test recorded</w:t>
            </w:r>
          </w:p>
        </w:tc>
      </w:tr>
      <w:tr>
        <w:trPr>
          <w:cantSplit/>
        </w:trPr>
        <w:tc>
          <w:tcPr>
            <w:tcW w:type="dxa" w:w="969"/>
          </w:tcPr>
          <w:p>
            <w:r>
              <w:rPr>
                <w:sz w:val="17"/>
              </w:rPr>
            </w:r>
            <w:r>
              <w:rPr>
                <w:sz w:val="17"/>
              </w:rPr>
              <w:t>[ID]</w:t>
            </w:r>
          </w:p>
        </w:tc>
        <w:tc>
          <w:tcPr>
            <w:tcW w:type="dxa" w:w="1328"/>
          </w:tcPr>
          <w:p>
            <w:r>
              <w:rPr>
                <w:sz w:val="17"/>
              </w:rPr>
            </w:r>
            <w:r>
              <w:rPr>
                <w:sz w:val="17"/>
              </w:rPr>
              <w:t>[OIR/​PIR/​AIR ID, decision, owner]</w:t>
            </w:r>
          </w:p>
        </w:tc>
        <w:tc>
          <w:tcPr>
            <w:tcW w:type="dxa" w:w="1217"/>
          </w:tcPr>
          <w:p>
            <w:r>
              <w:rPr>
                <w:sz w:val="17"/>
              </w:rPr>
            </w:r>
            <w:r>
              <w:rPr>
                <w:sz w:val="17"/>
              </w:rPr>
              <w:t>[EIR ID, intended use]</w:t>
            </w:r>
          </w:p>
        </w:tc>
        <w:tc>
          <w:tcPr>
            <w:tcW w:type="dxa" w:w="1306"/>
          </w:tcPr>
          <w:p>
            <w:r>
              <w:rPr>
                <w:sz w:val="17"/>
              </w:rPr>
            </w:r>
            <w:r>
              <w:rPr>
                <w:sz w:val="17"/>
              </w:rPr>
              <w:t>[appointment, task team]</w:t>
            </w:r>
          </w:p>
        </w:tc>
        <w:tc>
          <w:tcPr>
            <w:tcW w:type="dxa" w:w="1217"/>
          </w:tcPr>
          <w:p>
            <w:r>
              <w:rPr>
                <w:sz w:val="17"/>
              </w:rPr>
            </w:r>
            <w:r>
              <w:rPr>
                <w:sz w:val="17"/>
              </w:rPr>
              <w:t>[exchange ID/​date, recipient]</w:t>
            </w:r>
          </w:p>
        </w:tc>
        <w:tc>
          <w:tcPr>
            <w:tcW w:type="dxa" w:w="2165"/>
          </w:tcPr>
          <w:p>
            <w:r>
              <w:rPr>
                <w:sz w:val="17"/>
              </w:rPr>
            </w:r>
            <w:r>
              <w:rPr>
                <w:sz w:val="17"/>
              </w:rPr>
              <w:t>[objects, precision, properties, documents]</w:t>
            </w:r>
          </w:p>
        </w:tc>
        <w:tc>
          <w:tcPr>
            <w:tcW w:type="dxa" w:w="2266"/>
          </w:tcPr>
          <w:p>
            <w:r>
              <w:rPr>
                <w:sz w:val="17"/>
              </w:rPr>
            </w:r>
            <w:r>
              <w:rPr>
                <w:sz w:val="17"/>
              </w:rPr>
              <w:t>[rule IDs, report IDs, authorised decision]</w:t>
            </w:r>
          </w:p>
        </w:tc>
      </w:tr>
    </w:tbl>
    <w:p/>
    <w:p>
      <w:pPr/>
      <w:r>
        <w:t>For each row, the Information Manager obtains the requirements revision and records exclusions with rationale, confidentiality, source/update owner and receiving capability. Task-team leads derive actual container rows in their TIDP; the LAP reconciles dependencies and receiving review windows in the MIDP. A RACI, bare LOD number or stage label is not a delivery plan or a complete level of information need.</w:t>
      </w:r>
    </w:p>
    <w:p>
      <w:pPr/>
      <w:r>
        <w:t>At change: identify affected requirement/use/container/test IDs; assess date, resource, security, safety and operational impacts; seek the governing approval; revise EIR response, BEP/annex, TIDP/MIDP and rule set together. Notify producers and recipients before the next exchange. Preserve the prior approved baseline and the change decision.</w:t>
      </w:r>
    </w:p>
    <w:p>
      <w:pPr>
        <w:pStyle w:val="Heading2"/>
      </w:pPr>
      <w:r>
        <w:t>2.6 LOCAL REGULATORY BASIS</w:t>
      </w:r>
    </w:p>
    <w:p>
      <w:pPr/>
      <w:r>
        <w:t xml:space="preserve">Every project records its jurisdiction and the binding instruments before the first exchange. The one edition register is BBM-STD-51 §3 (O-DEC-111); UAE requirement detail is in </w:t>
      </w:r>
      <w:r>
        <w:rPr>
          <w:color w:val="9A7B45"/>
          <w:u w:val="single"/>
        </w:rPr>
        <w:t>BBM-STD-85</w:t>
      </w:r>
      <w:r>
        <w:t>; terms are in Glossary 1.8. There is no UAE federal BIM mandate; BIM submission duties come from the emirate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06"/>
        <w:gridCol w:w="6343"/>
        <w:gridCol w:w="2617"/>
      </w:tblGrid>
      <w:tr>
        <w:trPr>
          <w:cantSplit/>
          <w:tblHeader/>
        </w:trPr>
        <w:tc>
          <w:tcPr>
            <w:tcW w:type="dxa" w:w="1506"/>
            <w:shd w:val="clear" w:color="auto" w:fill="111113"/>
          </w:tcPr>
          <w:p>
            <w:r>
              <w:rPr>
                <w:b/>
                <w:color w:val="FFFFFF"/>
                <w:sz w:val="17"/>
              </w:rPr>
            </w:r>
            <w:r>
              <w:rPr>
                <w:b/>
                <w:color w:val="FFFFFF"/>
                <w:sz w:val="17"/>
              </w:rPr>
              <w:t>Control</w:t>
            </w:r>
          </w:p>
        </w:tc>
        <w:tc>
          <w:tcPr>
            <w:tcW w:type="dxa" w:w="6343"/>
            <w:shd w:val="clear" w:color="auto" w:fill="111113"/>
          </w:tcPr>
          <w:p>
            <w:r>
              <w:rPr>
                <w:b/>
                <w:color w:val="FFFFFF"/>
                <w:sz w:val="17"/>
              </w:rPr>
            </w:r>
            <w:r>
              <w:rPr>
                <w:b/>
                <w:color w:val="FFFFFF"/>
                <w:sz w:val="17"/>
              </w:rPr>
              <w:t>Requirement (checked 2026-11-04)</w:t>
            </w:r>
          </w:p>
        </w:tc>
        <w:tc>
          <w:tcPr>
            <w:tcW w:type="dxa" w:w="2617"/>
            <w:shd w:val="clear" w:color="auto" w:fill="111113"/>
          </w:tcPr>
          <w:p>
            <w:r>
              <w:rPr>
                <w:b/>
                <w:color w:val="FFFFFF"/>
                <w:sz w:val="17"/>
              </w:rPr>
            </w:r>
            <w:r>
              <w:rPr>
                <w:b/>
                <w:color w:val="FFFFFF"/>
                <w:sz w:val="17"/>
              </w:rPr>
              <w:t>Evidence in the BEP /​ project annex</w:t>
            </w:r>
          </w:p>
        </w:tc>
      </w:tr>
      <w:tr>
        <w:trPr>
          <w:cantSplit/>
        </w:trPr>
        <w:tc>
          <w:tcPr>
            <w:tcW w:type="dxa" w:w="1506"/>
          </w:tcPr>
          <w:p>
            <w:r>
              <w:rPr>
                <w:sz w:val="17"/>
              </w:rPr>
            </w:r>
            <w:r>
              <w:rPr>
                <w:sz w:val="17"/>
              </w:rPr>
              <w:t>Jurisdiction test</w:t>
            </w:r>
          </w:p>
        </w:tc>
        <w:tc>
          <w:tcPr>
            <w:tcW w:type="dxa" w:w="6343"/>
          </w:tcPr>
          <w:p>
            <w:r>
              <w:rPr>
                <w:sz w:val="17"/>
              </w:rPr>
            </w:r>
            <w:r>
              <w:rPr>
                <w:sz w:val="17"/>
              </w:rPr>
              <w:t>Dubai /​ Abu Dhabi /​ other emirate or free zone; name the permitting authority and master developer for the plot</w:t>
            </w:r>
          </w:p>
        </w:tc>
        <w:tc>
          <w:tcPr>
            <w:tcW w:type="dxa" w:w="2617"/>
          </w:tcPr>
          <w:p>
            <w:r>
              <w:rPr>
                <w:sz w:val="17"/>
              </w:rPr>
            </w:r>
            <w:r>
              <w:rPr>
                <w:sz w:val="17"/>
              </w:rPr>
              <w:t>Authority list, plot reference, date and owner</w:t>
            </w:r>
          </w:p>
        </w:tc>
      </w:tr>
      <w:tr>
        <w:trPr>
          <w:cantSplit/>
        </w:trPr>
        <w:tc>
          <w:tcPr>
            <w:tcW w:type="dxa" w:w="1506"/>
          </w:tcPr>
          <w:p>
            <w:r>
              <w:rPr>
                <w:sz w:val="17"/>
              </w:rPr>
            </w:r>
            <w:r>
              <w:rPr>
                <w:sz w:val="17"/>
              </w:rPr>
              <w:t>Dubai building code</w:t>
            </w:r>
          </w:p>
        </w:tc>
        <w:tc>
          <w:tcPr>
            <w:tcW w:type="dxa" w:w="6343"/>
          </w:tcPr>
          <w:p>
            <w:r>
              <w:rPr>
                <w:sz w:val="17"/>
              </w:rPr>
            </w:r>
            <w:r>
              <w:rPr>
                <w:sz w:val="17"/>
              </w:rPr>
              <w:t>Dubai Building Code (Decree 45/​2021) as amended by DM Administrative Resolution No. 225 of 2024 (13 Aug 2024); apply the DBC plus all DM amending resolutions in force at permit submission</w:t>
            </w:r>
          </w:p>
        </w:tc>
        <w:tc>
          <w:tcPr>
            <w:tcW w:type="dxa" w:w="2617"/>
          </w:tcPr>
          <w:p>
            <w:r>
              <w:rPr>
                <w:sz w:val="17"/>
              </w:rPr>
            </w:r>
            <w:r>
              <w:rPr>
                <w:sz w:val="17"/>
              </w:rPr>
              <w:t>Resolution list read at submission, source URL and check date</w:t>
            </w:r>
          </w:p>
        </w:tc>
      </w:tr>
      <w:tr>
        <w:trPr>
          <w:cantSplit/>
        </w:trPr>
        <w:tc>
          <w:tcPr>
            <w:tcW w:type="dxa" w:w="1506"/>
          </w:tcPr>
          <w:p>
            <w:r>
              <w:rPr>
                <w:sz w:val="17"/>
              </w:rPr>
            </w:r>
            <w:r>
              <w:rPr>
                <w:sz w:val="17"/>
              </w:rPr>
              <w:t>Abu Dhabi building code</w:t>
            </w:r>
          </w:p>
        </w:tc>
        <w:tc>
          <w:tcPr>
            <w:tcW w:type="dxa" w:w="6343"/>
          </w:tcPr>
          <w:p>
            <w:r>
              <w:rPr>
                <w:sz w:val="17"/>
              </w:rPr>
            </w:r>
            <w:r>
              <w:rPr>
                <w:sz w:val="17"/>
              </w:rPr>
              <w:t>The ADIBC edition published by DMT and in force at project start (2013 edition, Executive Council Resolution 7C 26/​2013, at 2026-11-04)</w:t>
            </w:r>
          </w:p>
        </w:tc>
        <w:tc>
          <w:tcPr>
            <w:tcW w:type="dxa" w:w="2617"/>
          </w:tcPr>
          <w:p>
            <w:r>
              <w:rPr>
                <w:sz w:val="17"/>
              </w:rPr>
            </w:r>
            <w:r>
              <w:rPr>
                <w:sz w:val="17"/>
              </w:rPr>
              <w:t>Edition and source URL</w:t>
            </w:r>
          </w:p>
        </w:tc>
      </w:tr>
      <w:tr>
        <w:trPr>
          <w:cantSplit/>
        </w:trPr>
        <w:tc>
          <w:tcPr>
            <w:tcW w:type="dxa" w:w="1506"/>
          </w:tcPr>
          <w:p>
            <w:r>
              <w:rPr>
                <w:sz w:val="17"/>
              </w:rPr>
            </w:r>
            <w:r>
              <w:rPr>
                <w:sz w:val="17"/>
              </w:rPr>
              <w:t>Fire and life safety</w:t>
            </w:r>
          </w:p>
        </w:tc>
        <w:tc>
          <w:tcPr>
            <w:tcW w:type="dxa" w:w="6343"/>
          </w:tcPr>
          <w:p>
            <w:r>
              <w:rPr>
                <w:sz w:val="17"/>
              </w:rPr>
            </w:r>
            <w:r>
              <w:rPr>
                <w:sz w:val="17"/>
              </w:rPr>
              <w:t>UAE Fire &amp; Life Safety Code of Practice, September 2018 edition, plus the emirate authority's amendments current at project start</w:t>
            </w:r>
          </w:p>
        </w:tc>
        <w:tc>
          <w:tcPr>
            <w:tcW w:type="dxa" w:w="2617"/>
          </w:tcPr>
          <w:p>
            <w:r>
              <w:rPr>
                <w:sz w:val="17"/>
              </w:rPr>
            </w:r>
            <w:r>
              <w:rPr>
                <w:sz w:val="17"/>
              </w:rPr>
              <w:t>Edition, amendment list and check date</w:t>
            </w:r>
          </w:p>
        </w:tc>
      </w:tr>
      <w:tr>
        <w:trPr>
          <w:cantSplit/>
        </w:trPr>
        <w:tc>
          <w:tcPr>
            <w:tcW w:type="dxa" w:w="1506"/>
          </w:tcPr>
          <w:p>
            <w:r>
              <w:rPr>
                <w:sz w:val="17"/>
              </w:rPr>
            </w:r>
            <w:r>
              <w:rPr>
                <w:sz w:val="17"/>
              </w:rPr>
              <w:t>Rating-system minimum</w:t>
            </w:r>
          </w:p>
        </w:tc>
        <w:tc>
          <w:tcPr>
            <w:tcW w:type="dxa" w:w="6343"/>
          </w:tcPr>
          <w:p>
            <w:r>
              <w:rPr>
                <w:sz w:val="17"/>
              </w:rPr>
            </w:r>
            <w:r>
              <w:rPr>
                <w:sz w:val="17"/>
              </w:rPr>
              <w:t>Abu Dhabi Estidama Pearl: private minimum 1 Pearl, government-funded minimum 2 Pearl. Dubai Al Sa'fat 2nd ed. (Jan 2023): Silver Sa'fa mandatory for all new buildings</w:t>
            </w:r>
          </w:p>
        </w:tc>
        <w:tc>
          <w:tcPr>
            <w:tcW w:type="dxa" w:w="2617"/>
          </w:tcPr>
          <w:p>
            <w:r>
              <w:rPr>
                <w:sz w:val="17"/>
              </w:rPr>
            </w:r>
            <w:r>
              <w:rPr>
                <w:sz w:val="17"/>
              </w:rPr>
              <w:t>Target rating, edition, assessor and the model data it needs (BBM-STD-58/​60/​61/​62, BBM-STD-81)</w:t>
            </w:r>
          </w:p>
        </w:tc>
      </w:tr>
      <w:tr>
        <w:trPr>
          <w:cantSplit/>
        </w:trPr>
        <w:tc>
          <w:tcPr>
            <w:tcW w:type="dxa" w:w="1506"/>
          </w:tcPr>
          <w:p>
            <w:r>
              <w:rPr>
                <w:sz w:val="17"/>
              </w:rPr>
            </w:r>
            <w:r>
              <w:rPr>
                <w:sz w:val="17"/>
              </w:rPr>
              <w:t>Permit BIM submission</w:t>
            </w:r>
          </w:p>
        </w:tc>
        <w:tc>
          <w:tcPr>
            <w:tcW w:type="dxa" w:w="6343"/>
          </w:tcPr>
          <w:p>
            <w:r>
              <w:rPr>
                <w:sz w:val="17"/>
              </w:rPr>
            </w:r>
            <w:r>
              <w:rPr>
                <w:sz w:val="17"/>
              </w:rPr>
              <w:t>Dubai circulars 9-1-2 and 9-1-3: test applicability and follow 11.4</w:t>
            </w:r>
          </w:p>
        </w:tc>
        <w:tc>
          <w:tcPr>
            <w:tcW w:type="dxa" w:w="2617"/>
          </w:tcPr>
          <w:p>
            <w:r>
              <w:rPr>
                <w:sz w:val="17"/>
              </w:rPr>
            </w:r>
            <w:r>
              <w:rPr>
                <w:sz w:val="17"/>
              </w:rPr>
              <w:t>Applicability result and submission profile</w:t>
            </w:r>
          </w:p>
        </w:tc>
      </w:tr>
      <w:tr>
        <w:trPr>
          <w:cantSplit/>
        </w:trPr>
        <w:tc>
          <w:tcPr>
            <w:tcW w:type="dxa" w:w="1506"/>
          </w:tcPr>
          <w:p>
            <w:r>
              <w:rPr>
                <w:sz w:val="17"/>
              </w:rPr>
            </w:r>
            <w:r>
              <w:rPr>
                <w:sz w:val="17"/>
              </w:rPr>
              <w:t>Existing-building duties</w:t>
            </w:r>
          </w:p>
        </w:tc>
        <w:tc>
          <w:tcPr>
            <w:tcW w:type="dxa" w:w="6343"/>
          </w:tcPr>
          <w:p>
            <w:r>
              <w:rPr>
                <w:sz w:val="17"/>
              </w:rPr>
            </w:r>
            <w:r>
              <w:rPr>
                <w:sz w:val="17"/>
              </w:rPr>
              <w:t>Dubai Law No. 3 of 2026 (Quality and Safety of Buildings): Building Quality and Safety Certificate after 20 years from completion, procedure in DM circular 11-9-1 of 2026 (ED-DM-11-9-1); an asset-life obligation handed to the operator (12.5; BBM-STD-75/​76)</w:t>
            </w:r>
          </w:p>
        </w:tc>
        <w:tc>
          <w:tcPr>
            <w:tcW w:type="dxa" w:w="2617"/>
          </w:tcPr>
          <w:p>
            <w:r>
              <w:rPr>
                <w:sz w:val="17"/>
              </w:rPr>
            </w:r>
            <w:r>
              <w:rPr>
                <w:sz w:val="17"/>
              </w:rPr>
              <w:t>Handover note to the asset information owner</w:t>
            </w:r>
          </w:p>
        </w:tc>
      </w:tr>
      <w:tr>
        <w:trPr>
          <w:cantSplit/>
        </w:trPr>
        <w:tc>
          <w:tcPr>
            <w:tcW w:type="dxa" w:w="1506"/>
          </w:tcPr>
          <w:p>
            <w:r>
              <w:rPr>
                <w:sz w:val="17"/>
              </w:rPr>
            </w:r>
            <w:r>
              <w:rPr>
                <w:sz w:val="17"/>
              </w:rPr>
              <w:t>Security drawings</w:t>
            </w:r>
          </w:p>
        </w:tc>
        <w:tc>
          <w:tcPr>
            <w:tcW w:type="dxa" w:w="6343"/>
          </w:tcPr>
          <w:p>
            <w:r>
              <w:rPr>
                <w:sz w:val="17"/>
              </w:rPr>
            </w:r>
            <w:r>
              <w:rPr>
                <w:sz w:val="17"/>
              </w:rPr>
              <w:t>Follow the current SIRA/​DM requirement for the plot, confirmed at permit stage; classify per BBM-STD-87</w:t>
            </w:r>
          </w:p>
        </w:tc>
        <w:tc>
          <w:tcPr>
            <w:tcW w:type="dxa" w:w="2617"/>
          </w:tcPr>
          <w:p>
            <w:r>
              <w:rPr>
                <w:sz w:val="17"/>
              </w:rPr>
            </w:r>
            <w:r>
              <w:rPr>
                <w:sz w:val="17"/>
              </w:rPr>
              <w:t>Confirmation record</w:t>
            </w:r>
          </w:p>
        </w:tc>
      </w:tr>
      <w:tr>
        <w:trPr>
          <w:cantSplit/>
        </w:trPr>
        <w:tc>
          <w:tcPr>
            <w:tcW w:type="dxa" w:w="1506"/>
          </w:tcPr>
          <w:p>
            <w:r>
              <w:rPr>
                <w:sz w:val="17"/>
              </w:rPr>
            </w:r>
            <w:r>
              <w:rPr>
                <w:sz w:val="17"/>
              </w:rPr>
              <w:t>Owner and verification</w:t>
            </w:r>
          </w:p>
        </w:tc>
        <w:tc>
          <w:tcPr>
            <w:tcW w:type="dxa" w:w="6343"/>
          </w:tcPr>
          <w:p>
            <w:r>
              <w:rPr>
                <w:sz w:val="17"/>
              </w:rPr>
            </w:r>
            <w:r>
              <w:rPr>
                <w:sz w:val="17"/>
              </w:rPr>
              <w:t>Appointed submission lead with the BIM Manager; re-check at each permit submission</w:t>
            </w:r>
          </w:p>
        </w:tc>
        <w:tc>
          <w:tcPr>
            <w:tcW w:type="dxa" w:w="2617"/>
          </w:tcPr>
          <w:p>
            <w:r>
              <w:rPr>
                <w:sz w:val="17"/>
              </w:rPr>
            </w:r>
            <w:r>
              <w:rPr>
                <w:sz w:val="17"/>
              </w:rPr>
              <w:t>Owner, check date and source URLs</w:t>
            </w:r>
          </w:p>
        </w:tc>
      </w:tr>
    </w:tbl>
    <w:p/>
    <w:p>
      <w:pPr>
        <w:pStyle w:val="Heading1"/>
      </w:pPr>
      <w:r>
        <w:t>3 PROJECT INFO</w:t>
      </w:r>
    </w:p>
    <w:p>
      <w:pPr>
        <w:pStyle w:val="Heading2"/>
      </w:pPr>
      <w:r>
        <w:t>3.1 PROJECT IDENTIFIERS AND CODES</w:t>
      </w:r>
    </w:p>
    <w:p>
      <w:pPr/>
      <w:r>
        <w:rPr>
          <w:b/>
        </w:rPr>
        <w:t>Decision (BIM Manager, 2026-10-14):</w:t>
      </w:r>
      <w:r>
        <w:t xml:space="preserve"> Retain ORG-PROJ-DISC-PHASE-SEQUENCE only for approved legacy internal WIP aliases with one external identity mapping; retire PHASE from external identity and keep purpose/status as metadata; preserve historic issued names. Basis: One external identity prevents parallel grammars and IFC format/purpose ambiguity G-C (</w:t>
      </w:r>
      <w:r>
        <w:rPr>
          <w:color w:val="9A7B45"/>
          <w:u w:val="single"/>
        </w:rPr>
        <w:t>O-DEC-023</w:t>
      </w:r>
      <w:r>
        <w:t>).</w:t>
      </w:r>
    </w:p>
    <w:p>
      <w:pPr/>
      <w:r>
        <w:t xml:space="preserve">External containers use the 8-token grammar below (O-DEC-102); ORG-PROJ-DISC-PHASE-SEQUENCE survives only as a mapped internal WIP alias, never issued, and the PHASE token is retired. External issues use the same Project Naming Register as BEP 8.3. In an approved legacy PHASE list, IFC may mean Issue for Construction; </w:t>
      </w:r>
      <w:r>
        <w:rPr>
          <w:rFonts w:ascii="JetBrains Mono" w:hAnsi="JetBrains Mono"/>
        </w:rPr>
        <w:t>.ifc</w:t>
      </w:r>
      <w:r>
        <w:t xml:space="preserve"> is a format, never construction permission.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11"/>
        <w:gridCol w:w="6676"/>
        <w:gridCol w:w="2779"/>
      </w:tblGrid>
      <w:tr>
        <w:trPr>
          <w:cantSplit/>
          <w:tblHeader/>
        </w:trPr>
        <w:tc>
          <w:tcPr>
            <w:tcW w:type="dxa" w:w="1011"/>
            <w:shd w:val="clear" w:color="auto" w:fill="111113"/>
          </w:tcPr>
          <w:p>
            <w:r>
              <w:rPr>
                <w:b/>
                <w:color w:val="FFFFFF"/>
                <w:sz w:val="17"/>
              </w:rPr>
            </w:r>
            <w:r>
              <w:rPr>
                <w:b/>
                <w:color w:val="FFFFFF"/>
                <w:sz w:val="17"/>
              </w:rPr>
              <w:t>Register field</w:t>
            </w:r>
          </w:p>
        </w:tc>
        <w:tc>
          <w:tcPr>
            <w:tcW w:type="dxa" w:w="6676"/>
            <w:shd w:val="clear" w:color="auto" w:fill="111113"/>
          </w:tcPr>
          <w:p>
            <w:r>
              <w:rPr>
                <w:b/>
                <w:color w:val="FFFFFF"/>
                <w:sz w:val="17"/>
              </w:rPr>
            </w:r>
            <w:r>
              <w:rPr>
                <w:b/>
                <w:color w:val="FFFFFF"/>
                <w:sz w:val="17"/>
              </w:rPr>
              <w:t>Recommended value /​ example</w:t>
            </w:r>
          </w:p>
        </w:tc>
        <w:tc>
          <w:tcPr>
            <w:tcW w:type="dxa" w:w="2779"/>
            <w:shd w:val="clear" w:color="auto" w:fill="111113"/>
          </w:tcPr>
          <w:p>
            <w:r>
              <w:rPr>
                <w:b/>
                <w:color w:val="FFFFFF"/>
                <w:sz w:val="17"/>
              </w:rPr>
            </w:r>
            <w:r>
              <w:rPr>
                <w:b/>
                <w:color w:val="FFFFFF"/>
                <w:sz w:val="17"/>
              </w:rPr>
              <w:t>Validation /​ decision evidence</w:t>
            </w:r>
          </w:p>
        </w:tc>
      </w:tr>
      <w:tr>
        <w:trPr/>
        <w:tc>
          <w:tcPr>
            <w:tcW w:type="dxa" w:w="1011"/>
          </w:tcPr>
          <w:p>
            <w:r>
              <w:rPr>
                <w:sz w:val="17"/>
              </w:rPr>
            </w:r>
            <w:r>
              <w:rPr>
                <w:sz w:val="17"/>
              </w:rPr>
              <w:t>External grammar where recipient supplies none</w:t>
            </w:r>
          </w:p>
        </w:tc>
        <w:tc>
          <w:tcPr>
            <w:tcW w:type="dxa" w:w="6676"/>
          </w:tcPr>
          <w:p>
            <w:r>
              <w:rPr>
                <w:sz w:val="17"/>
              </w:rPr>
            </w:r>
            <w:r>
              <w:rPr>
                <w:b/>
                <w:sz w:val="17"/>
              </w:rPr>
              <w:t>Decision (BIM Manager, 2026-10-14):</w:t>
            </w:r>
            <w:r>
              <w:rPr>
                <w:sz w:val="17"/>
              </w:rPr>
              <w:t xml:space="preserve"> Use CLIENT-ORG-PROJ-VOLUME-LEVEL-TYPE-ROLE-NUMBER.ext when an appointment supplies no grammar; retain per-container Rnn revisions (O-DEC-113) and the suitability codes below (O-DEC-104). Basis: Adopts the Manual/​BEP external candidate and existing Rnn convention consistently; appointment requirements take precedence through one recorded mapping G-C (</w:t>
            </w:r>
            <w:r>
              <w:rPr>
                <w:color w:val="9A7B45"/>
                <w:sz w:val="17"/>
                <w:u w:val="single"/>
              </w:rPr>
              <w:t>O-DEC-002</w:t>
            </w:r>
            <w:r>
              <w:rPr>
                <w:sz w:val="17"/>
              </w:rPr>
              <w:t xml:space="preserve">). Authority: code lists in </w:t>
            </w:r>
            <w:r>
              <w:rPr>
                <w:color w:val="9A7B45"/>
                <w:sz w:val="17"/>
                <w:u w:val="single"/>
              </w:rPr>
              <w:t>BBM-STD-93</w:t>
            </w:r>
            <w:r>
              <w:rPr>
                <w:sz w:val="17"/>
              </w:rPr>
              <w:t xml:space="preserve">; naming rule in </w:t>
            </w:r>
            <w:r>
              <w:rPr>
                <w:color w:val="9A7B45"/>
                <w:sz w:val="17"/>
                <w:u w:val="single"/>
              </w:rPr>
              <w:t>Clash matrix section 2</w:t>
            </w:r>
            <w:r>
              <w:rPr>
                <w:sz w:val="17"/>
              </w:rPr>
              <w:t>.</w:t>
            </w:r>
          </w:p>
        </w:tc>
        <w:tc>
          <w:tcPr>
            <w:tcW w:type="dxa" w:w="2779"/>
          </w:tcPr>
          <w:p>
            <w:r>
              <w:rPr>
                <w:sz w:val="17"/>
              </w:rPr>
            </w:r>
            <w:r>
              <w:rPr>
                <w:sz w:val="17"/>
              </w:rPr>
              <w:t>Same register ID/​revision in Manual and BEP; confirm token count and dictionaries with recipient</w:t>
            </w:r>
          </w:p>
        </w:tc>
      </w:tr>
      <w:tr>
        <w:trPr>
          <w:cantSplit/>
        </w:trPr>
        <w:tc>
          <w:tcPr>
            <w:tcW w:type="dxa" w:w="1011"/>
          </w:tcPr>
          <w:p>
            <w:r>
              <w:rPr>
                <w:sz w:val="17"/>
              </w:rPr>
            </w:r>
            <w:r>
              <w:rPr>
                <w:sz w:val="17"/>
              </w:rPr>
              <w:t>Synthetic valid example</w:t>
            </w:r>
          </w:p>
        </w:tc>
        <w:tc>
          <w:tcPr>
            <w:tcW w:type="dxa" w:w="6676"/>
          </w:tcPr>
          <w:p>
            <w:r>
              <w:rPr>
                <w:sz w:val="17"/>
              </w:rPr>
            </w:r>
            <w:r>
              <w:rPr>
                <w:sz w:val="17"/>
              </w:rPr>
              <w:t>CLI-OFF-P001-ZZ-ZZ-M3-A-0001.ifc</w:t>
            </w:r>
          </w:p>
        </w:tc>
        <w:tc>
          <w:tcPr>
            <w:tcW w:type="dxa" w:w="2779"/>
          </w:tcPr>
          <w:p>
            <w:r>
              <w:rPr>
                <w:sz w:val="17"/>
              </w:rPr>
            </w:r>
            <w:r>
              <w:rPr>
                <w:sz w:val="17"/>
              </w:rPr>
              <w:t>CLIENT CLI; ORG OFF; PROJ P001; whole volume/​level ZZ; model M3; architecture A; number 0001; agreed format</w:t>
            </w:r>
          </w:p>
        </w:tc>
      </w:tr>
      <w:tr>
        <w:trPr>
          <w:cantSplit/>
        </w:trPr>
        <w:tc>
          <w:tcPr>
            <w:tcW w:type="dxa" w:w="1011"/>
          </w:tcPr>
          <w:p>
            <w:r>
              <w:rPr>
                <w:sz w:val="17"/>
              </w:rPr>
            </w:r>
            <w:r>
              <w:rPr>
                <w:sz w:val="17"/>
              </w:rPr>
              <w:t>Invalid example</w:t>
            </w:r>
          </w:p>
        </w:tc>
        <w:tc>
          <w:tcPr>
            <w:tcW w:type="dxa" w:w="6676"/>
          </w:tcPr>
          <w:p>
            <w:r>
              <w:rPr>
                <w:sz w:val="17"/>
              </w:rPr>
            </w:r>
            <w:r>
              <w:rPr>
                <w:sz w:val="17"/>
              </w:rPr>
              <w:t>CLI-OFF-P001-ZZ-M3-A-0001.ifc</w:t>
            </w:r>
          </w:p>
        </w:tc>
        <w:tc>
          <w:tcPr>
            <w:tcW w:type="dxa" w:w="2779"/>
          </w:tcPr>
          <w:p>
            <w:r>
              <w:rPr>
                <w:sz w:val="17"/>
              </w:rPr>
            </w:r>
            <w:r>
              <w:rPr>
                <w:sz w:val="17"/>
              </w:rPr>
              <w:t>Missing LEVEL token; reject rather than silently reinterpret</w:t>
            </w:r>
          </w:p>
        </w:tc>
      </w:tr>
      <w:tr>
        <w:trPr/>
        <w:tc>
          <w:tcPr>
            <w:tcW w:type="dxa" w:w="1011"/>
          </w:tcPr>
          <w:p>
            <w:r>
              <w:rPr>
                <w:sz w:val="17"/>
              </w:rPr>
            </w:r>
            <w:r>
              <w:rPr>
                <w:sz w:val="17"/>
              </w:rPr>
              <w:t>Internal model aliases</w:t>
            </w:r>
          </w:p>
        </w:tc>
        <w:tc>
          <w:tcPr>
            <w:tcW w:type="dxa" w:w="6676"/>
          </w:tcPr>
          <w:p>
            <w:r>
              <w:rPr>
                <w:sz w:val="17"/>
              </w:rPr>
            </w:r>
            <w:r>
              <w:rPr>
                <w:b/>
                <w:sz w:val="17"/>
              </w:rPr>
              <w:t>Decision (BIM Manager, 2026-10-14):</w:t>
            </w:r>
            <w:r>
              <w:rPr>
                <w:sz w:val="17"/>
              </w:rPr>
              <w:t xml:space="preserve"> Retain ORG-PROJ-DISC-PHASE-SEQUENCE only for approved legacy internal WIP aliases with one external identity mapping; retire PHASE from external identity and keep purpose/​status as metadata; preserve historic issued names. Basis: One external identity prevents parallel grammars and IFC format/​purpose ambiguity G-C (</w:t>
            </w:r>
            <w:r>
              <w:rPr>
                <w:color w:val="9A7B45"/>
                <w:sz w:val="17"/>
                <w:u w:val="single"/>
              </w:rPr>
              <w:t>O-DEC-023</w:t>
            </w:r>
            <w:r>
              <w:rPr>
                <w:sz w:val="17"/>
              </w:rPr>
              <w:t>).</w:t>
            </w:r>
          </w:p>
        </w:tc>
        <w:tc>
          <w:tcPr>
            <w:tcW w:type="dxa" w:w="2779"/>
          </w:tcPr>
          <w:p>
            <w:r>
              <w:rPr>
                <w:sz w:val="17"/>
              </w:rPr>
            </w:r>
            <w:r>
              <w:rPr>
                <w:sz w:val="17"/>
              </w:rPr>
              <w:t>Map internal ID to external container ID; no two live files claiming one identity</w:t>
            </w:r>
          </w:p>
        </w:tc>
      </w:tr>
      <w:tr>
        <w:trPr>
          <w:cantSplit/>
        </w:trPr>
        <w:tc>
          <w:tcPr>
            <w:tcW w:type="dxa" w:w="1011"/>
          </w:tcPr>
          <w:p>
            <w:r>
              <w:rPr>
                <w:sz w:val="17"/>
              </w:rPr>
            </w:r>
            <w:r>
              <w:rPr>
                <w:sz w:val="17"/>
              </w:rPr>
              <w:t>Views /​ sheets</w:t>
            </w:r>
          </w:p>
        </w:tc>
        <w:tc>
          <w:tcPr>
            <w:tcW w:type="dxa" w:w="6676"/>
          </w:tcPr>
          <w:p>
            <w:r>
              <w:rPr>
                <w:sz w:val="17"/>
              </w:rPr>
            </w:r>
            <w:r>
              <w:rPr>
                <w:b/>
                <w:sz w:val="17"/>
              </w:rPr>
              <w:t>Decision (BIM Manager, 2026-10-14):</w:t>
            </w:r>
            <w:r>
              <w:rPr>
                <w:sz w:val="17"/>
              </w:rPr>
              <w:t xml:space="preserve"> Use DISC-LEVEL[-ZONE]-TYPE-DESC for views and DISC-CAT-INDEX for sheet numbers, with separate readable title and revision; register Start View/​library exceptions and validate codes. Basis: Retains the shared Manual/​BEP convention while separating display from identity S35, G-C (</w:t>
            </w:r>
            <w:r>
              <w:rPr>
                <w:color w:val="9A7B45"/>
                <w:sz w:val="17"/>
                <w:u w:val="single"/>
              </w:rPr>
              <w:t>O-DEC-024</w:t>
            </w:r>
            <w:r>
              <w:rPr>
                <w:sz w:val="17"/>
              </w:rPr>
              <w:t>).</w:t>
            </w:r>
          </w:p>
        </w:tc>
        <w:tc>
          <w:tcPr>
            <w:tcW w:type="dxa" w:w="2779"/>
          </w:tcPr>
          <w:p>
            <w:r>
              <w:rPr>
                <w:sz w:val="17"/>
              </w:rPr>
            </w:r>
            <w:r>
              <w:rPr>
                <w:sz w:val="17"/>
              </w:rPr>
              <w:t>Validate approved values; libraries and Start View have explicit exceptions</w:t>
            </w:r>
          </w:p>
        </w:tc>
      </w:tr>
      <w:tr>
        <w:trPr/>
        <w:tc>
          <w:tcPr>
            <w:tcW w:type="dxa" w:w="1011"/>
          </w:tcPr>
          <w:p>
            <w:r>
              <w:rPr>
                <w:sz w:val="17"/>
              </w:rPr>
            </w:r>
            <w:r>
              <w:rPr>
                <w:sz w:val="17"/>
              </w:rPr>
              <w:t>Revisions</w:t>
            </w:r>
          </w:p>
        </w:tc>
        <w:tc>
          <w:tcPr>
            <w:tcW w:type="dxa" w:w="6676"/>
          </w:tcPr>
          <w:p>
            <w:r>
              <w:rPr>
                <w:sz w:val="17"/>
              </w:rPr>
            </w:r>
            <w:r>
              <w:rPr>
                <w:b/>
                <w:sz w:val="17"/>
              </w:rPr>
              <w:t>Decision (BIM Manager, 2026-10-14):</w:t>
            </w:r>
            <w:r>
              <w:rPr>
                <w:sz w:val="17"/>
              </w:rPr>
              <w:t xml:space="preserve"> Use R00 for initial WIP, then R01, R02 and never-recycled per-container revisions, expanding digits beyond R99; unchanged containers retain their actual revision; appointment codes override through one approved mapping. Basis: Carries forward O3 Rnn without forcing equal revisions on unchanged content G-C (</w:t>
            </w:r>
            <w:r>
              <w:rPr>
                <w:color w:val="9A7B45"/>
                <w:sz w:val="17"/>
                <w:u w:val="single"/>
              </w:rPr>
              <w:t>O-DEC-021</w:t>
            </w:r>
            <w:r>
              <w:rPr>
                <w:sz w:val="17"/>
              </w:rPr>
              <w:t xml:space="preserve">). </w:t>
            </w:r>
            <w:r>
              <w:rPr>
                <w:b/>
                <w:sz w:val="17"/>
              </w:rPr>
              <w:t>Decision (BIM Manager, 2026-10-14):</w:t>
            </w:r>
            <w:r>
              <w:rPr>
                <w:sz w:val="17"/>
              </w:rPr>
              <w:t xml:space="preserve"> Use local SU-WIP = team work, SU-COORD = coordination, SU-INFO = reference, SU-REVIEW = formal review, SU-ISSUE = authorised defined use; record permitted use and recipient acceptance separately; map appointment codes in one register. Basis: The O3 list prevents confusion with S1/​S2/​S3 severity and RACI G-C, S04 (</w:t>
            </w:r>
            <w:r>
              <w:rPr>
                <w:color w:val="9A7B45"/>
                <w:sz w:val="17"/>
                <w:u w:val="single"/>
              </w:rPr>
              <w:t>O-DEC-022</w:t>
            </w:r>
            <w:r>
              <w:rPr>
                <w:sz w:val="17"/>
              </w:rPr>
              <w:t>).</w:t>
            </w:r>
          </w:p>
        </w:tc>
        <w:tc>
          <w:tcPr>
            <w:tcW w:type="dxa" w:w="2779"/>
          </w:tcPr>
          <w:p>
            <w:r>
              <w:rPr>
                <w:sz w:val="17"/>
              </w:rPr>
            </w:r>
            <w:r>
              <w:rPr>
                <w:sz w:val="17"/>
              </w:rPr>
              <w:t>Keep per-container sequence and issue manifest; do not impose equal revision on unchanged sheets</w:t>
            </w:r>
          </w:p>
        </w:tc>
      </w:tr>
      <w:tr>
        <w:trPr>
          <w:cantSplit/>
        </w:trPr>
        <w:tc>
          <w:tcPr>
            <w:tcW w:type="dxa" w:w="1011"/>
          </w:tcPr>
          <w:p>
            <w:r>
              <w:rPr>
                <w:sz w:val="17"/>
              </w:rPr>
            </w:r>
            <w:r>
              <w:rPr>
                <w:sz w:val="17"/>
              </w:rPr>
              <w:t>Suitability /​ state</w:t>
            </w:r>
          </w:p>
        </w:tc>
        <w:tc>
          <w:tcPr>
            <w:tcW w:type="dxa" w:w="6676"/>
          </w:tcPr>
          <w:p>
            <w:r>
              <w:rPr>
                <w:sz w:val="17"/>
              </w:rPr>
            </w:r>
            <w:r>
              <w:rPr>
                <w:sz w:val="17"/>
              </w:rPr>
              <w:t>Office codes SU-WIP, SU-COORD, SU-INFO, SU-REVIEW, SU-ISSUE (table 3.1.1); appointment code lists override through the BBM-STD-93 mapping</w:t>
            </w:r>
          </w:p>
        </w:tc>
        <w:tc>
          <w:tcPr>
            <w:tcW w:type="dxa" w:w="2779"/>
          </w:tcPr>
          <w:p>
            <w:r>
              <w:rPr>
                <w:sz w:val="17"/>
              </w:rPr>
            </w:r>
            <w:r>
              <w:rPr>
                <w:sz w:val="17"/>
              </w:rPr>
              <w:t>A/​B/​C decisions and RACI are separate legends; no code inferred from extension</w:t>
            </w:r>
          </w:p>
        </w:tc>
      </w:tr>
      <w:tr>
        <w:trPr>
          <w:cantSplit/>
        </w:trPr>
        <w:tc>
          <w:tcPr>
            <w:tcW w:type="dxa" w:w="1011"/>
          </w:tcPr>
          <w:p>
            <w:r>
              <w:rPr>
                <w:sz w:val="17"/>
              </w:rPr>
            </w:r>
            <w:r>
              <w:rPr>
                <w:sz w:val="17"/>
              </w:rPr>
              <w:t>Migration</w:t>
            </w:r>
          </w:p>
        </w:tc>
        <w:tc>
          <w:tcPr>
            <w:tcW w:type="dxa" w:w="6676"/>
          </w:tcPr>
          <w:p>
            <w:r>
              <w:rPr>
                <w:sz w:val="17"/>
              </w:rPr>
            </w:r>
            <w:r>
              <w:rPr>
                <w:sz w:val="17"/>
              </w:rPr>
              <w:t>Map prior ID, new ID, reason, effective date, affected references and approver</w:t>
            </w:r>
          </w:p>
        </w:tc>
        <w:tc>
          <w:tcPr>
            <w:tcW w:type="dxa" w:w="2779"/>
          </w:tcPr>
          <w:p>
            <w:r>
              <w:rPr>
                <w:sz w:val="17"/>
              </w:rPr>
            </w:r>
            <w:r>
              <w:rPr>
                <w:sz w:val="17"/>
              </w:rPr>
              <w:t>Retain historic issues; rename only future approved containers with alias history</w:t>
            </w:r>
          </w:p>
        </w:tc>
      </w:tr>
    </w:tbl>
    <w:p/>
    <w:p>
      <w:pPr/>
      <w:r>
        <w:t xml:space="preserve">The Information Manager validates token grammar </w:t>
      </w:r>
      <w:r>
        <w:rPr>
          <w:b/>
        </w:rPr>
        <w:t>and</w:t>
      </w:r>
      <w:r>
        <w:t xml:space="preserve"> code-list membership, uniqueness, extension, purpose, revision and state; regex alone does not establish validity. Confirm the annex at mobilisation and whenever appointment requirements change.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67"/>
        <w:gridCol w:w="9099"/>
      </w:tblGrid>
      <w:tr>
        <w:trPr>
          <w:cantSplit/>
          <w:tblHeader/>
        </w:trPr>
        <w:tc>
          <w:tcPr>
            <w:tcW w:type="dxa" w:w="1367"/>
            <w:shd w:val="clear" w:color="auto" w:fill="111113"/>
          </w:tcPr>
          <w:p>
            <w:r>
              <w:rPr>
                <w:b/>
                <w:color w:val="FFFFFF"/>
                <w:sz w:val="17"/>
              </w:rPr>
            </w:r>
            <w:r>
              <w:rPr>
                <w:b/>
                <w:color w:val="FFFFFF"/>
                <w:sz w:val="17"/>
              </w:rPr>
              <w:t>Item</w:t>
            </w:r>
          </w:p>
        </w:tc>
        <w:tc>
          <w:tcPr>
            <w:tcW w:type="dxa" w:w="9099"/>
            <w:shd w:val="clear" w:color="auto" w:fill="111113"/>
          </w:tcPr>
          <w:p>
            <w:r>
              <w:rPr>
                <w:b/>
                <w:color w:val="FFFFFF"/>
                <w:sz w:val="17"/>
              </w:rPr>
            </w:r>
            <w:r>
              <w:rPr>
                <w:b/>
                <w:color w:val="FFFFFF"/>
                <w:sz w:val="17"/>
              </w:rPr>
              <w:t>Specification</w:t>
            </w:r>
          </w:p>
        </w:tc>
      </w:tr>
      <w:tr>
        <w:trPr>
          <w:cantSplit/>
        </w:trPr>
        <w:tc>
          <w:tcPr>
            <w:tcW w:type="dxa" w:w="1367"/>
          </w:tcPr>
          <w:p>
            <w:r>
              <w:rPr>
                <w:sz w:val="17"/>
              </w:rPr>
            </w:r>
            <w:r>
              <w:rPr>
                <w:sz w:val="17"/>
              </w:rPr>
              <w:t>Naming schema (defaults)</w:t>
            </w:r>
          </w:p>
        </w:tc>
        <w:tc>
          <w:tcPr>
            <w:tcW w:type="dxa" w:w="9099"/>
          </w:tcPr>
          <w:p>
            <w:r>
              <w:rPr>
                <w:sz w:val="17"/>
              </w:rPr>
            </w:r>
            <w:r>
              <w:rPr>
                <w:sz w:val="17"/>
              </w:rPr>
              <w:t>- File: CLIENT-ORG-PROJ-VOLUME-LEVEL-TYPE-ROLE-NUMBER.ext - View: DISC-LEVEL-ZONE-TYPE-DESC - Sheet: ROLE-CAT-INDEX - Revision: Rnn per container - Date: YYYY-MM-DD</w:t>
            </w:r>
          </w:p>
        </w:tc>
      </w:tr>
      <w:tr>
        <w:trPr>
          <w:cantSplit/>
        </w:trPr>
        <w:tc>
          <w:tcPr>
            <w:tcW w:type="dxa" w:w="1367"/>
          </w:tcPr>
          <w:p>
            <w:r>
              <w:rPr>
                <w:sz w:val="17"/>
              </w:rPr>
            </w:r>
            <w:r>
              <w:rPr>
                <w:sz w:val="17"/>
              </w:rPr>
              <w:t>Examples</w:t>
            </w:r>
          </w:p>
        </w:tc>
        <w:tc>
          <w:tcPr>
            <w:tcW w:type="dxa" w:w="9099"/>
          </w:tcPr>
          <w:p>
            <w:r>
              <w:rPr>
                <w:sz w:val="17"/>
              </w:rPr>
            </w:r>
            <w:r>
              <w:rPr>
                <w:sz w:val="17"/>
              </w:rPr>
              <w:t>- File: CLI-OFF-P001-ZZ-ZZ-M3-A-0001.ifc - View: ARC-L02-Z03-PLAN-Furniture - Sheet: A-10-101 - Revision: R03</w:t>
            </w:r>
          </w:p>
        </w:tc>
      </w:tr>
      <w:tr>
        <w:trPr>
          <w:cantSplit/>
        </w:trPr>
        <w:tc>
          <w:tcPr>
            <w:tcW w:type="dxa" w:w="1367"/>
          </w:tcPr>
          <w:p>
            <w:r>
              <w:rPr>
                <w:sz w:val="17"/>
              </w:rPr>
            </w:r>
            <w:r>
              <w:rPr>
                <w:sz w:val="17"/>
              </w:rPr>
              <w:t>Rules</w:t>
            </w:r>
          </w:p>
        </w:tc>
        <w:tc>
          <w:tcPr>
            <w:tcW w:type="dxa" w:w="9099"/>
          </w:tcPr>
          <w:p>
            <w:r>
              <w:rPr>
                <w:sz w:val="17"/>
              </w:rPr>
            </w:r>
            <w:r>
              <w:rPr>
                <w:sz w:val="17"/>
              </w:rPr>
              <w:t>- Use ISO 8601 dates in titles and transmittals - Category block per discipline standard on sheets - Rnn increases per changed container and is never recycled; unchanged containers keep their revision; the pack manifest lists each container's actual revision</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03"/>
        <w:gridCol w:w="2869"/>
        <w:gridCol w:w="1102"/>
        <w:gridCol w:w="2992"/>
      </w:tblGrid>
      <w:tr>
        <w:trPr>
          <w:cantSplit/>
          <w:tblHeader/>
        </w:trPr>
        <w:tc>
          <w:tcPr>
            <w:tcW w:type="dxa" w:w="3503"/>
            <w:shd w:val="clear" w:color="auto" w:fill="111113"/>
          </w:tcPr>
          <w:p>
            <w:r>
              <w:rPr>
                <w:b/>
                <w:color w:val="FFFFFF"/>
                <w:sz w:val="17"/>
              </w:rPr>
            </w:r>
            <w:r>
              <w:rPr>
                <w:b/>
                <w:color w:val="FFFFFF"/>
                <w:sz w:val="17"/>
              </w:rPr>
              <w:t>Acceptance criteria</w:t>
            </w:r>
          </w:p>
        </w:tc>
        <w:tc>
          <w:tcPr>
            <w:tcW w:type="dxa" w:w="2869"/>
            <w:shd w:val="clear" w:color="auto" w:fill="111113"/>
          </w:tcPr>
          <w:p>
            <w:r>
              <w:rPr>
                <w:b/>
                <w:color w:val="FFFFFF"/>
                <w:sz w:val="17"/>
              </w:rPr>
            </w:r>
            <w:r>
              <w:rPr>
                <w:b/>
                <w:color w:val="FFFFFF"/>
                <w:sz w:val="17"/>
              </w:rPr>
              <w:t>Quality checks</w:t>
            </w:r>
          </w:p>
        </w:tc>
        <w:tc>
          <w:tcPr>
            <w:tcW w:type="dxa" w:w="1102"/>
            <w:shd w:val="clear" w:color="auto" w:fill="111113"/>
          </w:tcPr>
          <w:p>
            <w:r>
              <w:rPr>
                <w:b/>
                <w:color w:val="FFFFFF"/>
                <w:sz w:val="17"/>
              </w:rPr>
            </w:r>
            <w:r>
              <w:rPr>
                <w:b/>
                <w:color w:val="FFFFFF"/>
                <w:sz w:val="17"/>
              </w:rPr>
              <w:t>Owner</w:t>
            </w:r>
          </w:p>
        </w:tc>
        <w:tc>
          <w:tcPr>
            <w:tcW w:type="dxa" w:w="2992"/>
            <w:shd w:val="clear" w:color="auto" w:fill="111113"/>
          </w:tcPr>
          <w:p>
            <w:r>
              <w:rPr>
                <w:b/>
                <w:color w:val="FFFFFF"/>
                <w:sz w:val="17"/>
              </w:rPr>
            </w:r>
            <w:r>
              <w:rPr>
                <w:b/>
                <w:color w:val="FFFFFF"/>
                <w:sz w:val="17"/>
              </w:rPr>
              <w:t>Edit criteria</w:t>
            </w:r>
          </w:p>
        </w:tc>
      </w:tr>
      <w:tr>
        <w:trPr>
          <w:cantSplit/>
        </w:trPr>
        <w:tc>
          <w:tcPr>
            <w:tcW w:type="dxa" w:w="3503"/>
          </w:tcPr>
          <w:p>
            <w:r>
              <w:rPr>
                <w:sz w:val="17"/>
              </w:rPr>
            </w:r>
            <w:r>
              <w:rPr>
                <w:sz w:val="17"/>
              </w:rPr>
              <w:t>All filenames, views, and sheets validate against 12.3 rules</w:t>
            </w:r>
          </w:p>
        </w:tc>
        <w:tc>
          <w:tcPr>
            <w:tcW w:type="dxa" w:w="2869"/>
          </w:tcPr>
          <w:p>
            <w:r>
              <w:rPr>
                <w:sz w:val="17"/>
              </w:rPr>
            </w:r>
            <w:r>
              <w:rPr>
                <w:sz w:val="17"/>
              </w:rPr>
              <w:t>Automated regex validation for file/​view/​sheet tokens</w:t>
            </w:r>
          </w:p>
        </w:tc>
        <w:tc>
          <w:tcPr>
            <w:tcW w:type="dxa" w:w="1102"/>
          </w:tcPr>
          <w:p>
            <w:r>
              <w:rPr>
                <w:sz w:val="17"/>
              </w:rPr>
            </w:r>
            <w:r>
              <w:rPr>
                <w:sz w:val="17"/>
              </w:rPr>
              <w:t>Information Manager</w:t>
            </w:r>
          </w:p>
        </w:tc>
        <w:tc>
          <w:tcPr>
            <w:tcW w:type="dxa" w:w="2992"/>
          </w:tcPr>
          <w:p>
            <w:r>
              <w:rPr>
                <w:sz w:val="17"/>
              </w:rPr>
            </w:r>
            <w:r>
              <w:rPr>
                <w:sz w:val="17"/>
              </w:rPr>
              <w:t>Only to fix validation failures or after approved standard change</w:t>
            </w:r>
          </w:p>
        </w:tc>
      </w:tr>
      <w:tr>
        <w:trPr>
          <w:cantSplit/>
        </w:trPr>
        <w:tc>
          <w:tcPr>
            <w:tcW w:type="dxa" w:w="3503"/>
          </w:tcPr>
          <w:p>
            <w:r>
              <w:rPr>
                <w:sz w:val="17"/>
              </w:rPr>
            </w:r>
            <w:r>
              <w:rPr>
                <w:sz w:val="17"/>
              </w:rPr>
              <w:t>Each changed container has a new, never-recycled Rnn; manifest lists actual revisions</w:t>
            </w:r>
          </w:p>
        </w:tc>
        <w:tc>
          <w:tcPr>
            <w:tcW w:type="dxa" w:w="2869"/>
          </w:tcPr>
          <w:p>
            <w:r>
              <w:rPr>
                <w:sz w:val="17"/>
              </w:rPr>
            </w:r>
            <w:r>
              <w:rPr>
                <w:sz w:val="17"/>
              </w:rPr>
              <w:t>Compare sheet index vs title block revision; flag gaps or regressions</w:t>
            </w:r>
          </w:p>
        </w:tc>
        <w:tc>
          <w:tcPr>
            <w:tcW w:type="dxa" w:w="1102"/>
          </w:tcPr>
          <w:p>
            <w:r>
              <w:rPr>
                <w:sz w:val="17"/>
              </w:rPr>
            </w:r>
            <w:r>
              <w:rPr>
                <w:sz w:val="17"/>
              </w:rPr>
              <w:t>Discipline Lead</w:t>
            </w:r>
          </w:p>
        </w:tc>
        <w:tc>
          <w:tcPr>
            <w:tcW w:type="dxa" w:w="2992"/>
          </w:tcPr>
          <w:p>
            <w:r>
              <w:rPr>
                <w:sz w:val="17"/>
              </w:rPr>
            </w:r>
            <w:r>
              <w:rPr>
                <w:sz w:val="17"/>
              </w:rPr>
              <w:t>Revise only via approved issue workflow; no manual backdating</w:t>
            </w:r>
          </w:p>
        </w:tc>
      </w:tr>
      <w:tr>
        <w:trPr>
          <w:cantSplit/>
        </w:trPr>
        <w:tc>
          <w:tcPr>
            <w:tcW w:type="dxa" w:w="3503"/>
          </w:tcPr>
          <w:p>
            <w:r>
              <w:rPr>
                <w:sz w:val="17"/>
              </w:rPr>
            </w:r>
            <w:r>
              <w:rPr>
                <w:sz w:val="17"/>
              </w:rPr>
              <w:t>All dated folders/​files use YYYY-MM-DD</w:t>
            </w:r>
          </w:p>
        </w:tc>
        <w:tc>
          <w:tcPr>
            <w:tcW w:type="dxa" w:w="2869"/>
          </w:tcPr>
          <w:p>
            <w:r>
              <w:rPr>
                <w:sz w:val="17"/>
              </w:rPr>
            </w:r>
            <w:r>
              <w:rPr>
                <w:sz w:val="17"/>
              </w:rPr>
              <w:t>Scan publish pack paths and filenames for ISO date format</w:t>
            </w:r>
          </w:p>
        </w:tc>
        <w:tc>
          <w:tcPr>
            <w:tcW w:type="dxa" w:w="1102"/>
          </w:tcPr>
          <w:p>
            <w:r>
              <w:rPr>
                <w:sz w:val="17"/>
              </w:rPr>
            </w:r>
            <w:r>
              <w:rPr>
                <w:sz w:val="17"/>
              </w:rPr>
              <w:t>Information Manager</w:t>
            </w:r>
          </w:p>
        </w:tc>
        <w:tc>
          <w:tcPr>
            <w:tcW w:type="dxa" w:w="2992"/>
          </w:tcPr>
          <w:p>
            <w:r>
              <w:rPr>
                <w:sz w:val="17"/>
              </w:rPr>
            </w:r>
            <w:r>
              <w:rPr>
                <w:sz w:val="17"/>
              </w:rPr>
              <w:t>Rename through CDE action to preserve history</w:t>
            </w:r>
          </w:p>
        </w:tc>
      </w:tr>
    </w:tbl>
    <w:p/>
    <w:p>
      <w:pPr>
        <w:pStyle w:val="Heading3"/>
      </w:pPr>
      <w:r>
        <w:t>Naming schema (defaults)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62"/>
        <w:gridCol w:w="2879"/>
        <w:gridCol w:w="2051"/>
        <w:gridCol w:w="3674"/>
      </w:tblGrid>
      <w:tr>
        <w:trPr>
          <w:cantSplit/>
          <w:tblHeader/>
        </w:trPr>
        <w:tc>
          <w:tcPr>
            <w:tcW w:type="dxa" w:w="1862"/>
            <w:shd w:val="clear" w:color="auto" w:fill="111113"/>
          </w:tcPr>
          <w:p>
            <w:r>
              <w:rPr>
                <w:b/>
                <w:color w:val="FFFFFF"/>
                <w:sz w:val="17"/>
              </w:rPr>
            </w:r>
            <w:r>
              <w:rPr>
                <w:b/>
                <w:color w:val="FFFFFF"/>
                <w:sz w:val="17"/>
              </w:rPr>
              <w:t>Context</w:t>
            </w:r>
          </w:p>
        </w:tc>
        <w:tc>
          <w:tcPr>
            <w:tcW w:type="dxa" w:w="2879"/>
            <w:shd w:val="clear" w:color="auto" w:fill="111113"/>
          </w:tcPr>
          <w:p>
            <w:r>
              <w:rPr>
                <w:b/>
                <w:color w:val="FFFFFF"/>
                <w:sz w:val="17"/>
              </w:rPr>
            </w:r>
            <w:r>
              <w:rPr>
                <w:b/>
                <w:color w:val="FFFFFF"/>
                <w:sz w:val="17"/>
              </w:rPr>
              <w:t>Pattern</w:t>
            </w:r>
          </w:p>
        </w:tc>
        <w:tc>
          <w:tcPr>
            <w:tcW w:type="dxa" w:w="2051"/>
            <w:shd w:val="clear" w:color="auto" w:fill="111113"/>
          </w:tcPr>
          <w:p>
            <w:r>
              <w:rPr>
                <w:b/>
                <w:color w:val="FFFFFF"/>
                <w:sz w:val="17"/>
              </w:rPr>
            </w:r>
            <w:r>
              <w:rPr>
                <w:b/>
                <w:color w:val="FFFFFF"/>
                <w:sz w:val="17"/>
              </w:rPr>
              <w:t>Example</w:t>
            </w:r>
          </w:p>
        </w:tc>
        <w:tc>
          <w:tcPr>
            <w:tcW w:type="dxa" w:w="3674"/>
            <w:shd w:val="clear" w:color="auto" w:fill="111113"/>
          </w:tcPr>
          <w:p>
            <w:r>
              <w:rPr>
                <w:b/>
                <w:color w:val="FFFFFF"/>
                <w:sz w:val="17"/>
              </w:rPr>
            </w:r>
            <w:r>
              <w:rPr>
                <w:b/>
                <w:color w:val="FFFFFF"/>
                <w:sz w:val="17"/>
              </w:rPr>
              <w:t>Notes</w:t>
            </w:r>
          </w:p>
        </w:tc>
      </w:tr>
      <w:tr>
        <w:trPr>
          <w:cantSplit/>
        </w:trPr>
        <w:tc>
          <w:tcPr>
            <w:tcW w:type="dxa" w:w="1862"/>
          </w:tcPr>
          <w:p>
            <w:r>
              <w:rPr>
                <w:sz w:val="17"/>
              </w:rPr>
            </w:r>
            <w:r>
              <w:rPr>
                <w:sz w:val="17"/>
              </w:rPr>
              <w:t>Project code</w:t>
            </w:r>
          </w:p>
        </w:tc>
        <w:tc>
          <w:tcPr>
            <w:tcW w:type="dxa" w:w="2879"/>
          </w:tcPr>
          <w:p>
            <w:r>
              <w:rPr>
                <w:sz w:val="17"/>
              </w:rPr>
            </w:r>
            <w:r>
              <w:rPr>
                <w:sz w:val="17"/>
              </w:rPr>
              <w:t>ORG-PROJ</w:t>
            </w:r>
          </w:p>
        </w:tc>
        <w:tc>
          <w:tcPr>
            <w:tcW w:type="dxa" w:w="2051"/>
          </w:tcPr>
          <w:p>
            <w:r>
              <w:rPr>
                <w:sz w:val="17"/>
              </w:rPr>
            </w:r>
            <w:r>
              <w:rPr>
                <w:sz w:val="17"/>
              </w:rPr>
              <w:t>OFF-P001</w:t>
            </w:r>
          </w:p>
        </w:tc>
        <w:tc>
          <w:tcPr>
            <w:tcW w:type="dxa" w:w="3674"/>
          </w:tcPr>
          <w:p>
            <w:r>
              <w:rPr>
                <w:sz w:val="17"/>
              </w:rPr>
            </w:r>
            <w:r>
              <w:rPr>
                <w:sz w:val="17"/>
              </w:rPr>
              <w:t>Stable short code used across all assets</w:t>
            </w:r>
          </w:p>
        </w:tc>
      </w:tr>
      <w:tr>
        <w:trPr>
          <w:cantSplit/>
        </w:trPr>
        <w:tc>
          <w:tcPr>
            <w:tcW w:type="dxa" w:w="1862"/>
          </w:tcPr>
          <w:p>
            <w:r>
              <w:rPr>
                <w:sz w:val="17"/>
              </w:rPr>
            </w:r>
            <w:r>
              <w:rPr>
                <w:sz w:val="17"/>
              </w:rPr>
              <w:t>File name (external)</w:t>
            </w:r>
          </w:p>
        </w:tc>
        <w:tc>
          <w:tcPr>
            <w:tcW w:type="dxa" w:w="2879"/>
          </w:tcPr>
          <w:p>
            <w:r>
              <w:rPr>
                <w:sz w:val="17"/>
              </w:rPr>
            </w:r>
            <w:r>
              <w:rPr>
                <w:sz w:val="17"/>
              </w:rPr>
              <w:t>CLIENT-ORG-PROJ-VOLUME-LEVEL-TYPE-ROLE-NUMBER.ext</w:t>
            </w:r>
          </w:p>
        </w:tc>
        <w:tc>
          <w:tcPr>
            <w:tcW w:type="dxa" w:w="2051"/>
          </w:tcPr>
          <w:p>
            <w:r>
              <w:rPr>
                <w:sz w:val="17"/>
              </w:rPr>
            </w:r>
            <w:r>
              <w:rPr>
                <w:sz w:val="17"/>
              </w:rPr>
              <w:t>CLI-OFF-P001-ZZ-ZZ-M3-A-0001.ifc</w:t>
            </w:r>
          </w:p>
        </w:tc>
        <w:tc>
          <w:tcPr>
            <w:tcW w:type="dxa" w:w="3674"/>
          </w:tcPr>
          <w:p>
            <w:r>
              <w:rPr>
                <w:sz w:val="17"/>
              </w:rPr>
            </w:r>
            <w:r>
              <w:rPr>
                <w:sz w:val="17"/>
              </w:rPr>
              <w:t>8 tokens, NUMBER 4 digits, lowercase extension (O-DEC-102)</w:t>
            </w:r>
          </w:p>
        </w:tc>
      </w:tr>
      <w:tr>
        <w:trPr>
          <w:cantSplit/>
        </w:trPr>
        <w:tc>
          <w:tcPr>
            <w:tcW w:type="dxa" w:w="1862"/>
          </w:tcPr>
          <w:p>
            <w:r>
              <w:rPr>
                <w:sz w:val="17"/>
              </w:rPr>
            </w:r>
            <w:r>
              <w:rPr>
                <w:sz w:val="17"/>
              </w:rPr>
              <w:t>Internal WIP alias (legacy)</w:t>
            </w:r>
          </w:p>
        </w:tc>
        <w:tc>
          <w:tcPr>
            <w:tcW w:type="dxa" w:w="2879"/>
          </w:tcPr>
          <w:p>
            <w:r>
              <w:rPr>
                <w:sz w:val="17"/>
              </w:rPr>
            </w:r>
            <w:r>
              <w:rPr>
                <w:sz w:val="17"/>
              </w:rPr>
              <w:t>ORG-PROJ-DISC-PHASE-SEQUENCE</w:t>
            </w:r>
          </w:p>
        </w:tc>
        <w:tc>
          <w:tcPr>
            <w:tcW w:type="dxa" w:w="2051"/>
          </w:tcPr>
          <w:p>
            <w:r>
              <w:rPr>
                <w:sz w:val="17"/>
              </w:rPr>
            </w:r>
            <w:r>
              <w:rPr>
                <w:sz w:val="17"/>
              </w:rPr>
              <w:t>OFF-P001-ARC-WIP-W2</w:t>
            </w:r>
          </w:p>
        </w:tc>
        <w:tc>
          <w:tcPr>
            <w:tcW w:type="dxa" w:w="3674"/>
          </w:tcPr>
          <w:p>
            <w:r>
              <w:rPr>
                <w:sz w:val="17"/>
              </w:rPr>
            </w:r>
            <w:r>
              <w:rPr>
                <w:sz w:val="17"/>
              </w:rPr>
              <w:t>Mapped one-to-one to the external ID; never issued</w:t>
            </w:r>
          </w:p>
        </w:tc>
      </w:tr>
      <w:tr>
        <w:trPr>
          <w:cantSplit/>
        </w:trPr>
        <w:tc>
          <w:tcPr>
            <w:tcW w:type="dxa" w:w="1862"/>
          </w:tcPr>
          <w:p>
            <w:r>
              <w:rPr>
                <w:sz w:val="17"/>
              </w:rPr>
            </w:r>
            <w:r>
              <w:rPr>
                <w:sz w:val="17"/>
              </w:rPr>
              <w:t>View name</w:t>
            </w:r>
          </w:p>
        </w:tc>
        <w:tc>
          <w:tcPr>
            <w:tcW w:type="dxa" w:w="2879"/>
          </w:tcPr>
          <w:p>
            <w:r>
              <w:rPr>
                <w:sz w:val="17"/>
              </w:rPr>
            </w:r>
            <w:r>
              <w:rPr>
                <w:sz w:val="17"/>
              </w:rPr>
              <w:t>DISC-LEVEL-ZONE-TYPE-DESC</w:t>
            </w:r>
          </w:p>
        </w:tc>
        <w:tc>
          <w:tcPr>
            <w:tcW w:type="dxa" w:w="2051"/>
          </w:tcPr>
          <w:p>
            <w:r>
              <w:rPr>
                <w:sz w:val="17"/>
              </w:rPr>
            </w:r>
            <w:r>
              <w:rPr>
                <w:sz w:val="17"/>
              </w:rPr>
              <w:t>ARC-L02-Z03-PLAN-Furniture</w:t>
            </w:r>
          </w:p>
        </w:tc>
        <w:tc>
          <w:tcPr>
            <w:tcW w:type="dxa" w:w="3674"/>
          </w:tcPr>
          <w:p>
            <w:r>
              <w:rPr>
                <w:sz w:val="17"/>
              </w:rPr>
            </w:r>
            <w:r>
              <w:rPr>
                <w:sz w:val="17"/>
              </w:rPr>
              <w:t>Omit ZONE if not applicable</w:t>
            </w:r>
          </w:p>
        </w:tc>
      </w:tr>
      <w:tr>
        <w:trPr>
          <w:cantSplit/>
        </w:trPr>
        <w:tc>
          <w:tcPr>
            <w:tcW w:type="dxa" w:w="1862"/>
          </w:tcPr>
          <w:p>
            <w:r>
              <w:rPr>
                <w:sz w:val="17"/>
              </w:rPr>
            </w:r>
            <w:r>
              <w:rPr>
                <w:sz w:val="17"/>
              </w:rPr>
              <w:t>Sheet number</w:t>
            </w:r>
          </w:p>
        </w:tc>
        <w:tc>
          <w:tcPr>
            <w:tcW w:type="dxa" w:w="2879"/>
          </w:tcPr>
          <w:p>
            <w:r>
              <w:rPr>
                <w:sz w:val="17"/>
              </w:rPr>
            </w:r>
            <w:r>
              <w:rPr>
                <w:sz w:val="17"/>
              </w:rPr>
              <w:t>DISC-CAT-INDEX</w:t>
            </w:r>
          </w:p>
        </w:tc>
        <w:tc>
          <w:tcPr>
            <w:tcW w:type="dxa" w:w="2051"/>
          </w:tcPr>
          <w:p>
            <w:r>
              <w:rPr>
                <w:sz w:val="17"/>
              </w:rPr>
            </w:r>
            <w:r>
              <w:rPr>
                <w:sz w:val="17"/>
              </w:rPr>
              <w:t>A-10-101</w:t>
            </w:r>
          </w:p>
        </w:tc>
        <w:tc>
          <w:tcPr>
            <w:tcW w:type="dxa" w:w="3674"/>
          </w:tcPr>
          <w:p>
            <w:r>
              <w:rPr>
                <w:sz w:val="17"/>
              </w:rPr>
            </w:r>
            <w:r>
              <w:rPr>
                <w:sz w:val="17"/>
              </w:rPr>
              <w:t>Category block per discipline standard</w:t>
            </w:r>
          </w:p>
        </w:tc>
      </w:tr>
      <w:tr>
        <w:trPr>
          <w:cantSplit/>
        </w:trPr>
        <w:tc>
          <w:tcPr>
            <w:tcW w:type="dxa" w:w="1862"/>
          </w:tcPr>
          <w:p>
            <w:r>
              <w:rPr>
                <w:sz w:val="17"/>
              </w:rPr>
            </w:r>
            <w:r>
              <w:rPr>
                <w:sz w:val="17"/>
              </w:rPr>
              <w:t>Revision</w:t>
            </w:r>
          </w:p>
        </w:tc>
        <w:tc>
          <w:tcPr>
            <w:tcW w:type="dxa" w:w="2879"/>
          </w:tcPr>
          <w:p>
            <w:r>
              <w:rPr>
                <w:sz w:val="17"/>
              </w:rPr>
            </w:r>
            <w:r>
              <w:rPr>
                <w:sz w:val="17"/>
              </w:rPr>
              <w:t>Rnn</w:t>
            </w:r>
          </w:p>
        </w:tc>
        <w:tc>
          <w:tcPr>
            <w:tcW w:type="dxa" w:w="2051"/>
          </w:tcPr>
          <w:p>
            <w:r>
              <w:rPr>
                <w:sz w:val="17"/>
              </w:rPr>
            </w:r>
            <w:r>
              <w:rPr>
                <w:sz w:val="17"/>
              </w:rPr>
              <w:t>R03</w:t>
            </w:r>
          </w:p>
        </w:tc>
        <w:tc>
          <w:tcPr>
            <w:tcW w:type="dxa" w:w="3674"/>
          </w:tcPr>
          <w:p>
            <w:r>
              <w:rPr>
                <w:sz w:val="17"/>
              </w:rPr>
            </w:r>
            <w:r>
              <w:rPr>
                <w:sz w:val="17"/>
              </w:rPr>
              <w:t>Per container: R00 initial WIP, never recycled; unchanged containers keep their revision (O-DEC-113)</w:t>
            </w:r>
          </w:p>
        </w:tc>
      </w:tr>
      <w:tr>
        <w:trPr>
          <w:cantSplit/>
        </w:trPr>
        <w:tc>
          <w:tcPr>
            <w:tcW w:type="dxa" w:w="1862"/>
          </w:tcPr>
          <w:p>
            <w:r>
              <w:rPr>
                <w:sz w:val="17"/>
              </w:rPr>
            </w:r>
            <w:r>
              <w:rPr>
                <w:sz w:val="17"/>
              </w:rPr>
              <w:t>Date format</w:t>
            </w:r>
          </w:p>
        </w:tc>
        <w:tc>
          <w:tcPr>
            <w:tcW w:type="dxa" w:w="2879"/>
          </w:tcPr>
          <w:p>
            <w:r>
              <w:rPr>
                <w:sz w:val="17"/>
              </w:rPr>
            </w:r>
            <w:r>
              <w:rPr>
                <w:sz w:val="17"/>
              </w:rPr>
              <w:t>YYYY-MM-DD</w:t>
            </w:r>
          </w:p>
        </w:tc>
        <w:tc>
          <w:tcPr>
            <w:tcW w:type="dxa" w:w="2051"/>
          </w:tcPr>
          <w:p>
            <w:r>
              <w:rPr>
                <w:sz w:val="17"/>
              </w:rPr>
            </w:r>
            <w:r>
              <w:rPr>
                <w:sz w:val="17"/>
              </w:rPr>
              <w:t>2026-10-14</w:t>
            </w:r>
          </w:p>
        </w:tc>
        <w:tc>
          <w:tcPr>
            <w:tcW w:type="dxa" w:w="3674"/>
          </w:tcPr>
          <w:p>
            <w:r>
              <w:rPr>
                <w:sz w:val="17"/>
              </w:rPr>
            </w:r>
            <w:r>
              <w:rPr>
                <w:sz w:val="17"/>
              </w:rPr>
              <w:t>ISO 8601 in titles and transmittals</w:t>
            </w:r>
          </w:p>
        </w:tc>
      </w:tr>
    </w:tbl>
    <w:p/>
    <w:p>
      <w:pPr>
        <w:pStyle w:val="Heading3"/>
      </w:pPr>
      <w:r>
        <w:t>Acceptance for 3.1</w:t>
      </w:r>
    </w:p>
    <w:p>
      <w:pPr/>
      <w:r>
        <w:t>PHASE tokens are retired from external identity (O-DEC-023, O-DEC-102). Governed by 12.3 (Naming and metadata).</w:t>
      </w:r>
    </w:p>
    <w:p>
      <w:pPr/>
      <w:r>
        <w:t>All filenames, views, and sheets validate against 12.3 rules</w:t>
      </w:r>
    </w:p>
    <w:p>
      <w:pPr/>
      <w:r>
        <w:t>Rnn increases per changed container and is never recycled; unchanged containers keep their revision; the pack manifest lists each container's actual revision</w:t>
      </w:r>
    </w:p>
    <w:p>
      <w:pPr/>
      <w:r>
        <w:t>All dated folders and files use ISO 8601 (YYYY-MM-DD)</w:t>
      </w:r>
    </w:p>
    <w:p>
      <w:pPr/>
      <w:r>
        <w:t>Cross-reference: 12.3 Naming and metadata</w:t>
      </w:r>
    </w:p>
    <w:p>
      <w:pPr>
        <w:pStyle w:val="Heading3"/>
      </w:pPr>
      <w:r>
        <w:t>3.1.1 SUITABILITY CODES</w:t>
      </w:r>
    </w:p>
    <w:p>
      <w:pPr/>
      <w:r>
        <w:t xml:space="preserve">Office codes only (O-DEC-022, O-DEC-104). The mapping to client and UK National Annex codes (S0–S7, A, B, CR, P/C revision forms) and to authority profiles is held once in </w:t>
      </w:r>
      <w:r>
        <w:rPr>
          <w:color w:val="9A7B45"/>
          <w:u w:val="single"/>
        </w:rPr>
        <w:t>BBM-STD-93</w:t>
      </w:r>
      <w:r>
        <w:t>; the appointment code list overrides through that mapping and is recorded in the project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32"/>
        <w:gridCol w:w="5157"/>
        <w:gridCol w:w="973"/>
        <w:gridCol w:w="3204"/>
      </w:tblGrid>
      <w:tr>
        <w:trPr>
          <w:cantSplit/>
          <w:tblHeader/>
        </w:trPr>
        <w:tc>
          <w:tcPr>
            <w:tcW w:type="dxa" w:w="1132"/>
            <w:shd w:val="clear" w:color="auto" w:fill="111113"/>
          </w:tcPr>
          <w:p>
            <w:r>
              <w:rPr>
                <w:b/>
                <w:color w:val="FFFFFF"/>
                <w:sz w:val="17"/>
              </w:rPr>
            </w:r>
            <w:r>
              <w:rPr>
                <w:b/>
                <w:color w:val="FFFFFF"/>
                <w:sz w:val="17"/>
              </w:rPr>
              <w:t>Office code</w:t>
            </w:r>
          </w:p>
        </w:tc>
        <w:tc>
          <w:tcPr>
            <w:tcW w:type="dxa" w:w="5157"/>
            <w:shd w:val="clear" w:color="auto" w:fill="111113"/>
          </w:tcPr>
          <w:p>
            <w:r>
              <w:rPr>
                <w:b/>
                <w:color w:val="FFFFFF"/>
                <w:sz w:val="17"/>
              </w:rPr>
            </w:r>
            <w:r>
              <w:rPr>
                <w:b/>
                <w:color w:val="FFFFFF"/>
                <w:sz w:val="17"/>
              </w:rPr>
              <w:t>Meaning /​ permitted use</w:t>
            </w:r>
          </w:p>
        </w:tc>
        <w:tc>
          <w:tcPr>
            <w:tcW w:type="dxa" w:w="973"/>
            <w:shd w:val="clear" w:color="auto" w:fill="111113"/>
          </w:tcPr>
          <w:p>
            <w:r>
              <w:rPr>
                <w:b/>
                <w:color w:val="FFFFFF"/>
                <w:sz w:val="17"/>
              </w:rPr>
            </w:r>
            <w:r>
              <w:rPr>
                <w:b/>
                <w:color w:val="FFFFFF"/>
                <w:sz w:val="17"/>
              </w:rPr>
              <w:t>CDE state</w:t>
            </w:r>
          </w:p>
        </w:tc>
        <w:tc>
          <w:tcPr>
            <w:tcW w:type="dxa" w:w="3204"/>
            <w:shd w:val="clear" w:color="auto" w:fill="111113"/>
          </w:tcPr>
          <w:p>
            <w:r>
              <w:rPr>
                <w:b/>
                <w:color w:val="FFFFFF"/>
                <w:sz w:val="17"/>
              </w:rPr>
            </w:r>
            <w:r>
              <w:rPr>
                <w:b/>
                <w:color w:val="FFFFFF"/>
                <w:sz w:val="17"/>
              </w:rPr>
              <w:t>Who may set it</w:t>
            </w:r>
          </w:p>
        </w:tc>
      </w:tr>
      <w:tr>
        <w:trPr>
          <w:cantSplit/>
        </w:trPr>
        <w:tc>
          <w:tcPr>
            <w:tcW w:type="dxa" w:w="1132"/>
          </w:tcPr>
          <w:p>
            <w:r>
              <w:rPr>
                <w:sz w:val="17"/>
              </w:rPr>
            </w:r>
            <w:r>
              <w:rPr>
                <w:sz w:val="17"/>
              </w:rPr>
              <w:t>SU-WIP</w:t>
            </w:r>
          </w:p>
        </w:tc>
        <w:tc>
          <w:tcPr>
            <w:tcW w:type="dxa" w:w="5157"/>
          </w:tcPr>
          <w:p>
            <w:r>
              <w:rPr>
                <w:sz w:val="17"/>
              </w:rPr>
            </w:r>
            <w:r>
              <w:rPr>
                <w:sz w:val="17"/>
              </w:rPr>
              <w:t>Task-team work in progress</w:t>
            </w:r>
          </w:p>
        </w:tc>
        <w:tc>
          <w:tcPr>
            <w:tcW w:type="dxa" w:w="973"/>
          </w:tcPr>
          <w:p>
            <w:r>
              <w:rPr>
                <w:sz w:val="17"/>
              </w:rPr>
            </w:r>
            <w:r>
              <w:rPr>
                <w:sz w:val="17"/>
              </w:rPr>
              <w:t>WIP</w:t>
            </w:r>
          </w:p>
        </w:tc>
        <w:tc>
          <w:tcPr>
            <w:tcW w:type="dxa" w:w="3204"/>
          </w:tcPr>
          <w:p>
            <w:r>
              <w:rPr>
                <w:sz w:val="17"/>
              </w:rPr>
            </w:r>
            <w:r>
              <w:rPr>
                <w:sz w:val="17"/>
              </w:rPr>
              <w:t>Task-team author</w:t>
            </w:r>
          </w:p>
        </w:tc>
      </w:tr>
      <w:tr>
        <w:trPr>
          <w:cantSplit/>
        </w:trPr>
        <w:tc>
          <w:tcPr>
            <w:tcW w:type="dxa" w:w="1132"/>
          </w:tcPr>
          <w:p>
            <w:r>
              <w:rPr>
                <w:sz w:val="17"/>
              </w:rPr>
            </w:r>
            <w:r>
              <w:rPr>
                <w:sz w:val="17"/>
              </w:rPr>
              <w:t>SU-COORD</w:t>
            </w:r>
          </w:p>
        </w:tc>
        <w:tc>
          <w:tcPr>
            <w:tcW w:type="dxa" w:w="5157"/>
          </w:tcPr>
          <w:p>
            <w:r>
              <w:rPr>
                <w:sz w:val="17"/>
              </w:rPr>
            </w:r>
            <w:r>
              <w:rPr>
                <w:sz w:val="17"/>
              </w:rPr>
              <w:t>Shared for coordination</w:t>
            </w:r>
          </w:p>
        </w:tc>
        <w:tc>
          <w:tcPr>
            <w:tcW w:type="dxa" w:w="973"/>
          </w:tcPr>
          <w:p>
            <w:r>
              <w:rPr>
                <w:sz w:val="17"/>
              </w:rPr>
            </w:r>
            <w:r>
              <w:rPr>
                <w:sz w:val="17"/>
              </w:rPr>
              <w:t>Shared</w:t>
            </w:r>
          </w:p>
        </w:tc>
        <w:tc>
          <w:tcPr>
            <w:tcW w:type="dxa" w:w="3204"/>
          </w:tcPr>
          <w:p>
            <w:r>
              <w:rPr>
                <w:sz w:val="17"/>
              </w:rPr>
            </w:r>
            <w:r>
              <w:rPr>
                <w:sz w:val="17"/>
              </w:rPr>
              <w:t>Task-team lead after check</w:t>
            </w:r>
          </w:p>
        </w:tc>
      </w:tr>
      <w:tr>
        <w:trPr>
          <w:cantSplit/>
        </w:trPr>
        <w:tc>
          <w:tcPr>
            <w:tcW w:type="dxa" w:w="1132"/>
          </w:tcPr>
          <w:p>
            <w:r>
              <w:rPr>
                <w:sz w:val="17"/>
              </w:rPr>
            </w:r>
            <w:r>
              <w:rPr>
                <w:sz w:val="17"/>
              </w:rPr>
              <w:t>SU-INFO</w:t>
            </w:r>
          </w:p>
        </w:tc>
        <w:tc>
          <w:tcPr>
            <w:tcW w:type="dxa" w:w="5157"/>
          </w:tcPr>
          <w:p>
            <w:r>
              <w:rPr>
                <w:sz w:val="17"/>
              </w:rPr>
            </w:r>
            <w:r>
              <w:rPr>
                <w:sz w:val="17"/>
              </w:rPr>
              <w:t>Shared for information /​ reference</w:t>
            </w:r>
          </w:p>
        </w:tc>
        <w:tc>
          <w:tcPr>
            <w:tcW w:type="dxa" w:w="973"/>
          </w:tcPr>
          <w:p>
            <w:r>
              <w:rPr>
                <w:sz w:val="17"/>
              </w:rPr>
            </w:r>
            <w:r>
              <w:rPr>
                <w:sz w:val="17"/>
              </w:rPr>
              <w:t>Shared</w:t>
            </w:r>
          </w:p>
        </w:tc>
        <w:tc>
          <w:tcPr>
            <w:tcW w:type="dxa" w:w="3204"/>
          </w:tcPr>
          <w:p>
            <w:r>
              <w:rPr>
                <w:sz w:val="17"/>
              </w:rPr>
            </w:r>
            <w:r>
              <w:rPr>
                <w:sz w:val="17"/>
              </w:rPr>
              <w:t>Task-team lead after check</w:t>
            </w:r>
          </w:p>
        </w:tc>
      </w:tr>
      <w:tr>
        <w:trPr>
          <w:cantSplit/>
        </w:trPr>
        <w:tc>
          <w:tcPr>
            <w:tcW w:type="dxa" w:w="1132"/>
          </w:tcPr>
          <w:p>
            <w:r>
              <w:rPr>
                <w:sz w:val="17"/>
              </w:rPr>
            </w:r>
            <w:r>
              <w:rPr>
                <w:sz w:val="17"/>
              </w:rPr>
              <w:t>SU-REVIEW</w:t>
            </w:r>
          </w:p>
        </w:tc>
        <w:tc>
          <w:tcPr>
            <w:tcW w:type="dxa" w:w="5157"/>
          </w:tcPr>
          <w:p>
            <w:r>
              <w:rPr>
                <w:sz w:val="17"/>
              </w:rPr>
            </w:r>
            <w:r>
              <w:rPr>
                <w:sz w:val="17"/>
              </w:rPr>
              <w:t>Shared for review and comment, or submitted for authorisation</w:t>
            </w:r>
          </w:p>
        </w:tc>
        <w:tc>
          <w:tcPr>
            <w:tcW w:type="dxa" w:w="973"/>
          </w:tcPr>
          <w:p>
            <w:r>
              <w:rPr>
                <w:sz w:val="17"/>
              </w:rPr>
            </w:r>
            <w:r>
              <w:rPr>
                <w:sz w:val="17"/>
              </w:rPr>
              <w:t>Shared</w:t>
            </w:r>
          </w:p>
        </w:tc>
        <w:tc>
          <w:tcPr>
            <w:tcW w:type="dxa" w:w="3204"/>
          </w:tcPr>
          <w:p>
            <w:r>
              <w:rPr>
                <w:sz w:val="17"/>
              </w:rPr>
            </w:r>
            <w:r>
              <w:rPr>
                <w:sz w:val="17"/>
              </w:rPr>
              <w:t>LAP</w:t>
            </w:r>
          </w:p>
        </w:tc>
      </w:tr>
      <w:tr>
        <w:trPr>
          <w:cantSplit/>
        </w:trPr>
        <w:tc>
          <w:tcPr>
            <w:tcW w:type="dxa" w:w="1132"/>
          </w:tcPr>
          <w:p>
            <w:r>
              <w:rPr>
                <w:sz w:val="17"/>
              </w:rPr>
            </w:r>
            <w:r>
              <w:rPr>
                <w:sz w:val="17"/>
              </w:rPr>
              <w:t>SU-ISSUE</w:t>
            </w:r>
          </w:p>
        </w:tc>
        <w:tc>
          <w:tcPr>
            <w:tcW w:type="dxa" w:w="5157"/>
          </w:tcPr>
          <w:p>
            <w:r>
              <w:rPr>
                <w:sz w:val="17"/>
              </w:rPr>
            </w:r>
            <w:r>
              <w:rPr>
                <w:sz w:val="17"/>
              </w:rPr>
              <w:t>Authorised for the defined use</w:t>
            </w:r>
          </w:p>
        </w:tc>
        <w:tc>
          <w:tcPr>
            <w:tcW w:type="dxa" w:w="973"/>
          </w:tcPr>
          <w:p>
            <w:r>
              <w:rPr>
                <w:sz w:val="17"/>
              </w:rPr>
            </w:r>
            <w:r>
              <w:rPr>
                <w:sz w:val="17"/>
              </w:rPr>
              <w:t>Published</w:t>
            </w:r>
          </w:p>
        </w:tc>
        <w:tc>
          <w:tcPr>
            <w:tcW w:type="dxa" w:w="3204"/>
          </w:tcPr>
          <w:p>
            <w:r>
              <w:rPr>
                <w:sz w:val="17"/>
              </w:rPr>
            </w:r>
            <w:r>
              <w:rPr>
                <w:sz w:val="17"/>
              </w:rPr>
              <w:t>LAP after authorisation (O-DEC-117)</w:t>
            </w:r>
          </w:p>
        </w:tc>
      </w:tr>
    </w:tbl>
    <w:p/>
    <w:p>
      <w:pPr>
        <w:pStyle w:val="Heading2"/>
      </w:pPr>
      <w:r>
        <w:t>3.2 PARAMETERS AND DATA DICTIONARIES</w:t>
      </w:r>
    </w:p>
    <w:p>
      <w:pPr/>
      <w:r>
        <w:rPr>
          <w:b/>
        </w:rPr>
        <w:t>Decision (BIM Manager, 2026-10-14):</w:t>
      </w:r>
      <w:r>
        <w:t xml:space="preserve"> Use 95% valid applicable non-mandatory values as informational progress only; define numerator, denominator, scope and cut-off and report missing/invalid/excluded/not-applicable separately; all applicable mandatory geometry/data/documentation must pass before release. Basis: O3 acceptance forbids averaging away mandatory failures S04 (</w:t>
      </w:r>
      <w:r>
        <w:rPr>
          <w:color w:val="9A7B45"/>
          <w:u w:val="single"/>
        </w:rPr>
        <w:t>O-DEC-041</w:t>
      </w:r>
      <w:r>
        <w:t>).</w:t>
      </w:r>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S04 (</w:t>
      </w:r>
      <w:r>
        <w:rPr>
          <w:color w:val="9A7B45"/>
          <w:u w:val="single"/>
        </w:rPr>
        <w:t>O-DEC-003</w:t>
      </w:r>
      <w:r>
        <w:t>).</w:t>
      </w:r>
    </w:p>
    <w:p>
      <w:pPr/>
      <w:r>
        <w:t>Required export core properties use the mandatory rule. Exclusions need scope, justification, owner and approval before checks; no failed safety, identity or exchange-mandatory value is hidden in a portfolio average.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1"/>
        <w:gridCol w:w="5766"/>
        <w:gridCol w:w="3419"/>
      </w:tblGrid>
      <w:tr>
        <w:trPr>
          <w:cantSplit/>
          <w:tblHeader/>
        </w:trPr>
        <w:tc>
          <w:tcPr>
            <w:tcW w:type="dxa" w:w="1281"/>
            <w:shd w:val="clear" w:color="auto" w:fill="111113"/>
          </w:tcPr>
          <w:p>
            <w:r>
              <w:rPr>
                <w:b/>
                <w:color w:val="FFFFFF"/>
                <w:sz w:val="17"/>
              </w:rPr>
            </w:r>
            <w:r>
              <w:rPr>
                <w:b/>
                <w:color w:val="FFFFFF"/>
                <w:sz w:val="17"/>
              </w:rPr>
              <w:t>Dictionary control</w:t>
            </w:r>
          </w:p>
        </w:tc>
        <w:tc>
          <w:tcPr>
            <w:tcW w:type="dxa" w:w="5766"/>
            <w:shd w:val="clear" w:color="auto" w:fill="111113"/>
          </w:tcPr>
          <w:p>
            <w:r>
              <w:rPr>
                <w:b/>
                <w:color w:val="FFFFFF"/>
                <w:sz w:val="17"/>
              </w:rPr>
            </w:r>
            <w:r>
              <w:rPr>
                <w:b/>
                <w:color w:val="FFFFFF"/>
                <w:sz w:val="17"/>
              </w:rPr>
              <w:t>Required record /​ recommended mapping</w:t>
            </w:r>
          </w:p>
        </w:tc>
        <w:tc>
          <w:tcPr>
            <w:tcW w:type="dxa" w:w="3419"/>
            <w:shd w:val="clear" w:color="auto" w:fill="111113"/>
          </w:tcPr>
          <w:p>
            <w:r>
              <w:rPr>
                <w:b/>
                <w:color w:val="FFFFFF"/>
                <w:sz w:val="17"/>
              </w:rPr>
            </w:r>
            <w:r>
              <w:rPr>
                <w:b/>
                <w:color w:val="FFFFFF"/>
                <w:sz w:val="17"/>
              </w:rPr>
              <w:t>Test</w:t>
            </w:r>
          </w:p>
        </w:tc>
      </w:tr>
      <w:tr>
        <w:trPr>
          <w:cantSplit/>
        </w:trPr>
        <w:tc>
          <w:tcPr>
            <w:tcW w:type="dxa" w:w="1281"/>
          </w:tcPr>
          <w:p>
            <w:r>
              <w:rPr>
                <w:sz w:val="17"/>
              </w:rPr>
            </w:r>
            <w:r>
              <w:rPr>
                <w:sz w:val="17"/>
              </w:rPr>
              <w:t>Stable property ID</w:t>
            </w:r>
          </w:p>
        </w:tc>
        <w:tc>
          <w:tcPr>
            <w:tcW w:type="dxa" w:w="5766"/>
          </w:tcPr>
          <w:p>
            <w:r>
              <w:rPr>
                <w:sz w:val="17"/>
              </w:rPr>
            </w:r>
            <w:r>
              <w:rPr>
                <w:sz w:val="17"/>
              </w:rPr>
              <w:t>Dictionary ID, definition, owner, version, shared GUID where applicable</w:t>
            </w:r>
          </w:p>
        </w:tc>
        <w:tc>
          <w:tcPr>
            <w:tcW w:type="dxa" w:w="3419"/>
          </w:tcPr>
          <w:p>
            <w:r>
              <w:rPr>
                <w:sz w:val="17"/>
              </w:rPr>
            </w:r>
            <w:r>
              <w:rPr>
                <w:sz w:val="17"/>
              </w:rPr>
              <w:t>Match GUID and semantics, not display name alone</w:t>
            </w:r>
          </w:p>
        </w:tc>
      </w:tr>
      <w:tr>
        <w:trPr>
          <w:cantSplit/>
        </w:trPr>
        <w:tc>
          <w:tcPr>
            <w:tcW w:type="dxa" w:w="1281"/>
          </w:tcPr>
          <w:p>
            <w:r>
              <w:rPr>
                <w:sz w:val="17"/>
              </w:rPr>
            </w:r>
            <w:r>
              <w:rPr>
                <w:sz w:val="17"/>
              </w:rPr>
              <w:t>Binding</w:t>
            </w:r>
          </w:p>
        </w:tc>
        <w:tc>
          <w:tcPr>
            <w:tcW w:type="dxa" w:w="5766"/>
          </w:tcPr>
          <w:p>
            <w:r>
              <w:rPr>
                <w:sz w:val="17"/>
              </w:rPr>
            </w:r>
            <w:r>
              <w:rPr>
                <w:sz w:val="17"/>
              </w:rPr>
              <w:t>Categories, instance/​type/​project scope, required exchange IDs</w:t>
            </w:r>
          </w:p>
        </w:tc>
        <w:tc>
          <w:tcPr>
            <w:tcW w:type="dxa" w:w="3419"/>
          </w:tcPr>
          <w:p>
            <w:r>
              <w:rPr>
                <w:sz w:val="17"/>
              </w:rPr>
            </w:r>
            <w:r>
              <w:rPr>
                <w:sz w:val="17"/>
              </w:rPr>
              <w:t>Representative placed element, tag, schedule and IFC result</w:t>
            </w:r>
          </w:p>
        </w:tc>
      </w:tr>
      <w:tr>
        <w:trPr>
          <w:cantSplit/>
        </w:trPr>
        <w:tc>
          <w:tcPr>
            <w:tcW w:type="dxa" w:w="1281"/>
          </w:tcPr>
          <w:p>
            <w:r>
              <w:rPr>
                <w:sz w:val="17"/>
              </w:rPr>
            </w:r>
            <w:r>
              <w:rPr>
                <w:sz w:val="17"/>
              </w:rPr>
              <w:t>Value schema</w:t>
            </w:r>
          </w:p>
        </w:tc>
        <w:tc>
          <w:tcPr>
            <w:tcW w:type="dxa" w:w="5766"/>
          </w:tcPr>
          <w:p>
            <w:r>
              <w:rPr>
                <w:sz w:val="17"/>
              </w:rPr>
            </w:r>
            <w:r>
              <w:rPr>
                <w:sz w:val="17"/>
              </w:rPr>
              <w:t>Type, unit, allowed values, validation, source/​update owner</w:t>
            </w:r>
          </w:p>
        </w:tc>
        <w:tc>
          <w:tcPr>
            <w:tcW w:type="dxa" w:w="3419"/>
          </w:tcPr>
          <w:p>
            <w:r>
              <w:rPr>
                <w:sz w:val="17"/>
              </w:rPr>
            </w:r>
            <w:r>
              <w:rPr>
                <w:sz w:val="17"/>
              </w:rPr>
              <w:t>Known valid/​invalid/​empty/​unit-conversion cases</w:t>
            </w:r>
          </w:p>
        </w:tc>
      </w:tr>
      <w:tr>
        <w:trPr>
          <w:cantSplit/>
        </w:trPr>
        <w:tc>
          <w:tcPr>
            <w:tcW w:type="dxa" w:w="1281"/>
          </w:tcPr>
          <w:p>
            <w:r>
              <w:rPr>
                <w:sz w:val="17"/>
              </w:rPr>
            </w:r>
            <w:r>
              <w:rPr>
                <w:sz w:val="17"/>
              </w:rPr>
              <w:t>Classification</w:t>
            </w:r>
          </w:p>
        </w:tc>
        <w:tc>
          <w:tcPr>
            <w:tcW w:type="dxa" w:w="5766"/>
          </w:tcPr>
          <w:p>
            <w:r>
              <w:rPr>
                <w:sz w:val="17"/>
              </w:rPr>
            </w:r>
            <w:r>
              <w:rPr>
                <w:sz w:val="17"/>
              </w:rPr>
              <w:t>Uniclass table and frozen release recorded in annex</w:t>
            </w:r>
          </w:p>
        </w:tc>
        <w:tc>
          <w:tcPr>
            <w:tcW w:type="dxa" w:w="3419"/>
          </w:tcPr>
          <w:p>
            <w:r>
              <w:rPr>
                <w:sz w:val="17"/>
              </w:rPr>
            </w:r>
            <w:r>
              <w:rPr>
                <w:sz w:val="17"/>
              </w:rPr>
              <w:t>Validate code and table; do not silently switch quarterly editions</w:t>
            </w:r>
          </w:p>
        </w:tc>
      </w:tr>
      <w:tr>
        <w:trPr/>
        <w:tc>
          <w:tcPr>
            <w:tcW w:type="dxa" w:w="1281"/>
          </w:tcPr>
          <w:p>
            <w:r>
              <w:rPr>
                <w:sz w:val="17"/>
              </w:rPr>
            </w:r>
            <w:r>
              <w:rPr>
                <w:sz w:val="17"/>
              </w:rPr>
              <w:t>Asset identity aliases</w:t>
            </w:r>
          </w:p>
        </w:tc>
        <w:tc>
          <w:tcPr>
            <w:tcW w:type="dxa" w:w="5766"/>
          </w:tcPr>
          <w:p>
            <w:r>
              <w:rPr>
                <w:sz w:val="17"/>
              </w:rPr>
            </w:r>
            <w:r>
              <w:rPr>
                <w:b/>
                <w:sz w:val="17"/>
              </w:rPr>
              <w:t>Decision (BIM Manager, 2026-10-14):</w:t>
            </w:r>
            <w:r>
              <w:rPr>
                <w:sz w:val="17"/>
              </w:rPr>
              <w:t xml:space="preserve"> Use canonical Asset_ID as stable text occurrence identifier for applicable maintainable assets; map AssetID, Asset ID, Asset Tag and AssetTag aliases, retaining distinct physical/​finance tags where needed; preserve GUIDs and receiver mappings. Basis: Stable semantic identity matters more than display aliases or blind renaming S16, S17 (</w:t>
            </w:r>
            <w:r>
              <w:rPr>
                <w:color w:val="9A7B45"/>
                <w:sz w:val="17"/>
                <w:u w:val="single"/>
              </w:rPr>
              <w:t>O-DEC-026</w:t>
            </w:r>
            <w:r>
              <w:rPr>
                <w:sz w:val="17"/>
              </w:rPr>
              <w:t>).</w:t>
            </w:r>
          </w:p>
        </w:tc>
        <w:tc>
          <w:tcPr>
            <w:tcW w:type="dxa" w:w="3419"/>
          </w:tcPr>
          <w:p>
            <w:r>
              <w:rPr>
                <w:sz w:val="17"/>
              </w:rPr>
            </w:r>
            <w:r>
              <w:rPr>
                <w:sz w:val="17"/>
              </w:rPr>
              <w:t>Unique applicable maintainable asset IDs; preserve source identity across issues</w:t>
            </w:r>
          </w:p>
        </w:tc>
      </w:tr>
      <w:tr>
        <w:trPr/>
        <w:tc>
          <w:tcPr>
            <w:tcW w:type="dxa" w:w="1281"/>
          </w:tcPr>
          <w:p>
            <w:r>
              <w:rPr>
                <w:sz w:val="17"/>
              </w:rPr>
            </w:r>
            <w:r>
              <w:rPr>
                <w:sz w:val="17"/>
              </w:rPr>
              <w:t>Classification aliases</w:t>
            </w:r>
          </w:p>
        </w:tc>
        <w:tc>
          <w:tcPr>
            <w:tcW w:type="dxa" w:w="5766"/>
          </w:tcPr>
          <w:p>
            <w:r>
              <w:rPr>
                <w:sz w:val="17"/>
              </w:rPr>
            </w:r>
            <w:r>
              <w:rPr>
                <w:b/>
                <w:sz w:val="17"/>
              </w:rPr>
              <w:t>Decision (BIM Manager, 2026-10-14):</w:t>
            </w:r>
            <w:r>
              <w:rPr>
                <w:sz w:val="17"/>
              </w:rPr>
              <w:t xml:space="preserve"> Use canonical Classification_Code with separate ClassificationTable, ClassificationTitle and ClassificationRelease; map ClassificationCode and legacy labels; use type binding only when valid for the entire type and verify IFC classification-reference mapping. Basis: Definition, binding and classification version require one dictionary S16, S09 (</w:t>
            </w:r>
            <w:r>
              <w:rPr>
                <w:color w:val="9A7B45"/>
                <w:sz w:val="17"/>
                <w:u w:val="single"/>
              </w:rPr>
              <w:t>O-DEC-027</w:t>
            </w:r>
            <w:r>
              <w:rPr>
                <w:sz w:val="17"/>
              </w:rPr>
              <w:t>).</w:t>
            </w:r>
          </w:p>
        </w:tc>
        <w:tc>
          <w:tcPr>
            <w:tcW w:type="dxa" w:w="3419"/>
          </w:tcPr>
          <w:p>
            <w:r>
              <w:rPr>
                <w:sz w:val="17"/>
              </w:rPr>
            </w:r>
            <w:r>
              <w:rPr>
                <w:sz w:val="17"/>
              </w:rPr>
              <w:t>Exact table/​code and IFC classification-reference mapping</w:t>
            </w:r>
          </w:p>
        </w:tc>
      </w:tr>
      <w:tr>
        <w:trPr>
          <w:cantSplit/>
        </w:trPr>
        <w:tc>
          <w:tcPr>
            <w:tcW w:type="dxa" w:w="1281"/>
          </w:tcPr>
          <w:p>
            <w:r>
              <w:rPr>
                <w:sz w:val="17"/>
              </w:rPr>
            </w:r>
            <w:r>
              <w:rPr>
                <w:sz w:val="17"/>
              </w:rPr>
              <w:t>Export mapping</w:t>
            </w:r>
          </w:p>
        </w:tc>
        <w:tc>
          <w:tcPr>
            <w:tcW w:type="dxa" w:w="5766"/>
          </w:tcPr>
          <w:p>
            <w:r>
              <w:rPr>
                <w:sz w:val="17"/>
              </w:rPr>
            </w:r>
            <w:r>
              <w:rPr>
                <w:sz w:val="17"/>
              </w:rPr>
              <w:t>Native parameter ID → IFC entity/​property or asset schema field; null semantics</w:t>
            </w:r>
          </w:p>
        </w:tc>
        <w:tc>
          <w:tcPr>
            <w:tcW w:type="dxa" w:w="3419"/>
          </w:tcPr>
          <w:p>
            <w:r>
              <w:rPr>
                <w:sz w:val="17"/>
              </w:rPr>
            </w:r>
            <w:r>
              <w:rPr>
                <w:sz w:val="17"/>
              </w:rPr>
              <w:t>Round-trip into named receiving build and compare with source</w:t>
            </w:r>
          </w:p>
        </w:tc>
      </w:tr>
    </w:tbl>
    <w:p/>
    <w:p>
      <w:pPr/>
      <w:r>
        <w:t>Use ISO 23386:2020 for property governance, ISO 23387:2025 for data-template principles, ISO 12006-2:2015 for classification context and the adopted NBS Uniclass release. ISO 7817-1:2024 requires purpose-led geometry, alphanumeric information and documentation; stage-only parameter rows below are starting points requiring exchange-specific qualification. Fire rating is a controlled performance value with evidence, not free text judged merely non-empty. A Boolean audit flag or Export Exclude never substitutes for the underlying check or authorises omitting required content.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21"/>
        <w:gridCol w:w="8445"/>
      </w:tblGrid>
      <w:tr>
        <w:trPr>
          <w:cantSplit/>
          <w:tblHeader/>
        </w:trPr>
        <w:tc>
          <w:tcPr>
            <w:tcW w:type="dxa" w:w="2021"/>
            <w:shd w:val="clear" w:color="auto" w:fill="111113"/>
          </w:tcPr>
          <w:p>
            <w:r>
              <w:rPr>
                <w:b/>
                <w:color w:val="FFFFFF"/>
                <w:sz w:val="17"/>
              </w:rPr>
            </w:r>
            <w:r>
              <w:rPr>
                <w:b/>
                <w:color w:val="FFFFFF"/>
                <w:sz w:val="17"/>
              </w:rPr>
              <w:t>Item</w:t>
            </w:r>
          </w:p>
        </w:tc>
        <w:tc>
          <w:tcPr>
            <w:tcW w:type="dxa" w:w="8445"/>
            <w:shd w:val="clear" w:color="auto" w:fill="111113"/>
          </w:tcPr>
          <w:p>
            <w:r>
              <w:rPr>
                <w:b/>
                <w:color w:val="FFFFFF"/>
                <w:sz w:val="17"/>
              </w:rPr>
            </w:r>
            <w:r>
              <w:rPr>
                <w:b/>
                <w:color w:val="FFFFFF"/>
                <w:sz w:val="17"/>
              </w:rPr>
              <w:t>Specification</w:t>
            </w:r>
          </w:p>
        </w:tc>
      </w:tr>
      <w:tr>
        <w:trPr>
          <w:cantSplit/>
        </w:trPr>
        <w:tc>
          <w:tcPr>
            <w:tcW w:type="dxa" w:w="2021"/>
          </w:tcPr>
          <w:p>
            <w:r>
              <w:rPr>
                <w:sz w:val="17"/>
              </w:rPr>
            </w:r>
            <w:r>
              <w:rPr>
                <w:sz w:val="17"/>
              </w:rPr>
              <w:t>Core parameter set (defaults)</w:t>
            </w:r>
          </w:p>
        </w:tc>
        <w:tc>
          <w:tcPr>
            <w:tcW w:type="dxa" w:w="8445"/>
          </w:tcPr>
          <w:p>
            <w:r>
              <w:rPr>
                <w:sz w:val="17"/>
              </w:rPr>
            </w:r>
            <w:r>
              <w:rPr>
                <w:sz w:val="17"/>
              </w:rPr>
              <w:t>See the core parameter table below (canonical names Classification_Code, Fire_Rating, Asset_ID; O-DEC-116, O-DEC-119, O-DEC-121)</w:t>
            </w:r>
          </w:p>
        </w:tc>
      </w:tr>
      <w:tr>
        <w:trPr>
          <w:cantSplit/>
        </w:trPr>
        <w:tc>
          <w:tcPr>
            <w:tcW w:type="dxa" w:w="2021"/>
          </w:tcPr>
          <w:p>
            <w:r>
              <w:rPr>
                <w:sz w:val="17"/>
              </w:rPr>
            </w:r>
            <w:r>
              <w:rPr>
                <w:sz w:val="17"/>
              </w:rPr>
              <w:t>Coverage rules</w:t>
            </w:r>
          </w:p>
        </w:tc>
        <w:tc>
          <w:tcPr>
            <w:tcW w:type="dxa" w:w="8445"/>
          </w:tcPr>
          <w:p>
            <w:r>
              <w:rPr>
                <w:sz w:val="17"/>
              </w:rPr>
            </w:r>
            <w:r>
              <w:rPr>
                <w:sz w:val="17"/>
              </w:rPr>
              <w:t>- Mandatory applicable requirements: 100% valid; non-mandatory coverage target per approved annex (3.2)  - No duplicate parameter names with conflicting types across disciplines  - Exports include the fields required by the LOIN worksheet of the exchange</w:t>
            </w:r>
          </w:p>
        </w:tc>
      </w:tr>
      <w:tr>
        <w:trPr>
          <w:cantSplit/>
        </w:trPr>
        <w:tc>
          <w:tcPr>
            <w:tcW w:type="dxa" w:w="2021"/>
          </w:tcPr>
          <w:p>
            <w:r>
              <w:rPr>
                <w:sz w:val="17"/>
              </w:rPr>
            </w:r>
            <w:r>
              <w:rPr>
                <w:sz w:val="17"/>
              </w:rPr>
              <w:t>References</w:t>
            </w:r>
          </w:p>
        </w:tc>
        <w:tc>
          <w:tcPr>
            <w:tcW w:type="dxa" w:w="8445"/>
          </w:tcPr>
          <w:p>
            <w:r>
              <w:rPr>
                <w:sz w:val="17"/>
              </w:rPr>
            </w:r>
            <w:r>
              <w:rPr>
                <w:sz w:val="17"/>
              </w:rPr>
              <w:t>- 12.3 Naming and metadata  - BBM-STD-54 EIR and LOIN  - BBM-STD-72 Parameters and classification</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77"/>
        <w:gridCol w:w="2921"/>
        <w:gridCol w:w="1125"/>
        <w:gridCol w:w="2643"/>
      </w:tblGrid>
      <w:tr>
        <w:trPr>
          <w:cantSplit/>
          <w:tblHeader/>
        </w:trPr>
        <w:tc>
          <w:tcPr>
            <w:tcW w:type="dxa" w:w="3777"/>
            <w:shd w:val="clear" w:color="auto" w:fill="111113"/>
          </w:tcPr>
          <w:p>
            <w:r>
              <w:rPr>
                <w:b/>
                <w:color w:val="FFFFFF"/>
                <w:sz w:val="17"/>
              </w:rPr>
            </w:r>
            <w:r>
              <w:rPr>
                <w:b/>
                <w:color w:val="FFFFFF"/>
                <w:sz w:val="17"/>
              </w:rPr>
              <w:t>Acceptance criteria</w:t>
            </w:r>
          </w:p>
        </w:tc>
        <w:tc>
          <w:tcPr>
            <w:tcW w:type="dxa" w:w="2921"/>
            <w:shd w:val="clear" w:color="auto" w:fill="111113"/>
          </w:tcPr>
          <w:p>
            <w:r>
              <w:rPr>
                <w:b/>
                <w:color w:val="FFFFFF"/>
                <w:sz w:val="17"/>
              </w:rPr>
            </w:r>
            <w:r>
              <w:rPr>
                <w:b/>
                <w:color w:val="FFFFFF"/>
                <w:sz w:val="17"/>
              </w:rPr>
              <w:t>Quality checks</w:t>
            </w:r>
          </w:p>
        </w:tc>
        <w:tc>
          <w:tcPr>
            <w:tcW w:type="dxa" w:w="1125"/>
            <w:shd w:val="clear" w:color="auto" w:fill="111113"/>
          </w:tcPr>
          <w:p>
            <w:r>
              <w:rPr>
                <w:b/>
                <w:color w:val="FFFFFF"/>
                <w:sz w:val="17"/>
              </w:rPr>
            </w:r>
            <w:r>
              <w:rPr>
                <w:b/>
                <w:color w:val="FFFFFF"/>
                <w:sz w:val="17"/>
              </w:rPr>
              <w:t>Owner</w:t>
            </w:r>
          </w:p>
        </w:tc>
        <w:tc>
          <w:tcPr>
            <w:tcW w:type="dxa" w:w="2643"/>
            <w:shd w:val="clear" w:color="auto" w:fill="111113"/>
          </w:tcPr>
          <w:p>
            <w:r>
              <w:rPr>
                <w:b/>
                <w:color w:val="FFFFFF"/>
                <w:sz w:val="17"/>
              </w:rPr>
            </w:r>
            <w:r>
              <w:rPr>
                <w:b/>
                <w:color w:val="FFFFFF"/>
                <w:sz w:val="17"/>
              </w:rPr>
              <w:t>Edit criteria</w:t>
            </w:r>
          </w:p>
        </w:tc>
      </w:tr>
      <w:tr>
        <w:trPr>
          <w:cantSplit/>
        </w:trPr>
        <w:tc>
          <w:tcPr>
            <w:tcW w:type="dxa" w:w="3777"/>
          </w:tcPr>
          <w:p>
            <w:r>
              <w:rPr>
                <w:sz w:val="17"/>
              </w:rPr>
            </w:r>
            <w:r>
              <w:rPr>
                <w:sz w:val="17"/>
              </w:rPr>
              <w:t>Mandatory applicable requirements: 100% valid; non-mandatory coverage target per approved annex (3.2)</w:t>
            </w:r>
          </w:p>
        </w:tc>
        <w:tc>
          <w:tcPr>
            <w:tcW w:type="dxa" w:w="2921"/>
          </w:tcPr>
          <w:p>
            <w:r>
              <w:rPr>
                <w:sz w:val="17"/>
              </w:rPr>
            </w:r>
            <w:r>
              <w:rPr>
                <w:sz w:val="17"/>
              </w:rPr>
              <w:t>Automated completeness report by stage and element class</w:t>
            </w:r>
          </w:p>
        </w:tc>
        <w:tc>
          <w:tcPr>
            <w:tcW w:type="dxa" w:w="1125"/>
          </w:tcPr>
          <w:p>
            <w:r>
              <w:rPr>
                <w:sz w:val="17"/>
              </w:rPr>
            </w:r>
            <w:r>
              <w:rPr>
                <w:sz w:val="17"/>
              </w:rPr>
              <w:t>Discipline Lead</w:t>
            </w:r>
          </w:p>
        </w:tc>
        <w:tc>
          <w:tcPr>
            <w:tcW w:type="dxa" w:w="2643"/>
          </w:tcPr>
          <w:p>
            <w:r>
              <w:rPr>
                <w:sz w:val="17"/>
              </w:rPr>
            </w:r>
            <w:r>
              <w:rPr>
                <w:sz w:val="17"/>
              </w:rPr>
              <w:t>Adjust only via approved parameter map; record change log</w:t>
            </w:r>
          </w:p>
        </w:tc>
      </w:tr>
      <w:tr>
        <w:trPr>
          <w:cantSplit/>
        </w:trPr>
        <w:tc>
          <w:tcPr>
            <w:tcW w:type="dxa" w:w="3777"/>
          </w:tcPr>
          <w:p>
            <w:r>
              <w:rPr>
                <w:sz w:val="17"/>
              </w:rPr>
            </w:r>
            <w:r>
              <w:rPr>
                <w:sz w:val="17"/>
              </w:rPr>
              <w:t>No duplicate parameter names with conflicting types</w:t>
            </w:r>
          </w:p>
        </w:tc>
        <w:tc>
          <w:tcPr>
            <w:tcW w:type="dxa" w:w="2921"/>
          </w:tcPr>
          <w:p>
            <w:r>
              <w:rPr>
                <w:sz w:val="17"/>
              </w:rPr>
            </w:r>
            <w:r>
              <w:rPr>
                <w:sz w:val="17"/>
              </w:rPr>
              <w:t>Scan parameter dictionaries per discipline; flag collisions</w:t>
            </w:r>
          </w:p>
        </w:tc>
        <w:tc>
          <w:tcPr>
            <w:tcW w:type="dxa" w:w="1125"/>
          </w:tcPr>
          <w:p>
            <w:r>
              <w:rPr>
                <w:sz w:val="17"/>
              </w:rPr>
            </w:r>
            <w:r>
              <w:rPr>
                <w:sz w:val="17"/>
              </w:rPr>
              <w:t>Information Manager</w:t>
            </w:r>
          </w:p>
        </w:tc>
        <w:tc>
          <w:tcPr>
            <w:tcW w:type="dxa" w:w="2643"/>
          </w:tcPr>
          <w:p>
            <w:r>
              <w:rPr>
                <w:sz w:val="17"/>
              </w:rPr>
            </w:r>
            <w:r>
              <w:rPr>
                <w:sz w:val="17"/>
              </w:rPr>
              <w:t>Rename with prefix/​suffix standards; update bindings</w:t>
            </w:r>
          </w:p>
        </w:tc>
      </w:tr>
      <w:tr>
        <w:trPr>
          <w:cantSplit/>
        </w:trPr>
        <w:tc>
          <w:tcPr>
            <w:tcW w:type="dxa" w:w="3777"/>
          </w:tcPr>
          <w:p>
            <w:r>
              <w:rPr>
                <w:sz w:val="17"/>
              </w:rPr>
            </w:r>
            <w:r>
              <w:rPr>
                <w:sz w:val="17"/>
              </w:rPr>
              <w:t>Exports confirm fields required by the LOIN worksheet are populated</w:t>
            </w:r>
          </w:p>
        </w:tc>
        <w:tc>
          <w:tcPr>
            <w:tcW w:type="dxa" w:w="2921"/>
          </w:tcPr>
          <w:p>
            <w:r>
              <w:rPr>
                <w:sz w:val="17"/>
              </w:rPr>
            </w:r>
            <w:r>
              <w:rPr>
                <w:sz w:val="17"/>
              </w:rPr>
              <w:t>Spot-check CSV/​COBie exports; validate required columns</w:t>
            </w:r>
          </w:p>
        </w:tc>
        <w:tc>
          <w:tcPr>
            <w:tcW w:type="dxa" w:w="1125"/>
          </w:tcPr>
          <w:p>
            <w:r>
              <w:rPr>
                <w:sz w:val="17"/>
              </w:rPr>
            </w:r>
            <w:r>
              <w:rPr>
                <w:sz w:val="17"/>
              </w:rPr>
              <w:t>QA-QC Lead</w:t>
            </w:r>
          </w:p>
        </w:tc>
        <w:tc>
          <w:tcPr>
            <w:tcW w:type="dxa" w:w="2643"/>
          </w:tcPr>
          <w:p>
            <w:r>
              <w:rPr>
                <w:sz w:val="17"/>
              </w:rPr>
            </w:r>
            <w:r>
              <w:rPr>
                <w:sz w:val="17"/>
              </w:rPr>
              <w:t>Backfill via schedules or scripts before issue</w:t>
            </w:r>
          </w:p>
        </w:tc>
      </w:tr>
    </w:tbl>
    <w:p/>
    <w:p>
      <w:pPr>
        <w:pStyle w:val="Heading3"/>
      </w:pPr>
      <w:r>
        <w:t>Core parameter set (defaults)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30"/>
        <w:gridCol w:w="977"/>
        <w:gridCol w:w="1175"/>
        <w:gridCol w:w="1746"/>
        <w:gridCol w:w="938"/>
        <w:gridCol w:w="1781"/>
        <w:gridCol w:w="2019"/>
      </w:tblGrid>
      <w:tr>
        <w:trPr>
          <w:cantSplit/>
          <w:tblHeader/>
        </w:trPr>
        <w:tc>
          <w:tcPr>
            <w:tcW w:type="dxa" w:w="1830"/>
            <w:shd w:val="clear" w:color="auto" w:fill="111113"/>
          </w:tcPr>
          <w:p>
            <w:r>
              <w:rPr>
                <w:b/>
                <w:color w:val="FFFFFF"/>
                <w:sz w:val="17"/>
              </w:rPr>
            </w:r>
            <w:r>
              <w:rPr>
                <w:b/>
                <w:color w:val="FFFFFF"/>
                <w:sz w:val="17"/>
              </w:rPr>
              <w:t>Parameter</w:t>
            </w:r>
          </w:p>
        </w:tc>
        <w:tc>
          <w:tcPr>
            <w:tcW w:type="dxa" w:w="977"/>
            <w:shd w:val="clear" w:color="auto" w:fill="111113"/>
          </w:tcPr>
          <w:p>
            <w:r>
              <w:rPr>
                <w:b/>
                <w:color w:val="FFFFFF"/>
                <w:sz w:val="17"/>
              </w:rPr>
            </w:r>
            <w:r>
              <w:rPr>
                <w:b/>
                <w:color w:val="FFFFFF"/>
                <w:sz w:val="17"/>
              </w:rPr>
              <w:t>Type</w:t>
            </w:r>
          </w:p>
        </w:tc>
        <w:tc>
          <w:tcPr>
            <w:tcW w:type="dxa" w:w="1175"/>
            <w:shd w:val="clear" w:color="auto" w:fill="111113"/>
          </w:tcPr>
          <w:p>
            <w:r>
              <w:rPr>
                <w:b/>
                <w:color w:val="FFFFFF"/>
                <w:sz w:val="17"/>
              </w:rPr>
            </w:r>
            <w:r>
              <w:rPr>
                <w:b/>
                <w:color w:val="FFFFFF"/>
                <w:sz w:val="17"/>
              </w:rPr>
              <w:t>Scope</w:t>
            </w:r>
          </w:p>
        </w:tc>
        <w:tc>
          <w:tcPr>
            <w:tcW w:type="dxa" w:w="1746"/>
            <w:shd w:val="clear" w:color="auto" w:fill="111113"/>
          </w:tcPr>
          <w:p>
            <w:r>
              <w:rPr>
                <w:b/>
                <w:color w:val="FFFFFF"/>
                <w:sz w:val="17"/>
              </w:rPr>
            </w:r>
            <w:r>
              <w:rPr>
                <w:b/>
                <w:color w:val="FFFFFF"/>
                <w:sz w:val="17"/>
              </w:rPr>
              <w:t>Required for exchange (LOIN worksheet ID; typical first exchange)</w:t>
            </w:r>
          </w:p>
        </w:tc>
        <w:tc>
          <w:tcPr>
            <w:tcW w:type="dxa" w:w="938"/>
            <w:shd w:val="clear" w:color="auto" w:fill="111113"/>
          </w:tcPr>
          <w:p>
            <w:r>
              <w:rPr>
                <w:b/>
                <w:color w:val="FFFFFF"/>
                <w:sz w:val="17"/>
              </w:rPr>
            </w:r>
            <w:r>
              <w:rPr>
                <w:b/>
                <w:color w:val="FFFFFF"/>
                <w:sz w:val="17"/>
              </w:rPr>
              <w:t>Source</w:t>
            </w:r>
          </w:p>
        </w:tc>
        <w:tc>
          <w:tcPr>
            <w:tcW w:type="dxa" w:w="1781"/>
            <w:shd w:val="clear" w:color="auto" w:fill="111113"/>
          </w:tcPr>
          <w:p>
            <w:r>
              <w:rPr>
                <w:b/>
                <w:color w:val="FFFFFF"/>
                <w:sz w:val="17"/>
              </w:rPr>
            </w:r>
            <w:r>
              <w:rPr>
                <w:b/>
                <w:color w:val="FFFFFF"/>
                <w:sz w:val="17"/>
              </w:rPr>
              <w:t>Legacy name (mapped alias)</w:t>
            </w:r>
          </w:p>
        </w:tc>
        <w:tc>
          <w:tcPr>
            <w:tcW w:type="dxa" w:w="2019"/>
            <w:shd w:val="clear" w:color="auto" w:fill="111113"/>
          </w:tcPr>
          <w:p>
            <w:r>
              <w:rPr>
                <w:b/>
                <w:color w:val="FFFFFF"/>
                <w:sz w:val="17"/>
              </w:rPr>
            </w:r>
            <w:r>
              <w:rPr>
                <w:b/>
                <w:color w:val="FFFFFF"/>
                <w:sz w:val="17"/>
              </w:rPr>
              <w:t>Notes</w:t>
            </w:r>
          </w:p>
        </w:tc>
      </w:tr>
      <w:tr>
        <w:trPr>
          <w:cantSplit/>
        </w:trPr>
        <w:tc>
          <w:tcPr>
            <w:tcW w:type="dxa" w:w="1830"/>
          </w:tcPr>
          <w:p>
            <w:r>
              <w:rPr>
                <w:sz w:val="17"/>
              </w:rPr>
            </w:r>
            <w:r>
              <w:rPr>
                <w:sz w:val="17"/>
              </w:rPr>
              <w:t>Classification_Code</w:t>
            </w:r>
          </w:p>
        </w:tc>
        <w:tc>
          <w:tcPr>
            <w:tcW w:type="dxa" w:w="977"/>
          </w:tcPr>
          <w:p>
            <w:r>
              <w:rPr>
                <w:sz w:val="17"/>
              </w:rPr>
            </w:r>
            <w:r>
              <w:rPr>
                <w:sz w:val="17"/>
              </w:rPr>
              <w:t>Text</w:t>
            </w:r>
          </w:p>
        </w:tc>
        <w:tc>
          <w:tcPr>
            <w:tcW w:type="dxa" w:w="1175"/>
          </w:tcPr>
          <w:p>
            <w:r>
              <w:rPr>
                <w:sz w:val="17"/>
              </w:rPr>
            </w:r>
            <w:r>
              <w:rPr>
                <w:sz w:val="17"/>
              </w:rPr>
              <w:t>Instance or type (O-DEC-027)</w:t>
            </w:r>
          </w:p>
        </w:tc>
        <w:tc>
          <w:tcPr>
            <w:tcW w:type="dxa" w:w="1746"/>
          </w:tcPr>
          <w:p>
            <w:r>
              <w:rPr>
                <w:sz w:val="17"/>
              </w:rPr>
            </w:r>
            <w:r>
              <w:rPr>
                <w:sz w:val="17"/>
              </w:rPr>
              <w:t>LOIN worksheet; typically from RIBA 2</w:t>
            </w:r>
          </w:p>
        </w:tc>
        <w:tc>
          <w:tcPr>
            <w:tcW w:type="dxa" w:w="938"/>
          </w:tcPr>
          <w:p>
            <w:r>
              <w:rPr>
                <w:sz w:val="17"/>
              </w:rPr>
            </w:r>
            <w:r>
              <w:rPr>
                <w:sz w:val="17"/>
              </w:rPr>
              <w:t>Uniclass</w:t>
            </w:r>
          </w:p>
        </w:tc>
        <w:tc>
          <w:tcPr>
            <w:tcW w:type="dxa" w:w="1781"/>
          </w:tcPr>
          <w:p>
            <w:r>
              <w:rPr>
                <w:sz w:val="17"/>
              </w:rPr>
            </w:r>
            <w:r>
              <w:rPr>
                <w:sz w:val="17"/>
              </w:rPr>
              <w:t>Classification, ClassificationCode, Assembly Code</w:t>
            </w:r>
          </w:p>
        </w:tc>
        <w:tc>
          <w:tcPr>
            <w:tcW w:type="dxa" w:w="2019"/>
          </w:tcPr>
          <w:p>
            <w:r>
              <w:rPr>
                <w:sz w:val="17"/>
              </w:rPr>
            </w:r>
            <w:r>
              <w:rPr>
                <w:sz w:val="17"/>
              </w:rPr>
              <w:t>With ClassificationTable, ClassificationTitle, ClassificationRelease (O-DEC-116)</w:t>
            </w:r>
          </w:p>
        </w:tc>
      </w:tr>
      <w:tr>
        <w:trPr>
          <w:cantSplit/>
        </w:trPr>
        <w:tc>
          <w:tcPr>
            <w:tcW w:type="dxa" w:w="1830"/>
          </w:tcPr>
          <w:p>
            <w:r>
              <w:rPr>
                <w:sz w:val="17"/>
              </w:rPr>
            </w:r>
            <w:r>
              <w:rPr>
                <w:sz w:val="17"/>
              </w:rPr>
              <w:t>System</w:t>
            </w:r>
          </w:p>
        </w:tc>
        <w:tc>
          <w:tcPr>
            <w:tcW w:type="dxa" w:w="977"/>
          </w:tcPr>
          <w:p>
            <w:r>
              <w:rPr>
                <w:sz w:val="17"/>
              </w:rPr>
            </w:r>
            <w:r>
              <w:rPr>
                <w:sz w:val="17"/>
              </w:rPr>
              <w:t>Text</w:t>
            </w:r>
          </w:p>
        </w:tc>
        <w:tc>
          <w:tcPr>
            <w:tcW w:type="dxa" w:w="1175"/>
          </w:tcPr>
          <w:p>
            <w:r>
              <w:rPr>
                <w:sz w:val="17"/>
              </w:rPr>
            </w:r>
            <w:r>
              <w:rPr>
                <w:sz w:val="17"/>
              </w:rPr>
              <w:t>Instance</w:t>
            </w:r>
          </w:p>
        </w:tc>
        <w:tc>
          <w:tcPr>
            <w:tcW w:type="dxa" w:w="1746"/>
          </w:tcPr>
          <w:p>
            <w:r>
              <w:rPr>
                <w:sz w:val="17"/>
              </w:rPr>
            </w:r>
            <w:r>
              <w:rPr>
                <w:sz w:val="17"/>
              </w:rPr>
              <w:t>LOIN worksheet; typically from RIBA 3</w:t>
            </w:r>
          </w:p>
        </w:tc>
        <w:tc>
          <w:tcPr>
            <w:tcW w:type="dxa" w:w="938"/>
          </w:tcPr>
          <w:p>
            <w:r>
              <w:rPr>
                <w:sz w:val="17"/>
              </w:rPr>
            </w:r>
            <w:r>
              <w:rPr>
                <w:sz w:val="17"/>
              </w:rPr>
              <w:t>Manual</w:t>
            </w:r>
          </w:p>
        </w:tc>
        <w:tc>
          <w:tcPr>
            <w:tcW w:type="dxa" w:w="1781"/>
          </w:tcPr>
          <w:p>
            <w:r>
              <w:rPr>
                <w:sz w:val="17"/>
              </w:rPr>
            </w:r>
            <w:r>
              <w:rPr>
                <w:sz w:val="17"/>
              </w:rPr>
              <w:t>—</w:t>
            </w:r>
          </w:p>
        </w:tc>
        <w:tc>
          <w:tcPr>
            <w:tcW w:type="dxa" w:w="2019"/>
          </w:tcPr>
          <w:p>
            <w:r>
              <w:rPr>
                <w:sz w:val="17"/>
              </w:rPr>
            </w:r>
            <w:r>
              <w:rPr>
                <w:sz w:val="17"/>
              </w:rPr>
              <w:t>HVAC, Power, Lighting, etc.</w:t>
            </w:r>
          </w:p>
        </w:tc>
      </w:tr>
      <w:tr>
        <w:trPr>
          <w:cantSplit/>
        </w:trPr>
        <w:tc>
          <w:tcPr>
            <w:tcW w:type="dxa" w:w="1830"/>
          </w:tcPr>
          <w:p>
            <w:r>
              <w:rPr>
                <w:sz w:val="17"/>
              </w:rPr>
            </w:r>
            <w:r>
              <w:rPr>
                <w:sz w:val="17"/>
              </w:rPr>
              <w:t>Zone</w:t>
            </w:r>
          </w:p>
        </w:tc>
        <w:tc>
          <w:tcPr>
            <w:tcW w:type="dxa" w:w="977"/>
          </w:tcPr>
          <w:p>
            <w:r>
              <w:rPr>
                <w:sz w:val="17"/>
              </w:rPr>
            </w:r>
            <w:r>
              <w:rPr>
                <w:sz w:val="17"/>
              </w:rPr>
              <w:t>Text</w:t>
            </w:r>
          </w:p>
        </w:tc>
        <w:tc>
          <w:tcPr>
            <w:tcW w:type="dxa" w:w="1175"/>
          </w:tcPr>
          <w:p>
            <w:r>
              <w:rPr>
                <w:sz w:val="17"/>
              </w:rPr>
            </w:r>
            <w:r>
              <w:rPr>
                <w:sz w:val="17"/>
              </w:rPr>
              <w:t>Instance</w:t>
            </w:r>
          </w:p>
        </w:tc>
        <w:tc>
          <w:tcPr>
            <w:tcW w:type="dxa" w:w="1746"/>
          </w:tcPr>
          <w:p>
            <w:r>
              <w:rPr>
                <w:sz w:val="17"/>
              </w:rPr>
            </w:r>
            <w:r>
              <w:rPr>
                <w:sz w:val="17"/>
              </w:rPr>
              <w:t>LOIN worksheet; typically from RIBA 3</w:t>
            </w:r>
          </w:p>
        </w:tc>
        <w:tc>
          <w:tcPr>
            <w:tcW w:type="dxa" w:w="938"/>
          </w:tcPr>
          <w:p>
            <w:r>
              <w:rPr>
                <w:sz w:val="17"/>
              </w:rPr>
            </w:r>
            <w:r>
              <w:rPr>
                <w:sz w:val="17"/>
              </w:rPr>
              <w:t>Manual</w:t>
            </w:r>
          </w:p>
        </w:tc>
        <w:tc>
          <w:tcPr>
            <w:tcW w:type="dxa" w:w="1781"/>
          </w:tcPr>
          <w:p>
            <w:r>
              <w:rPr>
                <w:sz w:val="17"/>
              </w:rPr>
            </w:r>
            <w:r>
              <w:rPr>
                <w:sz w:val="17"/>
              </w:rPr>
              <w:t>—</w:t>
            </w:r>
          </w:p>
        </w:tc>
        <w:tc>
          <w:tcPr>
            <w:tcW w:type="dxa" w:w="2019"/>
          </w:tcPr>
          <w:p>
            <w:r>
              <w:rPr>
                <w:sz w:val="17"/>
              </w:rPr>
            </w:r>
            <w:r>
              <w:rPr>
                <w:sz w:val="17"/>
              </w:rPr>
              <w:t>Z01, Z02 … when zone splits apply</w:t>
            </w:r>
          </w:p>
        </w:tc>
      </w:tr>
      <w:tr>
        <w:trPr>
          <w:cantSplit/>
        </w:trPr>
        <w:tc>
          <w:tcPr>
            <w:tcW w:type="dxa" w:w="1830"/>
          </w:tcPr>
          <w:p>
            <w:r>
              <w:rPr>
                <w:sz w:val="17"/>
              </w:rPr>
            </w:r>
            <w:r>
              <w:rPr>
                <w:sz w:val="17"/>
              </w:rPr>
              <w:t>Level</w:t>
            </w:r>
          </w:p>
        </w:tc>
        <w:tc>
          <w:tcPr>
            <w:tcW w:type="dxa" w:w="977"/>
          </w:tcPr>
          <w:p>
            <w:r>
              <w:rPr>
                <w:sz w:val="17"/>
              </w:rPr>
            </w:r>
            <w:r>
              <w:rPr>
                <w:sz w:val="17"/>
              </w:rPr>
              <w:t>Text</w:t>
            </w:r>
          </w:p>
        </w:tc>
        <w:tc>
          <w:tcPr>
            <w:tcW w:type="dxa" w:w="1175"/>
          </w:tcPr>
          <w:p>
            <w:r>
              <w:rPr>
                <w:sz w:val="17"/>
              </w:rPr>
            </w:r>
            <w:r>
              <w:rPr>
                <w:sz w:val="17"/>
              </w:rPr>
              <w:t>Instance</w:t>
            </w:r>
          </w:p>
        </w:tc>
        <w:tc>
          <w:tcPr>
            <w:tcW w:type="dxa" w:w="1746"/>
          </w:tcPr>
          <w:p>
            <w:r>
              <w:rPr>
                <w:sz w:val="17"/>
              </w:rPr>
            </w:r>
            <w:r>
              <w:rPr>
                <w:sz w:val="17"/>
              </w:rPr>
              <w:t>LOIN worksheet; typically from RIBA 3</w:t>
            </w:r>
          </w:p>
        </w:tc>
        <w:tc>
          <w:tcPr>
            <w:tcW w:type="dxa" w:w="938"/>
          </w:tcPr>
          <w:p>
            <w:r>
              <w:rPr>
                <w:sz w:val="17"/>
              </w:rPr>
            </w:r>
            <w:r>
              <w:rPr>
                <w:sz w:val="17"/>
              </w:rPr>
              <w:t>Model</w:t>
            </w:r>
          </w:p>
        </w:tc>
        <w:tc>
          <w:tcPr>
            <w:tcW w:type="dxa" w:w="1781"/>
          </w:tcPr>
          <w:p>
            <w:r>
              <w:rPr>
                <w:sz w:val="17"/>
              </w:rPr>
            </w:r>
            <w:r>
              <w:rPr>
                <w:sz w:val="17"/>
              </w:rPr>
              <w:t>—</w:t>
            </w:r>
          </w:p>
        </w:tc>
        <w:tc>
          <w:tcPr>
            <w:tcW w:type="dxa" w:w="2019"/>
          </w:tcPr>
          <w:p>
            <w:r>
              <w:rPr>
                <w:sz w:val="17"/>
              </w:rPr>
            </w:r>
            <w:r>
              <w:rPr>
                <w:sz w:val="17"/>
              </w:rPr>
              <w:t>L01, L02 … align to shared coordinates</w:t>
            </w:r>
          </w:p>
        </w:tc>
      </w:tr>
      <w:tr>
        <w:trPr>
          <w:cantSplit/>
        </w:trPr>
        <w:tc>
          <w:tcPr>
            <w:tcW w:type="dxa" w:w="1830"/>
          </w:tcPr>
          <w:p>
            <w:r>
              <w:rPr>
                <w:sz w:val="17"/>
              </w:rPr>
            </w:r>
            <w:r>
              <w:rPr>
                <w:sz w:val="17"/>
              </w:rPr>
              <w:t>Fire_Rating</w:t>
            </w:r>
          </w:p>
        </w:tc>
        <w:tc>
          <w:tcPr>
            <w:tcW w:type="dxa" w:w="977"/>
          </w:tcPr>
          <w:p>
            <w:r>
              <w:rPr>
                <w:sz w:val="17"/>
              </w:rPr>
            </w:r>
            <w:r>
              <w:rPr>
                <w:sz w:val="17"/>
              </w:rPr>
              <w:t>Integer (minutes)</w:t>
            </w:r>
          </w:p>
        </w:tc>
        <w:tc>
          <w:tcPr>
            <w:tcW w:type="dxa" w:w="1175"/>
          </w:tcPr>
          <w:p>
            <w:r>
              <w:rPr>
                <w:sz w:val="17"/>
              </w:rPr>
            </w:r>
            <w:r>
              <w:rPr>
                <w:sz w:val="17"/>
              </w:rPr>
              <w:t>Type</w:t>
            </w:r>
          </w:p>
        </w:tc>
        <w:tc>
          <w:tcPr>
            <w:tcW w:type="dxa" w:w="1746"/>
          </w:tcPr>
          <w:p>
            <w:r>
              <w:rPr>
                <w:sz w:val="17"/>
              </w:rPr>
            </w:r>
            <w:r>
              <w:rPr>
                <w:sz w:val="17"/>
              </w:rPr>
              <w:t>When the fire strategy is issued</w:t>
            </w:r>
          </w:p>
        </w:tc>
        <w:tc>
          <w:tcPr>
            <w:tcW w:type="dxa" w:w="938"/>
          </w:tcPr>
          <w:p>
            <w:r>
              <w:rPr>
                <w:sz w:val="17"/>
              </w:rPr>
            </w:r>
            <w:r>
              <w:rPr>
                <w:sz w:val="17"/>
              </w:rPr>
              <w:t>Fire strategy /​ tested assembly</w:t>
            </w:r>
          </w:p>
        </w:tc>
        <w:tc>
          <w:tcPr>
            <w:tcW w:type="dxa" w:w="1781"/>
          </w:tcPr>
          <w:p>
            <w:r>
              <w:rPr>
                <w:sz w:val="17"/>
              </w:rPr>
            </w:r>
            <w:r>
              <w:rPr>
                <w:sz w:val="17"/>
              </w:rPr>
              <w:t>Fire Rating, FireRating</w:t>
            </w:r>
          </w:p>
        </w:tc>
        <w:tc>
          <w:tcPr>
            <w:tcW w:type="dxa" w:w="2019"/>
          </w:tcPr>
          <w:p>
            <w:r>
              <w:rPr>
                <w:sz w:val="17"/>
              </w:rPr>
            </w:r>
            <w:r>
              <w:rPr>
                <w:sz w:val="17"/>
              </w:rPr>
              <w:t>Plus Fire_Rating_Standard (text, test standard) and Fire_Rating_Source (document ID/​revision); basis UAE FLS Code 2018 and the tested assembly (O-DEC-119)</w:t>
            </w:r>
          </w:p>
        </w:tc>
      </w:tr>
      <w:tr>
        <w:trPr>
          <w:cantSplit/>
        </w:trPr>
        <w:tc>
          <w:tcPr>
            <w:tcW w:type="dxa" w:w="1830"/>
          </w:tcPr>
          <w:p>
            <w:r>
              <w:rPr>
                <w:sz w:val="17"/>
              </w:rPr>
            </w:r>
            <w:r>
              <w:rPr>
                <w:sz w:val="17"/>
              </w:rPr>
              <w:t>Asset_ID</w:t>
            </w:r>
          </w:p>
        </w:tc>
        <w:tc>
          <w:tcPr>
            <w:tcW w:type="dxa" w:w="977"/>
          </w:tcPr>
          <w:p>
            <w:r>
              <w:rPr>
                <w:sz w:val="17"/>
              </w:rPr>
            </w:r>
            <w:r>
              <w:rPr>
                <w:sz w:val="17"/>
              </w:rPr>
              <w:t>Text</w:t>
            </w:r>
          </w:p>
        </w:tc>
        <w:tc>
          <w:tcPr>
            <w:tcW w:type="dxa" w:w="1175"/>
          </w:tcPr>
          <w:p>
            <w:r>
              <w:rPr>
                <w:sz w:val="17"/>
              </w:rPr>
            </w:r>
            <w:r>
              <w:rPr>
                <w:sz w:val="17"/>
              </w:rPr>
              <w:t>Instance</w:t>
            </w:r>
          </w:p>
        </w:tc>
        <w:tc>
          <w:tcPr>
            <w:tcW w:type="dxa" w:w="1746"/>
          </w:tcPr>
          <w:p>
            <w:r>
              <w:rPr>
                <w:sz w:val="17"/>
              </w:rPr>
            </w:r>
            <w:r>
              <w:rPr>
                <w:sz w:val="17"/>
              </w:rPr>
              <w:t>When the client asset register is defined (AIR/​EIR)</w:t>
            </w:r>
          </w:p>
        </w:tc>
        <w:tc>
          <w:tcPr>
            <w:tcW w:type="dxa" w:w="938"/>
          </w:tcPr>
          <w:p>
            <w:r>
              <w:rPr>
                <w:sz w:val="17"/>
              </w:rPr>
            </w:r>
            <w:r>
              <w:rPr>
                <w:sz w:val="17"/>
              </w:rPr>
              <w:t>Client register</w:t>
            </w:r>
          </w:p>
        </w:tc>
        <w:tc>
          <w:tcPr>
            <w:tcW w:type="dxa" w:w="1781"/>
          </w:tcPr>
          <w:p>
            <w:r>
              <w:rPr>
                <w:sz w:val="17"/>
              </w:rPr>
            </w:r>
            <w:r>
              <w:rPr>
                <w:sz w:val="17"/>
              </w:rPr>
              <w:t>Asset Tag, AssetTag, AssetID</w:t>
            </w:r>
          </w:p>
        </w:tc>
        <w:tc>
          <w:tcPr>
            <w:tcW w:type="dxa" w:w="2019"/>
          </w:tcPr>
          <w:p>
            <w:r>
              <w:rPr>
                <w:sz w:val="17"/>
              </w:rPr>
            </w:r>
            <w:r>
              <w:rPr>
                <w:sz w:val="17"/>
              </w:rPr>
              <w:t>Stable occurrence identifier (O-DEC-026, O-DEC-121)</w:t>
            </w:r>
          </w:p>
        </w:tc>
      </w:tr>
      <w:tr>
        <w:trPr>
          <w:cantSplit/>
        </w:trPr>
        <w:tc>
          <w:tcPr>
            <w:tcW w:type="dxa" w:w="1830"/>
          </w:tcPr>
          <w:p>
            <w:r>
              <w:rPr>
                <w:sz w:val="17"/>
              </w:rPr>
            </w:r>
            <w:r>
              <w:rPr>
                <w:sz w:val="17"/>
              </w:rPr>
              <w:t>Export Exclude</w:t>
            </w:r>
          </w:p>
        </w:tc>
        <w:tc>
          <w:tcPr>
            <w:tcW w:type="dxa" w:w="977"/>
          </w:tcPr>
          <w:p>
            <w:r>
              <w:rPr>
                <w:sz w:val="17"/>
              </w:rPr>
            </w:r>
            <w:r>
              <w:rPr>
                <w:sz w:val="17"/>
              </w:rPr>
              <w:t>Checkbox</w:t>
            </w:r>
          </w:p>
        </w:tc>
        <w:tc>
          <w:tcPr>
            <w:tcW w:type="dxa" w:w="1175"/>
          </w:tcPr>
          <w:p>
            <w:r>
              <w:rPr>
                <w:sz w:val="17"/>
              </w:rPr>
            </w:r>
            <w:r>
              <w:rPr>
                <w:sz w:val="17"/>
              </w:rPr>
              <w:t>Instance</w:t>
            </w:r>
          </w:p>
        </w:tc>
        <w:tc>
          <w:tcPr>
            <w:tcW w:type="dxa" w:w="1746"/>
          </w:tcPr>
          <w:p>
            <w:r>
              <w:rPr>
                <w:sz w:val="17"/>
              </w:rPr>
            </w:r>
            <w:r>
              <w:rPr>
                <w:sz w:val="17"/>
              </w:rPr>
              <w:t>As needed</w:t>
            </w:r>
          </w:p>
        </w:tc>
        <w:tc>
          <w:tcPr>
            <w:tcW w:type="dxa" w:w="938"/>
          </w:tcPr>
          <w:p>
            <w:r>
              <w:rPr>
                <w:sz w:val="17"/>
              </w:rPr>
            </w:r>
            <w:r>
              <w:rPr>
                <w:sz w:val="17"/>
              </w:rPr>
              <w:t>Manual</w:t>
            </w:r>
          </w:p>
        </w:tc>
        <w:tc>
          <w:tcPr>
            <w:tcW w:type="dxa" w:w="1781"/>
          </w:tcPr>
          <w:p>
            <w:r>
              <w:rPr>
                <w:sz w:val="17"/>
              </w:rPr>
            </w:r>
            <w:r>
              <w:rPr>
                <w:sz w:val="17"/>
              </w:rPr>
              <w:t>—</w:t>
            </w:r>
          </w:p>
        </w:tc>
        <w:tc>
          <w:tcPr>
            <w:tcW w:type="dxa" w:w="2019"/>
          </w:tcPr>
          <w:p>
            <w:r>
              <w:rPr>
                <w:sz w:val="17"/>
              </w:rPr>
            </w:r>
            <w:r>
              <w:rPr>
                <w:sz w:val="17"/>
              </w:rPr>
              <w:t>Exclude from IFC or schedules when true</w:t>
            </w:r>
          </w:p>
        </w:tc>
      </w:tr>
      <w:tr>
        <w:trPr>
          <w:cantSplit/>
        </w:trPr>
        <w:tc>
          <w:tcPr>
            <w:tcW w:type="dxa" w:w="1830"/>
          </w:tcPr>
          <w:p>
            <w:r>
              <w:rPr>
                <w:sz w:val="17"/>
              </w:rPr>
            </w:r>
            <w:r>
              <w:rPr>
                <w:sz w:val="17"/>
              </w:rPr>
              <w:t>Model Origin OK?</w:t>
            </w:r>
          </w:p>
        </w:tc>
        <w:tc>
          <w:tcPr>
            <w:tcW w:type="dxa" w:w="977"/>
          </w:tcPr>
          <w:p>
            <w:r>
              <w:rPr>
                <w:sz w:val="17"/>
              </w:rPr>
            </w:r>
            <w:r>
              <w:rPr>
                <w:sz w:val="17"/>
              </w:rPr>
              <w:t>Checkbox</w:t>
            </w:r>
          </w:p>
        </w:tc>
        <w:tc>
          <w:tcPr>
            <w:tcW w:type="dxa" w:w="1175"/>
          </w:tcPr>
          <w:p>
            <w:r>
              <w:rPr>
                <w:sz w:val="17"/>
              </w:rPr>
            </w:r>
            <w:r>
              <w:rPr>
                <w:sz w:val="17"/>
              </w:rPr>
              <w:t>Project</w:t>
            </w:r>
          </w:p>
        </w:tc>
        <w:tc>
          <w:tcPr>
            <w:tcW w:type="dxa" w:w="1746"/>
          </w:tcPr>
          <w:p>
            <w:r>
              <w:rPr>
                <w:sz w:val="17"/>
              </w:rPr>
            </w:r>
            <w:r>
              <w:rPr>
                <w:sz w:val="17"/>
              </w:rPr>
              <w:t>First exchange (RIBA 2)</w:t>
            </w:r>
          </w:p>
        </w:tc>
        <w:tc>
          <w:tcPr>
            <w:tcW w:type="dxa" w:w="938"/>
          </w:tcPr>
          <w:p>
            <w:r>
              <w:rPr>
                <w:sz w:val="17"/>
              </w:rPr>
            </w:r>
            <w:r>
              <w:rPr>
                <w:sz w:val="17"/>
              </w:rPr>
              <w:t>QA-QC</w:t>
            </w:r>
          </w:p>
        </w:tc>
        <w:tc>
          <w:tcPr>
            <w:tcW w:type="dxa" w:w="1781"/>
          </w:tcPr>
          <w:p>
            <w:r>
              <w:rPr>
                <w:sz w:val="17"/>
              </w:rPr>
            </w:r>
            <w:r>
              <w:rPr>
                <w:sz w:val="17"/>
              </w:rPr>
              <w:t>—</w:t>
            </w:r>
          </w:p>
        </w:tc>
        <w:tc>
          <w:tcPr>
            <w:tcW w:type="dxa" w:w="2019"/>
          </w:tcPr>
          <w:p>
            <w:r>
              <w:rPr>
                <w:sz w:val="17"/>
              </w:rPr>
            </w:r>
            <w:r>
              <w:rPr>
                <w:sz w:val="17"/>
              </w:rPr>
              <w:t>Ticked only after origin and CRS check passes</w:t>
            </w:r>
          </w:p>
        </w:tc>
      </w:tr>
    </w:tbl>
    <w:p/>
    <w:p>
      <w:pPr>
        <w:pStyle w:val="Heading3"/>
      </w:pPr>
      <w:r>
        <w:t>Acceptance for 3.2</w:t>
      </w:r>
    </w:p>
    <w:p>
      <w:pPr/>
      <w:r>
        <w:t>Mandatory applicable requirements: 100% valid; non-mandatory coverage target per approved annex (3.2)</w:t>
      </w:r>
    </w:p>
    <w:p>
      <w:pPr/>
      <w:r>
        <w:t>No duplicate parameter names with conflicting types across disciplines</w:t>
      </w:r>
    </w:p>
    <w:p>
      <w:pPr/>
      <w:r>
        <w:t>Export checks confirm the fields required by the LOIN worksheet are populated</w:t>
      </w:r>
    </w:p>
    <w:p>
      <w:pPr>
        <w:pStyle w:val="Heading2"/>
      </w:pPr>
      <w:r>
        <w:t>3.3 WORKSETS AND MODEL PARTITIONING</w:t>
      </w:r>
    </w:p>
    <w:p>
      <w:pPr/>
      <w:r>
        <w:t>Worksets organise project elements and loading; they are not CAD layers, security permissions or discipline responsibility matrices. Revit system worksets for views/families differ from optional user worksets. Project placement uses the active project workset; a family template/type catalogue does not set future project-workset ownership. Keep only necessary user worksets; browser grouping and view filters manage presentation. Autodesk Revit Help 2026 is the research reference; qualify the adopted release.</w:t>
      </w:r>
    </w:p>
    <w:p>
      <w:pPr>
        <w:pStyle w:val="ListParagraph"/>
        <w:spacing w:after="40"/>
        <w:ind w:left="360" w:hanging="280"/>
      </w:pPr>
      <w:r>
        <w:t xml:space="preserve">1.  </w:t>
      </w:r>
      <w:r>
        <w:t>Record model/federation boundaries, required user worksets, responsible roles and borrowing rules in the annex. Role ownership means accountability, not a permanently checked-out workset.</w:t>
      </w:r>
    </w:p>
    <w:p>
      <w:pPr>
        <w:pStyle w:val="ListParagraph"/>
        <w:spacing w:after="40"/>
        <w:ind w:left="360" w:hanging="280"/>
      </w:pPr>
      <w:r>
        <w:t xml:space="preserve">2.  </w:t>
      </w:r>
      <w:r>
        <w:t>Borrow only the elements needed where practical; agree whole-workset checkout and release windows for controlled bulk tasks. Synchronise and relinquish after the task and at team handoff; confirm the colleague can edit the agreed elements.</w:t>
      </w:r>
    </w:p>
    <w:p>
      <w:pPr>
        <w:pStyle w:val="ListParagraph"/>
        <w:spacing w:after="40"/>
        <w:ind w:left="360" w:hanging="280"/>
      </w:pPr>
      <w:r>
        <w:t xml:space="preserve">3.  </w:t>
      </w:r>
      <w:r>
        <w:t>If editing is blocked, contact the current owner, preserve changes and agree a handoff. Do not force ownership or delete another user's local/cache. Escalate orphan ownership to the administrator using the tested recovery procedure.</w:t>
      </w:r>
    </w:p>
    <w:p>
      <w:pPr>
        <w:pStyle w:val="ListParagraph"/>
        <w:spacing w:after="40"/>
        <w:ind w:left="360" w:hanging="280"/>
      </w:pPr>
      <w:r>
        <w:t xml:space="preserve">4.  </w:t>
      </w:r>
      <w:r>
        <w:t>Record whether the central model is file-based or supported cloud worksharing. Synchronise, platform Publish and formal CDE authorisation are separate operations. Test restore in an isolated copy and preserve the live model.</w:t>
      </w:r>
    </w:p>
    <w:p>
      <w:pPr/>
      <w:r>
        <w:rPr>
          <w:b/>
        </w:rPr>
        <w:t>Decision (BIM Manager, 2026-10-14):</w:t>
      </w:r>
      <w:r>
        <w:t xml:space="preserve"> Use only required user worksets: Shared Levels and Grids, Core Modeling, Links by loading group and Imports where needed, with owners/valid exceptions; system/browser documentation groups are not user worksets or security locks. Basis: Retains the shared minimal policy and actual worksharing semantics A02 (</w:t>
      </w:r>
      <w:r>
        <w:rPr>
          <w:color w:val="9A7B45"/>
          <w:u w:val="single"/>
        </w:rPr>
        <w:t>O-DEC-042</w:t>
      </w:r>
      <w:r>
        <w:t>).</w:t>
      </w:r>
    </w:p>
    <w:p>
      <w:pPr/>
      <w:r>
        <w:t>These four user worksets are the office decision; Links may be split per linked discipline as the table below allows. The template workset file BBM-STD_WRKST.txt (52 worksets) is regenerated to match in the next template pass (</w:t>
      </w:r>
      <w:r>
        <w:rPr>
          <w:color w:val="9A7B45"/>
          <w:u w:val="single"/>
        </w:rPr>
        <w:t>O-DEC-145</w:t>
      </w:r>
      <w:r>
        <w:t>).</w:t>
      </w:r>
    </w:p>
    <w:p>
      <w:pPr/>
      <w:r>
        <w:t>The Workset1=0 criterion is limited to adopted user-workset policy and in-scope elements, with system elements and valid exceptions reported separately.</w:t>
      </w:r>
    </w:p>
    <w:p>
      <w:pPr>
        <w:pStyle w:val="Heading3"/>
      </w:pPr>
      <w:r>
        <w:t>Workset templates (per discipline)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637"/>
        <w:gridCol w:w="1435"/>
        <w:gridCol w:w="6394"/>
      </w:tblGrid>
      <w:tr>
        <w:trPr>
          <w:cantSplit/>
          <w:tblHeader/>
        </w:trPr>
        <w:tc>
          <w:tcPr>
            <w:tcW w:type="dxa" w:w="2637"/>
            <w:shd w:val="clear" w:color="auto" w:fill="111113"/>
          </w:tcPr>
          <w:p>
            <w:r>
              <w:rPr>
                <w:b/>
                <w:color w:val="FFFFFF"/>
                <w:sz w:val="17"/>
              </w:rPr>
            </w:r>
            <w:r>
              <w:rPr>
                <w:b/>
                <w:color w:val="FFFFFF"/>
                <w:sz w:val="17"/>
              </w:rPr>
              <w:t>Workset</w:t>
            </w:r>
          </w:p>
        </w:tc>
        <w:tc>
          <w:tcPr>
            <w:tcW w:type="dxa" w:w="1435"/>
            <w:shd w:val="clear" w:color="auto" w:fill="111113"/>
          </w:tcPr>
          <w:p>
            <w:r>
              <w:rPr>
                <w:b/>
                <w:color w:val="FFFFFF"/>
                <w:sz w:val="17"/>
              </w:rPr>
            </w:r>
            <w:r>
              <w:rPr>
                <w:b/>
                <w:color w:val="FFFFFF"/>
                <w:sz w:val="17"/>
              </w:rPr>
              <w:t>Owner</w:t>
            </w:r>
          </w:p>
        </w:tc>
        <w:tc>
          <w:tcPr>
            <w:tcW w:type="dxa" w:w="6394"/>
            <w:shd w:val="clear" w:color="auto" w:fill="111113"/>
          </w:tcPr>
          <w:p>
            <w:r>
              <w:rPr>
                <w:b/>
                <w:color w:val="FFFFFF"/>
                <w:sz w:val="17"/>
              </w:rPr>
            </w:r>
            <w:r>
              <w:rPr>
                <w:b/>
                <w:color w:val="FFFFFF"/>
                <w:sz w:val="17"/>
              </w:rPr>
              <w:t>Notes</w:t>
            </w:r>
          </w:p>
        </w:tc>
      </w:tr>
      <w:tr>
        <w:trPr>
          <w:cantSplit/>
        </w:trPr>
        <w:tc>
          <w:tcPr>
            <w:tcW w:type="dxa" w:w="2637"/>
          </w:tcPr>
          <w:p>
            <w:r>
              <w:rPr>
                <w:sz w:val="17"/>
              </w:rPr>
            </w:r>
            <w:r>
              <w:rPr>
                <w:sz w:val="17"/>
              </w:rPr>
              <w:t>Shared Levels and Grids</w:t>
            </w:r>
          </w:p>
        </w:tc>
        <w:tc>
          <w:tcPr>
            <w:tcW w:type="dxa" w:w="1435"/>
          </w:tcPr>
          <w:p>
            <w:r>
              <w:rPr>
                <w:sz w:val="17"/>
              </w:rPr>
            </w:r>
            <w:r>
              <w:rPr>
                <w:sz w:val="17"/>
              </w:rPr>
              <w:t>Discipline Lead</w:t>
            </w:r>
          </w:p>
        </w:tc>
        <w:tc>
          <w:tcPr>
            <w:tcW w:type="dxa" w:w="6394"/>
          </w:tcPr>
          <w:p>
            <w:r>
              <w:rPr>
                <w:sz w:val="17"/>
              </w:rPr>
            </w:r>
            <w:r>
              <w:rPr>
                <w:sz w:val="17"/>
              </w:rPr>
              <w:t>Levels, grids, reference planes. Controlled after coordination gate; named change approval and temporary borrowing, not a security lock</w:t>
            </w:r>
          </w:p>
        </w:tc>
      </w:tr>
      <w:tr>
        <w:trPr>
          <w:cantSplit/>
        </w:trPr>
        <w:tc>
          <w:tcPr>
            <w:tcW w:type="dxa" w:w="2637"/>
          </w:tcPr>
          <w:p>
            <w:r>
              <w:rPr>
                <w:sz w:val="17"/>
              </w:rPr>
            </w:r>
            <w:r>
              <w:rPr>
                <w:sz w:val="17"/>
              </w:rPr>
              <w:t>Links — Architecture/​Structure/​MEP</w:t>
            </w:r>
          </w:p>
        </w:tc>
        <w:tc>
          <w:tcPr>
            <w:tcW w:type="dxa" w:w="1435"/>
          </w:tcPr>
          <w:p>
            <w:r>
              <w:rPr>
                <w:sz w:val="17"/>
              </w:rPr>
            </w:r>
            <w:r>
              <w:rPr>
                <w:sz w:val="17"/>
              </w:rPr>
              <w:t>Discipline Lead</w:t>
            </w:r>
          </w:p>
        </w:tc>
        <w:tc>
          <w:tcPr>
            <w:tcW w:type="dxa" w:w="6394"/>
          </w:tcPr>
          <w:p>
            <w:r>
              <w:rPr>
                <w:sz w:val="17"/>
              </w:rPr>
            </w:r>
            <w:r>
              <w:rPr>
                <w:sz w:val="17"/>
              </w:rPr>
              <w:t>External model links only. Pinned. Visibility managed by View Templates</w:t>
            </w:r>
          </w:p>
        </w:tc>
      </w:tr>
      <w:tr>
        <w:trPr>
          <w:cantSplit/>
        </w:trPr>
        <w:tc>
          <w:tcPr>
            <w:tcW w:type="dxa" w:w="2637"/>
          </w:tcPr>
          <w:p>
            <w:r>
              <w:rPr>
                <w:sz w:val="17"/>
              </w:rPr>
            </w:r>
            <w:r>
              <w:rPr>
                <w:sz w:val="17"/>
              </w:rPr>
              <w:t>Core — Modeling</w:t>
            </w:r>
          </w:p>
        </w:tc>
        <w:tc>
          <w:tcPr>
            <w:tcW w:type="dxa" w:w="1435"/>
          </w:tcPr>
          <w:p>
            <w:r>
              <w:rPr>
                <w:sz w:val="17"/>
              </w:rPr>
            </w:r>
            <w:r>
              <w:rPr>
                <w:sz w:val="17"/>
              </w:rPr>
              <w:t>Discipline Team</w:t>
            </w:r>
          </w:p>
        </w:tc>
        <w:tc>
          <w:tcPr>
            <w:tcW w:type="dxa" w:w="6394"/>
          </w:tcPr>
          <w:p>
            <w:r>
              <w:rPr>
                <w:sz w:val="17"/>
              </w:rPr>
            </w:r>
            <w:r>
              <w:rPr>
                <w:sz w:val="17"/>
              </w:rPr>
              <w:t>Primary production elements for the discipline</w:t>
            </w:r>
          </w:p>
        </w:tc>
      </w:tr>
      <w:tr>
        <w:trPr>
          <w:cantSplit/>
        </w:trPr>
        <w:tc>
          <w:tcPr>
            <w:tcW w:type="dxa" w:w="2637"/>
          </w:tcPr>
          <w:p>
            <w:r>
              <w:rPr>
                <w:sz w:val="17"/>
              </w:rPr>
            </w:r>
            <w:r>
              <w:rPr>
                <w:sz w:val="17"/>
              </w:rPr>
              <w:t>Imports</w:t>
            </w:r>
          </w:p>
        </w:tc>
        <w:tc>
          <w:tcPr>
            <w:tcW w:type="dxa" w:w="1435"/>
          </w:tcPr>
          <w:p>
            <w:r>
              <w:rPr>
                <w:sz w:val="17"/>
              </w:rPr>
            </w:r>
            <w:r>
              <w:rPr>
                <w:sz w:val="17"/>
              </w:rPr>
              <w:t>Discipline Team</w:t>
            </w:r>
          </w:p>
        </w:tc>
        <w:tc>
          <w:tcPr>
            <w:tcW w:type="dxa" w:w="6394"/>
          </w:tcPr>
          <w:p>
            <w:r>
              <w:rPr>
                <w:sz w:val="17"/>
              </w:rPr>
            </w:r>
            <w:r>
              <w:rPr>
                <w:sz w:val="17"/>
              </w:rPr>
              <w:t>DWG, images, point clouds. Do not leave imported CAD in production worksets</w:t>
            </w:r>
          </w:p>
        </w:tc>
      </w:tr>
    </w:tbl>
    <w:p/>
    <w:p>
      <w:pPr/>
      <w:r>
        <w:t>Views and sheets are organised by browser organisation (4.11), not worksets; view worksets are system-managed. Temporary coordination elements live in Core — Modeling or a registered exception (O-DEC-042).</w:t>
      </w:r>
    </w:p>
    <w:p>
      <w:pPr>
        <w:pStyle w:val="Heading3"/>
      </w:pPr>
      <w:r>
        <w:t>Partition strategy (mixed, As per BEP documented per model)</w:t>
      </w:r>
    </w:p>
    <w:p>
      <w:pPr/>
      <w:r>
        <w:t>Each model must declare its primary partition basis in the Model Notes view: Floor (L01, L02 …), Zone (Z01, Z02 …), System (HVAC, Power …), or a mix</w:t>
      </w:r>
    </w:p>
    <w:p>
      <w:pPr/>
      <w:r>
        <w:t>Mixed models must include a short rule: which categories split by floor, which by zone, which remain global</w:t>
      </w:r>
    </w:p>
    <w:p>
      <w:pPr/>
      <w:r>
        <w:t>Naming rules</w:t>
      </w:r>
    </w:p>
    <w:p>
      <w:pPr/>
      <w:r>
        <w:t>Floors: L01, L02, LRF (roof). Zones: Z01, Z02. Systems: HVAC, Power, Lighting</w:t>
      </w:r>
    </w:p>
    <w:p>
      <w:pPr/>
      <w:r>
        <w:t>View and workset names reflect the split (e.g., ARC-L02-PLAN-Layouts, MEC-Z03-3D-Coord); discipline codes per BBM-STD-93</w:t>
      </w:r>
    </w:p>
    <w:p>
      <w:pPr>
        <w:pStyle w:val="Heading3"/>
      </w:pPr>
      <w:r>
        <w:t>Rules</w:t>
      </w:r>
    </w:p>
    <w:p>
      <w:pPr/>
      <w:r>
        <w:t>No elements remain on Workset1. All placed elements belong to an intentional workset</w:t>
      </w:r>
    </w:p>
    <w:p>
      <w:pPr/>
      <w:r>
        <w:t>Links are pinned and placed on the dedicated Links worksets per discipline</w:t>
      </w:r>
    </w:p>
    <w:p>
      <w:pPr/>
      <w:r>
        <w:t>Imports kept on Imports workset and purged or unloaded before issue</w:t>
      </w:r>
    </w:p>
    <w:p>
      <w:pPr/>
      <w:r>
        <w:t>Large scope → split model per the declared strategy. Record the split rule in the model’s readme or 2.3 evidence pack</w:t>
      </w:r>
    </w:p>
    <w:p>
      <w:pPr/>
      <w:r>
        <w:t>Avoid scope overlap between split models; document handoff boundaries (by level, zone, or system)</w:t>
      </w:r>
    </w:p>
    <w:p>
      <w:pPr>
        <w:pStyle w:val="Heading3"/>
      </w:pPr>
      <w:r>
        <w:t>Acceptance for 3.3</w:t>
      </w:r>
    </w:p>
    <w:p>
      <w:pPr/>
      <w:r>
        <w:t>Model declares partition basis and workset ownership in Model Notes</w:t>
      </w:r>
    </w:p>
    <w:p>
      <w:pPr/>
      <w:r>
        <w:t>0 elements on Workset1 at gate checks</w:t>
      </w:r>
    </w:p>
    <w:p>
      <w:pPr/>
      <w:r>
        <w:t>Links pinned and isolated from production elements</w:t>
      </w:r>
    </w:p>
    <w:p>
      <w:pPr/>
      <w:r>
        <w:t>No empty or redundant worksets at issue</w:t>
      </w:r>
    </w:p>
    <w:p>
      <w:pPr/>
      <w:r>
        <w:t>If mixed strategy is used, handoff boundaries are stated and respected across models</w:t>
      </w:r>
    </w:p>
    <w:p>
      <w:pPr>
        <w:pStyle w:val="Heading1"/>
      </w:pPr>
      <w:r>
        <w:t>4 REVIT STANDARD</w:t>
      </w:r>
    </w:p>
    <w:p>
      <w:pPr>
        <w:pStyle w:val="Heading2"/>
      </w:pPr>
      <w:r>
        <w:t>4.1 LINES</w:t>
      </w:r>
    </w:p>
    <w:p>
      <w:pPr/>
      <w:r>
        <w:t>Category line weights, colours and patterns are set once in the 4.2 Object Styles tables; this section sets what a pen number plots as. MATCHLINE (special): cut weight 6, DASH-DOT-DOT, standard type, no ByElement override.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63"/>
        <w:gridCol w:w="2676"/>
        <w:gridCol w:w="1191"/>
        <w:gridCol w:w="3636"/>
      </w:tblGrid>
      <w:tr>
        <w:trPr>
          <w:cantSplit/>
          <w:tblHeader/>
        </w:trPr>
        <w:tc>
          <w:tcPr>
            <w:tcW w:type="dxa" w:w="2963"/>
            <w:shd w:val="clear" w:color="auto" w:fill="111113"/>
          </w:tcPr>
          <w:p>
            <w:r>
              <w:rPr>
                <w:b/>
                <w:color w:val="FFFFFF"/>
                <w:sz w:val="17"/>
              </w:rPr>
            </w:r>
            <w:r>
              <w:rPr>
                <w:b/>
                <w:color w:val="FFFFFF"/>
                <w:sz w:val="17"/>
              </w:rPr>
              <w:t>Acceptance criteria</w:t>
            </w:r>
          </w:p>
        </w:tc>
        <w:tc>
          <w:tcPr>
            <w:tcW w:type="dxa" w:w="2676"/>
            <w:shd w:val="clear" w:color="auto" w:fill="111113"/>
          </w:tcPr>
          <w:p>
            <w:r>
              <w:rPr>
                <w:b/>
                <w:color w:val="FFFFFF"/>
                <w:sz w:val="17"/>
              </w:rPr>
            </w:r>
            <w:r>
              <w:rPr>
                <w:b/>
                <w:color w:val="FFFFFF"/>
                <w:sz w:val="17"/>
              </w:rPr>
              <w:t>Quality checks</w:t>
            </w:r>
          </w:p>
        </w:tc>
        <w:tc>
          <w:tcPr>
            <w:tcW w:type="dxa" w:w="1191"/>
            <w:shd w:val="clear" w:color="auto" w:fill="111113"/>
          </w:tcPr>
          <w:p>
            <w:r>
              <w:rPr>
                <w:b/>
                <w:color w:val="FFFFFF"/>
                <w:sz w:val="17"/>
              </w:rPr>
            </w:r>
            <w:r>
              <w:rPr>
                <w:b/>
                <w:color w:val="FFFFFF"/>
                <w:sz w:val="17"/>
              </w:rPr>
              <w:t>Owner</w:t>
            </w:r>
          </w:p>
        </w:tc>
        <w:tc>
          <w:tcPr>
            <w:tcW w:type="dxa" w:w="3636"/>
            <w:shd w:val="clear" w:color="auto" w:fill="111113"/>
          </w:tcPr>
          <w:p>
            <w:r>
              <w:rPr>
                <w:b/>
                <w:color w:val="FFFFFF"/>
                <w:sz w:val="17"/>
              </w:rPr>
            </w:r>
            <w:r>
              <w:rPr>
                <w:b/>
                <w:color w:val="FFFFFF"/>
                <w:sz w:val="17"/>
              </w:rPr>
              <w:t>Edit criteria</w:t>
            </w:r>
          </w:p>
        </w:tc>
      </w:tr>
      <w:tr>
        <w:trPr>
          <w:cantSplit/>
        </w:trPr>
        <w:tc>
          <w:tcPr>
            <w:tcW w:type="dxa" w:w="2963"/>
          </w:tcPr>
          <w:p>
            <w:r>
              <w:rPr>
                <w:sz w:val="17"/>
              </w:rPr>
            </w:r>
            <w:r>
              <w:rPr>
                <w:sz w:val="17"/>
              </w:rPr>
              <w:t>No category uses line weight 0 in cut</w:t>
            </w:r>
          </w:p>
        </w:tc>
        <w:tc>
          <w:tcPr>
            <w:tcW w:type="dxa" w:w="2676"/>
          </w:tcPr>
          <w:p>
            <w:r>
              <w:rPr>
                <w:sz w:val="17"/>
              </w:rPr>
            </w:r>
            <w:r>
              <w:rPr>
                <w:sz w:val="17"/>
              </w:rPr>
              <w:t>Automated scan of Object Styles against baseline</w:t>
            </w:r>
          </w:p>
        </w:tc>
        <w:tc>
          <w:tcPr>
            <w:tcW w:type="dxa" w:w="1191"/>
          </w:tcPr>
          <w:p>
            <w:r>
              <w:rPr>
                <w:sz w:val="17"/>
              </w:rPr>
            </w:r>
            <w:r>
              <w:rPr>
                <w:sz w:val="17"/>
              </w:rPr>
              <w:t>Information Manager</w:t>
            </w:r>
          </w:p>
        </w:tc>
        <w:tc>
          <w:tcPr>
            <w:tcW w:type="dxa" w:w="3636"/>
          </w:tcPr>
          <w:p>
            <w:r>
              <w:rPr>
                <w:sz w:val="17"/>
              </w:rPr>
            </w:r>
            <w:r>
              <w:rPr>
                <w:sz w:val="17"/>
              </w:rPr>
              <w:t>Adjust only via standards update; log change</w:t>
            </w:r>
          </w:p>
        </w:tc>
      </w:tr>
      <w:tr>
        <w:trPr>
          <w:cantSplit/>
        </w:trPr>
        <w:tc>
          <w:tcPr>
            <w:tcW w:type="dxa" w:w="2963"/>
          </w:tcPr>
          <w:p>
            <w:r>
              <w:rPr>
                <w:sz w:val="17"/>
              </w:rPr>
            </w:r>
            <w:r>
              <w:rPr>
                <w:sz w:val="17"/>
              </w:rPr>
              <w:t>Plans at 1:100: WALLS cut = 8, FLOORS cut = 10</w:t>
            </w:r>
          </w:p>
        </w:tc>
        <w:tc>
          <w:tcPr>
            <w:tcW w:type="dxa" w:w="2676"/>
          </w:tcPr>
          <w:p>
            <w:r>
              <w:rPr>
                <w:sz w:val="17"/>
              </w:rPr>
            </w:r>
            <w:r>
              <w:rPr>
                <w:sz w:val="17"/>
              </w:rPr>
              <w:t>Template spot-check on representative views</w:t>
            </w:r>
          </w:p>
        </w:tc>
        <w:tc>
          <w:tcPr>
            <w:tcW w:type="dxa" w:w="1191"/>
          </w:tcPr>
          <w:p>
            <w:r>
              <w:rPr>
                <w:sz w:val="17"/>
              </w:rPr>
            </w:r>
            <w:r>
              <w:rPr>
                <w:sz w:val="17"/>
              </w:rPr>
              <w:t>Discipline Lead</w:t>
            </w:r>
          </w:p>
        </w:tc>
        <w:tc>
          <w:tcPr>
            <w:tcW w:type="dxa" w:w="3636"/>
          </w:tcPr>
          <w:p>
            <w:r>
              <w:rPr>
                <w:sz w:val="17"/>
              </w:rPr>
            </w:r>
            <w:r>
              <w:rPr>
                <w:sz w:val="17"/>
              </w:rPr>
              <w:t>Update view templates if mismatch; do not per-view tweak</w:t>
            </w:r>
          </w:p>
        </w:tc>
      </w:tr>
      <w:tr>
        <w:trPr>
          <w:cantSplit/>
        </w:trPr>
        <w:tc>
          <w:tcPr>
            <w:tcW w:type="dxa" w:w="2963"/>
          </w:tcPr>
          <w:p>
            <w:r>
              <w:rPr>
                <w:sz w:val="17"/>
              </w:rPr>
            </w:r>
            <w:r>
              <w:rPr>
                <w:sz w:val="17"/>
              </w:rPr>
              <w:t>Only approved line patterns in issue views</w:t>
            </w:r>
          </w:p>
        </w:tc>
        <w:tc>
          <w:tcPr>
            <w:tcW w:type="dxa" w:w="2676"/>
          </w:tcPr>
          <w:p>
            <w:r>
              <w:rPr>
                <w:sz w:val="17"/>
              </w:rPr>
            </w:r>
            <w:r>
              <w:rPr>
                <w:sz w:val="17"/>
              </w:rPr>
              <w:t>Search for non-standard patterns; flag overrides</w:t>
            </w:r>
          </w:p>
        </w:tc>
        <w:tc>
          <w:tcPr>
            <w:tcW w:type="dxa" w:w="1191"/>
          </w:tcPr>
          <w:p>
            <w:r>
              <w:rPr>
                <w:sz w:val="17"/>
              </w:rPr>
            </w:r>
            <w:r>
              <w:rPr>
                <w:sz w:val="17"/>
              </w:rPr>
              <w:t>QA-QC Lead</w:t>
            </w:r>
          </w:p>
        </w:tc>
        <w:tc>
          <w:tcPr>
            <w:tcW w:type="dxa" w:w="3636"/>
          </w:tcPr>
          <w:p>
            <w:r>
              <w:rPr>
                <w:sz w:val="17"/>
              </w:rPr>
            </w:r>
            <w:r>
              <w:rPr>
                <w:sz w:val="17"/>
              </w:rPr>
              <w:t>Replace with approved patterns; purge only demonstrably unused, non-required content after a protected-copy comparison</w:t>
            </w:r>
          </w:p>
        </w:tc>
      </w:tr>
      <w:tr>
        <w:trPr>
          <w:cantSplit/>
        </w:trPr>
        <w:tc>
          <w:tcPr>
            <w:tcW w:type="dxa" w:w="2963"/>
          </w:tcPr>
          <w:p>
            <w:r>
              <w:rPr>
                <w:sz w:val="17"/>
              </w:rPr>
            </w:r>
            <w:r>
              <w:rPr>
                <w:sz w:val="17"/>
              </w:rPr>
              <w:t>Colors are UPPERCASE named or explicit RGB; consistent per row</w:t>
            </w:r>
          </w:p>
        </w:tc>
        <w:tc>
          <w:tcPr>
            <w:tcW w:type="dxa" w:w="2676"/>
          </w:tcPr>
          <w:p>
            <w:r>
              <w:rPr>
                <w:sz w:val="17"/>
              </w:rPr>
            </w:r>
            <w:r>
              <w:rPr>
                <w:sz w:val="17"/>
              </w:rPr>
              <w:t>Lint colors in Object Styles; flag mixed casing or ByElement</w:t>
            </w:r>
          </w:p>
        </w:tc>
        <w:tc>
          <w:tcPr>
            <w:tcW w:type="dxa" w:w="1191"/>
          </w:tcPr>
          <w:p>
            <w:r>
              <w:rPr>
                <w:sz w:val="17"/>
              </w:rPr>
            </w:r>
            <w:r>
              <w:rPr>
                <w:sz w:val="17"/>
              </w:rPr>
              <w:t>QA-QC Lead</w:t>
            </w:r>
          </w:p>
        </w:tc>
        <w:tc>
          <w:tcPr>
            <w:tcW w:type="dxa" w:w="3636"/>
          </w:tcPr>
          <w:p>
            <w:r>
              <w:rPr>
                <w:sz w:val="17"/>
              </w:rPr>
            </w:r>
            <w:r>
              <w:rPr>
                <w:sz w:val="17"/>
              </w:rPr>
              <w:t>Normalize naming; remove ByElement overrides</w:t>
            </w:r>
          </w:p>
        </w:tc>
      </w:tr>
      <w:tr>
        <w:trPr>
          <w:cantSplit/>
        </w:trPr>
        <w:tc>
          <w:tcPr>
            <w:tcW w:type="dxa" w:w="2963"/>
          </w:tcPr>
          <w:p>
            <w:r>
              <w:rPr>
                <w:sz w:val="17"/>
              </w:rPr>
            </w:r>
            <w:r>
              <w:rPr>
                <w:sz w:val="17"/>
              </w:rPr>
              <w:t>MATCHLINE uses Dash-Dot-Dot with weight 6</w:t>
            </w:r>
          </w:p>
        </w:tc>
        <w:tc>
          <w:tcPr>
            <w:tcW w:type="dxa" w:w="2676"/>
          </w:tcPr>
          <w:p>
            <w:r>
              <w:rPr>
                <w:sz w:val="17"/>
              </w:rPr>
            </w:r>
            <w:r>
              <w:rPr>
                <w:sz w:val="17"/>
              </w:rPr>
              <w:t>Check MATCHLINE type in typical sheets</w:t>
            </w:r>
          </w:p>
        </w:tc>
        <w:tc>
          <w:tcPr>
            <w:tcW w:type="dxa" w:w="1191"/>
          </w:tcPr>
          <w:p>
            <w:r>
              <w:rPr>
                <w:sz w:val="17"/>
              </w:rPr>
            </w:r>
            <w:r>
              <w:rPr>
                <w:sz w:val="17"/>
              </w:rPr>
              <w:t>Discipline Lead</w:t>
            </w:r>
          </w:p>
        </w:tc>
        <w:tc>
          <w:tcPr>
            <w:tcW w:type="dxa" w:w="3636"/>
          </w:tcPr>
          <w:p>
            <w:r>
              <w:rPr>
                <w:sz w:val="17"/>
              </w:rPr>
            </w:r>
            <w:r>
              <w:rPr>
                <w:sz w:val="17"/>
              </w:rPr>
              <w:t>Fix in template; avoid per-sheet edits</w:t>
            </w:r>
          </w:p>
        </w:tc>
      </w:tr>
    </w:tbl>
    <w:p/>
    <w:p>
      <w:pPr>
        <w:pStyle w:val="Heading3"/>
      </w:pPr>
      <w:r>
        <w:t>4.1.1 LINE WEIGHTS</w:t>
      </w:r>
    </w:p>
    <w:p>
      <w:pPr/>
      <w:r>
        <w:t>Revit pen numbers map to ISO 128 line widths (mm, plotted) per view scale (</w:t>
      </w:r>
      <w:r>
        <w:rPr>
          <w:color w:val="9A7B45"/>
          <w:u w:val="single"/>
        </w:rPr>
        <w:t>O-DEC-122</w:t>
      </w:r>
      <w:r>
        <w:t>). The template Line Weights table uses these values; BBM-STD-66 uses the same widths for DWG plot styles. Confirm by test print before template release.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66"/>
        <w:gridCol w:w="2957"/>
        <w:gridCol w:w="2126"/>
        <w:gridCol w:w="3218"/>
      </w:tblGrid>
      <w:tr>
        <w:trPr>
          <w:cantSplit/>
          <w:tblHeader/>
        </w:trPr>
        <w:tc>
          <w:tcPr>
            <w:tcW w:type="dxa" w:w="2166"/>
            <w:shd w:val="clear" w:color="auto" w:fill="111113"/>
          </w:tcPr>
          <w:p>
            <w:r>
              <w:rPr>
                <w:b/>
                <w:color w:val="FFFFFF"/>
                <w:sz w:val="17"/>
              </w:rPr>
            </w:r>
            <w:r>
              <w:rPr>
                <w:b/>
                <w:color w:val="FFFFFF"/>
                <w:sz w:val="17"/>
              </w:rPr>
              <w:t>Pen</w:t>
            </w:r>
          </w:p>
        </w:tc>
        <w:tc>
          <w:tcPr>
            <w:tcW w:type="dxa" w:w="2957"/>
            <w:shd w:val="clear" w:color="auto" w:fill="111113"/>
          </w:tcPr>
          <w:p>
            <w:r>
              <w:rPr>
                <w:b/>
                <w:color w:val="FFFFFF"/>
                <w:sz w:val="17"/>
              </w:rPr>
            </w:r>
            <w:r>
              <w:rPr>
                <w:b/>
                <w:color w:val="FFFFFF"/>
                <w:sz w:val="17"/>
              </w:rPr>
              <w:t>1:50 and larger</w:t>
            </w:r>
          </w:p>
        </w:tc>
        <w:tc>
          <w:tcPr>
            <w:tcW w:type="dxa" w:w="2126"/>
            <w:shd w:val="clear" w:color="auto" w:fill="111113"/>
          </w:tcPr>
          <w:p>
            <w:r>
              <w:rPr>
                <w:b/>
                <w:color w:val="FFFFFF"/>
                <w:sz w:val="17"/>
              </w:rPr>
            </w:r>
            <w:r>
              <w:rPr>
                <w:b/>
                <w:color w:val="FFFFFF"/>
                <w:sz w:val="17"/>
              </w:rPr>
              <w:t>1:100</w:t>
            </w:r>
          </w:p>
        </w:tc>
        <w:tc>
          <w:tcPr>
            <w:tcW w:type="dxa" w:w="3218"/>
            <w:shd w:val="clear" w:color="auto" w:fill="111113"/>
          </w:tcPr>
          <w:p>
            <w:r>
              <w:rPr>
                <w:b/>
                <w:color w:val="FFFFFF"/>
                <w:sz w:val="17"/>
              </w:rPr>
            </w:r>
            <w:r>
              <w:rPr>
                <w:b/>
                <w:color w:val="FFFFFF"/>
                <w:sz w:val="17"/>
              </w:rPr>
              <w:t>1:200 and smaller</w:t>
            </w:r>
          </w:p>
        </w:tc>
      </w:tr>
      <w:tr>
        <w:trPr>
          <w:cantSplit/>
        </w:trPr>
        <w:tc>
          <w:tcPr>
            <w:tcW w:type="dxa" w:w="2166"/>
          </w:tcPr>
          <w:p>
            <w:r>
              <w:rPr>
                <w:sz w:val="17"/>
              </w:rPr>
            </w:r>
            <w:r>
              <w:rPr>
                <w:sz w:val="17"/>
              </w:rPr>
              <w:t>1</w:t>
            </w:r>
          </w:p>
        </w:tc>
        <w:tc>
          <w:tcPr>
            <w:tcW w:type="dxa" w:w="2957"/>
          </w:tcPr>
          <w:p>
            <w:r>
              <w:rPr>
                <w:sz w:val="17"/>
              </w:rPr>
            </w:r>
            <w:r>
              <w:rPr>
                <w:sz w:val="17"/>
              </w:rPr>
              <w:t>0.13</w:t>
            </w:r>
          </w:p>
        </w:tc>
        <w:tc>
          <w:tcPr>
            <w:tcW w:type="dxa" w:w="2126"/>
          </w:tcPr>
          <w:p>
            <w:r>
              <w:rPr>
                <w:sz w:val="17"/>
              </w:rPr>
            </w:r>
            <w:r>
              <w:rPr>
                <w:sz w:val="17"/>
              </w:rPr>
              <w:t>0.13</w:t>
            </w:r>
          </w:p>
        </w:tc>
        <w:tc>
          <w:tcPr>
            <w:tcW w:type="dxa" w:w="3218"/>
          </w:tcPr>
          <w:p>
            <w:r>
              <w:rPr>
                <w:sz w:val="17"/>
              </w:rPr>
            </w:r>
            <w:r>
              <w:rPr>
                <w:sz w:val="17"/>
              </w:rPr>
              <w:t>0.13</w:t>
            </w:r>
          </w:p>
        </w:tc>
      </w:tr>
      <w:tr>
        <w:trPr>
          <w:cantSplit/>
        </w:trPr>
        <w:tc>
          <w:tcPr>
            <w:tcW w:type="dxa" w:w="2166"/>
          </w:tcPr>
          <w:p>
            <w:r>
              <w:rPr>
                <w:sz w:val="17"/>
              </w:rPr>
            </w:r>
            <w:r>
              <w:rPr>
                <w:sz w:val="17"/>
              </w:rPr>
              <w:t>2</w:t>
            </w:r>
          </w:p>
        </w:tc>
        <w:tc>
          <w:tcPr>
            <w:tcW w:type="dxa" w:w="2957"/>
          </w:tcPr>
          <w:p>
            <w:r>
              <w:rPr>
                <w:sz w:val="17"/>
              </w:rPr>
            </w:r>
            <w:r>
              <w:rPr>
                <w:sz w:val="17"/>
              </w:rPr>
              <w:t>0.18</w:t>
            </w:r>
          </w:p>
        </w:tc>
        <w:tc>
          <w:tcPr>
            <w:tcW w:type="dxa" w:w="2126"/>
          </w:tcPr>
          <w:p>
            <w:r>
              <w:rPr>
                <w:sz w:val="17"/>
              </w:rPr>
            </w:r>
            <w:r>
              <w:rPr>
                <w:sz w:val="17"/>
              </w:rPr>
              <w:t>0.18</w:t>
            </w:r>
          </w:p>
        </w:tc>
        <w:tc>
          <w:tcPr>
            <w:tcW w:type="dxa" w:w="3218"/>
          </w:tcPr>
          <w:p>
            <w:r>
              <w:rPr>
                <w:sz w:val="17"/>
              </w:rPr>
            </w:r>
            <w:r>
              <w:rPr>
                <w:sz w:val="17"/>
              </w:rPr>
              <w:t>0.13</w:t>
            </w:r>
          </w:p>
        </w:tc>
      </w:tr>
      <w:tr>
        <w:trPr>
          <w:cantSplit/>
        </w:trPr>
        <w:tc>
          <w:tcPr>
            <w:tcW w:type="dxa" w:w="2166"/>
          </w:tcPr>
          <w:p>
            <w:r>
              <w:rPr>
                <w:sz w:val="17"/>
              </w:rPr>
            </w:r>
            <w:r>
              <w:rPr>
                <w:sz w:val="17"/>
              </w:rPr>
              <w:t>3</w:t>
            </w:r>
          </w:p>
        </w:tc>
        <w:tc>
          <w:tcPr>
            <w:tcW w:type="dxa" w:w="2957"/>
          </w:tcPr>
          <w:p>
            <w:r>
              <w:rPr>
                <w:sz w:val="17"/>
              </w:rPr>
            </w:r>
            <w:r>
              <w:rPr>
                <w:sz w:val="17"/>
              </w:rPr>
              <w:t>0.25</w:t>
            </w:r>
          </w:p>
        </w:tc>
        <w:tc>
          <w:tcPr>
            <w:tcW w:type="dxa" w:w="2126"/>
          </w:tcPr>
          <w:p>
            <w:r>
              <w:rPr>
                <w:sz w:val="17"/>
              </w:rPr>
            </w:r>
            <w:r>
              <w:rPr>
                <w:sz w:val="17"/>
              </w:rPr>
              <w:t>0.18</w:t>
            </w:r>
          </w:p>
        </w:tc>
        <w:tc>
          <w:tcPr>
            <w:tcW w:type="dxa" w:w="3218"/>
          </w:tcPr>
          <w:p>
            <w:r>
              <w:rPr>
                <w:sz w:val="17"/>
              </w:rPr>
            </w:r>
            <w:r>
              <w:rPr>
                <w:sz w:val="17"/>
              </w:rPr>
              <w:t>0.18</w:t>
            </w:r>
          </w:p>
        </w:tc>
      </w:tr>
      <w:tr>
        <w:trPr>
          <w:cantSplit/>
        </w:trPr>
        <w:tc>
          <w:tcPr>
            <w:tcW w:type="dxa" w:w="2166"/>
          </w:tcPr>
          <w:p>
            <w:r>
              <w:rPr>
                <w:sz w:val="17"/>
              </w:rPr>
            </w:r>
            <w:r>
              <w:rPr>
                <w:sz w:val="17"/>
              </w:rPr>
              <w:t>4</w:t>
            </w:r>
          </w:p>
        </w:tc>
        <w:tc>
          <w:tcPr>
            <w:tcW w:type="dxa" w:w="2957"/>
          </w:tcPr>
          <w:p>
            <w:r>
              <w:rPr>
                <w:sz w:val="17"/>
              </w:rPr>
            </w:r>
            <w:r>
              <w:rPr>
                <w:sz w:val="17"/>
              </w:rPr>
              <w:t>0.35</w:t>
            </w:r>
          </w:p>
        </w:tc>
        <w:tc>
          <w:tcPr>
            <w:tcW w:type="dxa" w:w="2126"/>
          </w:tcPr>
          <w:p>
            <w:r>
              <w:rPr>
                <w:sz w:val="17"/>
              </w:rPr>
            </w:r>
            <w:r>
              <w:rPr>
                <w:sz w:val="17"/>
              </w:rPr>
              <w:t>0.25</w:t>
            </w:r>
          </w:p>
        </w:tc>
        <w:tc>
          <w:tcPr>
            <w:tcW w:type="dxa" w:w="3218"/>
          </w:tcPr>
          <w:p>
            <w:r>
              <w:rPr>
                <w:sz w:val="17"/>
              </w:rPr>
            </w:r>
            <w:r>
              <w:rPr>
                <w:sz w:val="17"/>
              </w:rPr>
              <w:t>0.18</w:t>
            </w:r>
          </w:p>
        </w:tc>
      </w:tr>
      <w:tr>
        <w:trPr>
          <w:cantSplit/>
        </w:trPr>
        <w:tc>
          <w:tcPr>
            <w:tcW w:type="dxa" w:w="2166"/>
          </w:tcPr>
          <w:p>
            <w:r>
              <w:rPr>
                <w:sz w:val="17"/>
              </w:rPr>
            </w:r>
            <w:r>
              <w:rPr>
                <w:sz w:val="17"/>
              </w:rPr>
              <w:t>5</w:t>
            </w:r>
          </w:p>
        </w:tc>
        <w:tc>
          <w:tcPr>
            <w:tcW w:type="dxa" w:w="2957"/>
          </w:tcPr>
          <w:p>
            <w:r>
              <w:rPr>
                <w:sz w:val="17"/>
              </w:rPr>
            </w:r>
            <w:r>
              <w:rPr>
                <w:sz w:val="17"/>
              </w:rPr>
              <w:t>0.35</w:t>
            </w:r>
          </w:p>
        </w:tc>
        <w:tc>
          <w:tcPr>
            <w:tcW w:type="dxa" w:w="2126"/>
          </w:tcPr>
          <w:p>
            <w:r>
              <w:rPr>
                <w:sz w:val="17"/>
              </w:rPr>
            </w:r>
            <w:r>
              <w:rPr>
                <w:sz w:val="17"/>
              </w:rPr>
              <w:t>0.35</w:t>
            </w:r>
          </w:p>
        </w:tc>
        <w:tc>
          <w:tcPr>
            <w:tcW w:type="dxa" w:w="3218"/>
          </w:tcPr>
          <w:p>
            <w:r>
              <w:rPr>
                <w:sz w:val="17"/>
              </w:rPr>
            </w:r>
            <w:r>
              <w:rPr>
                <w:sz w:val="17"/>
              </w:rPr>
              <w:t>0.25</w:t>
            </w:r>
          </w:p>
        </w:tc>
      </w:tr>
      <w:tr>
        <w:trPr>
          <w:cantSplit/>
        </w:trPr>
        <w:tc>
          <w:tcPr>
            <w:tcW w:type="dxa" w:w="2166"/>
          </w:tcPr>
          <w:p>
            <w:r>
              <w:rPr>
                <w:sz w:val="17"/>
              </w:rPr>
            </w:r>
            <w:r>
              <w:rPr>
                <w:sz w:val="17"/>
              </w:rPr>
              <w:t>6</w:t>
            </w:r>
          </w:p>
        </w:tc>
        <w:tc>
          <w:tcPr>
            <w:tcW w:type="dxa" w:w="2957"/>
          </w:tcPr>
          <w:p>
            <w:r>
              <w:rPr>
                <w:sz w:val="17"/>
              </w:rPr>
            </w:r>
            <w:r>
              <w:rPr>
                <w:sz w:val="17"/>
              </w:rPr>
              <w:t>0.50</w:t>
            </w:r>
          </w:p>
        </w:tc>
        <w:tc>
          <w:tcPr>
            <w:tcW w:type="dxa" w:w="2126"/>
          </w:tcPr>
          <w:p>
            <w:r>
              <w:rPr>
                <w:sz w:val="17"/>
              </w:rPr>
            </w:r>
            <w:r>
              <w:rPr>
                <w:sz w:val="17"/>
              </w:rPr>
              <w:t>0.35</w:t>
            </w:r>
          </w:p>
        </w:tc>
        <w:tc>
          <w:tcPr>
            <w:tcW w:type="dxa" w:w="3218"/>
          </w:tcPr>
          <w:p>
            <w:r>
              <w:rPr>
                <w:sz w:val="17"/>
              </w:rPr>
            </w:r>
            <w:r>
              <w:rPr>
                <w:sz w:val="17"/>
              </w:rPr>
              <w:t>0.25</w:t>
            </w:r>
          </w:p>
        </w:tc>
      </w:tr>
      <w:tr>
        <w:trPr>
          <w:cantSplit/>
        </w:trPr>
        <w:tc>
          <w:tcPr>
            <w:tcW w:type="dxa" w:w="2166"/>
          </w:tcPr>
          <w:p>
            <w:r>
              <w:rPr>
                <w:sz w:val="17"/>
              </w:rPr>
            </w:r>
            <w:r>
              <w:rPr>
                <w:sz w:val="17"/>
              </w:rPr>
              <w:t>7</w:t>
            </w:r>
          </w:p>
        </w:tc>
        <w:tc>
          <w:tcPr>
            <w:tcW w:type="dxa" w:w="2957"/>
          </w:tcPr>
          <w:p>
            <w:r>
              <w:rPr>
                <w:sz w:val="17"/>
              </w:rPr>
            </w:r>
            <w:r>
              <w:rPr>
                <w:sz w:val="17"/>
              </w:rPr>
              <w:t>0.50</w:t>
            </w:r>
          </w:p>
        </w:tc>
        <w:tc>
          <w:tcPr>
            <w:tcW w:type="dxa" w:w="2126"/>
          </w:tcPr>
          <w:p>
            <w:r>
              <w:rPr>
                <w:sz w:val="17"/>
              </w:rPr>
            </w:r>
            <w:r>
              <w:rPr>
                <w:sz w:val="17"/>
              </w:rPr>
              <w:t>0.50</w:t>
            </w:r>
          </w:p>
        </w:tc>
        <w:tc>
          <w:tcPr>
            <w:tcW w:type="dxa" w:w="3218"/>
          </w:tcPr>
          <w:p>
            <w:r>
              <w:rPr>
                <w:sz w:val="17"/>
              </w:rPr>
            </w:r>
            <w:r>
              <w:rPr>
                <w:sz w:val="17"/>
              </w:rPr>
              <w:t>0.35</w:t>
            </w:r>
          </w:p>
        </w:tc>
      </w:tr>
      <w:tr>
        <w:trPr>
          <w:cantSplit/>
        </w:trPr>
        <w:tc>
          <w:tcPr>
            <w:tcW w:type="dxa" w:w="2166"/>
          </w:tcPr>
          <w:p>
            <w:r>
              <w:rPr>
                <w:sz w:val="17"/>
              </w:rPr>
            </w:r>
            <w:r>
              <w:rPr>
                <w:sz w:val="17"/>
              </w:rPr>
              <w:t>8</w:t>
            </w:r>
          </w:p>
        </w:tc>
        <w:tc>
          <w:tcPr>
            <w:tcW w:type="dxa" w:w="2957"/>
          </w:tcPr>
          <w:p>
            <w:r>
              <w:rPr>
                <w:sz w:val="17"/>
              </w:rPr>
            </w:r>
            <w:r>
              <w:rPr>
                <w:sz w:val="17"/>
              </w:rPr>
              <w:t>0.70</w:t>
            </w:r>
          </w:p>
        </w:tc>
        <w:tc>
          <w:tcPr>
            <w:tcW w:type="dxa" w:w="2126"/>
          </w:tcPr>
          <w:p>
            <w:r>
              <w:rPr>
                <w:sz w:val="17"/>
              </w:rPr>
            </w:r>
            <w:r>
              <w:rPr>
                <w:sz w:val="17"/>
              </w:rPr>
              <w:t>0.50</w:t>
            </w:r>
          </w:p>
        </w:tc>
        <w:tc>
          <w:tcPr>
            <w:tcW w:type="dxa" w:w="3218"/>
          </w:tcPr>
          <w:p>
            <w:r>
              <w:rPr>
                <w:sz w:val="17"/>
              </w:rPr>
            </w:r>
            <w:r>
              <w:rPr>
                <w:sz w:val="17"/>
              </w:rPr>
              <w:t>0.35</w:t>
            </w:r>
          </w:p>
        </w:tc>
      </w:tr>
      <w:tr>
        <w:trPr>
          <w:cantSplit/>
        </w:trPr>
        <w:tc>
          <w:tcPr>
            <w:tcW w:type="dxa" w:w="2166"/>
          </w:tcPr>
          <w:p>
            <w:r>
              <w:rPr>
                <w:sz w:val="17"/>
              </w:rPr>
            </w:r>
            <w:r>
              <w:rPr>
                <w:sz w:val="17"/>
              </w:rPr>
              <w:t>9</w:t>
            </w:r>
          </w:p>
        </w:tc>
        <w:tc>
          <w:tcPr>
            <w:tcW w:type="dxa" w:w="2957"/>
          </w:tcPr>
          <w:p>
            <w:r>
              <w:rPr>
                <w:sz w:val="17"/>
              </w:rPr>
            </w:r>
            <w:r>
              <w:rPr>
                <w:sz w:val="17"/>
              </w:rPr>
              <w:t>0.70</w:t>
            </w:r>
          </w:p>
        </w:tc>
        <w:tc>
          <w:tcPr>
            <w:tcW w:type="dxa" w:w="2126"/>
          </w:tcPr>
          <w:p>
            <w:r>
              <w:rPr>
                <w:sz w:val="17"/>
              </w:rPr>
            </w:r>
            <w:r>
              <w:rPr>
                <w:sz w:val="17"/>
              </w:rPr>
              <w:t>0.70</w:t>
            </w:r>
          </w:p>
        </w:tc>
        <w:tc>
          <w:tcPr>
            <w:tcW w:type="dxa" w:w="3218"/>
          </w:tcPr>
          <w:p>
            <w:r>
              <w:rPr>
                <w:sz w:val="17"/>
              </w:rPr>
            </w:r>
            <w:r>
              <w:rPr>
                <w:sz w:val="17"/>
              </w:rPr>
              <w:t>0.50</w:t>
            </w:r>
          </w:p>
        </w:tc>
      </w:tr>
      <w:tr>
        <w:trPr>
          <w:cantSplit/>
        </w:trPr>
        <w:tc>
          <w:tcPr>
            <w:tcW w:type="dxa" w:w="2166"/>
          </w:tcPr>
          <w:p>
            <w:r>
              <w:rPr>
                <w:sz w:val="17"/>
              </w:rPr>
            </w:r>
            <w:r>
              <w:rPr>
                <w:sz w:val="17"/>
              </w:rPr>
              <w:t>10</w:t>
            </w:r>
          </w:p>
        </w:tc>
        <w:tc>
          <w:tcPr>
            <w:tcW w:type="dxa" w:w="2957"/>
          </w:tcPr>
          <w:p>
            <w:r>
              <w:rPr>
                <w:sz w:val="17"/>
              </w:rPr>
            </w:r>
            <w:r>
              <w:rPr>
                <w:sz w:val="17"/>
              </w:rPr>
              <w:t>1.00</w:t>
            </w:r>
          </w:p>
        </w:tc>
        <w:tc>
          <w:tcPr>
            <w:tcW w:type="dxa" w:w="2126"/>
          </w:tcPr>
          <w:p>
            <w:r>
              <w:rPr>
                <w:sz w:val="17"/>
              </w:rPr>
            </w:r>
            <w:r>
              <w:rPr>
                <w:sz w:val="17"/>
              </w:rPr>
              <w:t>0.70</w:t>
            </w:r>
          </w:p>
        </w:tc>
        <w:tc>
          <w:tcPr>
            <w:tcW w:type="dxa" w:w="3218"/>
          </w:tcPr>
          <w:p>
            <w:r>
              <w:rPr>
                <w:sz w:val="17"/>
              </w:rPr>
            </w:r>
            <w:r>
              <w:rPr>
                <w:sz w:val="17"/>
              </w:rPr>
              <w:t>0.50</w:t>
            </w:r>
          </w:p>
        </w:tc>
      </w:tr>
      <w:tr>
        <w:trPr>
          <w:cantSplit/>
        </w:trPr>
        <w:tc>
          <w:tcPr>
            <w:tcW w:type="dxa" w:w="2166"/>
          </w:tcPr>
          <w:p>
            <w:r>
              <w:rPr>
                <w:sz w:val="17"/>
              </w:rPr>
            </w:r>
            <w:r>
              <w:rPr>
                <w:sz w:val="17"/>
              </w:rPr>
              <w:t>11–16</w:t>
            </w:r>
          </w:p>
        </w:tc>
        <w:tc>
          <w:tcPr>
            <w:tcW w:type="dxa" w:w="2957"/>
          </w:tcPr>
          <w:p>
            <w:r>
              <w:rPr>
                <w:sz w:val="17"/>
              </w:rPr>
            </w:r>
            <w:r>
              <w:rPr>
                <w:sz w:val="17"/>
              </w:rPr>
              <w:t>1.00</w:t>
            </w:r>
          </w:p>
        </w:tc>
        <w:tc>
          <w:tcPr>
            <w:tcW w:type="dxa" w:w="2126"/>
          </w:tcPr>
          <w:p>
            <w:r>
              <w:rPr>
                <w:sz w:val="17"/>
              </w:rPr>
            </w:r>
            <w:r>
              <w:rPr>
                <w:sz w:val="17"/>
              </w:rPr>
              <w:t>1.00</w:t>
            </w:r>
          </w:p>
        </w:tc>
        <w:tc>
          <w:tcPr>
            <w:tcW w:type="dxa" w:w="3218"/>
          </w:tcPr>
          <w:p>
            <w:r>
              <w:rPr>
                <w:sz w:val="17"/>
              </w:rPr>
            </w:r>
            <w:r>
              <w:rPr>
                <w:sz w:val="17"/>
              </w:rPr>
              <w:t>0.70</w:t>
            </w:r>
          </w:p>
        </w:tc>
      </w:tr>
    </w:tbl>
    <w:p/>
    <w:p>
      <w:pPr>
        <w:pStyle w:val="Heading3"/>
      </w:pPr>
      <w:r>
        <w:t>Acceptance — 4.1 Lines</w:t>
      </w:r>
    </w:p>
    <w:p>
      <w:pPr/>
      <w:r>
        <w:t>No category uses line weight 0 in cut.</w:t>
      </w:r>
    </w:p>
    <w:p>
      <w:pPr/>
      <w:r>
        <w:t>Plans at 1:100 use: WALLS cut = 8. FLOORS cut = 10.</w:t>
      </w:r>
    </w:p>
    <w:p>
      <w:pPr/>
      <w:r>
        <w:t>Only approved line patterns are used. No ad-hoc patterns at issue.</w:t>
      </w:r>
    </w:p>
    <w:p>
      <w:pPr/>
      <w:r>
        <w:t>Colors use the approved convention: named colors in UPPERCASE or explicit RGB values. Do not mix styles within a single table row.</w:t>
      </w:r>
    </w:p>
    <w:p>
      <w:pPr/>
      <w:r>
        <w:t>Special lines: MATCHLINE uses Dash-Dot-Dot with weight 6.</w:t>
      </w:r>
    </w:p>
    <w:p>
      <w:pPr>
        <w:pStyle w:val="Heading2"/>
      </w:pPr>
      <w:r>
        <w:t>4.2 OBJECT STYLES</w:t>
      </w:r>
    </w:p>
    <w:p>
      <w:pPr>
        <w:pStyle w:val="Heading3"/>
      </w:pPr>
      <w:r>
        <w:t>MODEL CATEGORIES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04"/>
        <w:gridCol w:w="2629"/>
        <w:gridCol w:w="1828"/>
        <w:gridCol w:w="1404"/>
        <w:gridCol w:w="1601"/>
      </w:tblGrid>
      <w:tr>
        <w:trPr>
          <w:cantSplit/>
          <w:tblHeader/>
        </w:trPr>
        <w:tc>
          <w:tcPr>
            <w:tcW w:type="dxa" w:w="3004"/>
            <w:shd w:val="clear" w:color="auto" w:fill="111113"/>
          </w:tcPr>
          <w:p>
            <w:r>
              <w:rPr>
                <w:b/>
                <w:color w:val="FFFFFF"/>
                <w:sz w:val="17"/>
              </w:rPr>
            </w:r>
            <w:r>
              <w:rPr>
                <w:b/>
                <w:color w:val="FFFFFF"/>
                <w:sz w:val="17"/>
              </w:rPr>
              <w:t>CATEGORY</w:t>
            </w:r>
          </w:p>
        </w:tc>
        <w:tc>
          <w:tcPr>
            <w:tcW w:type="dxa" w:w="2629"/>
            <w:shd w:val="clear" w:color="auto" w:fill="111113"/>
          </w:tcPr>
          <w:p>
            <w:r>
              <w:rPr>
                <w:b/>
                <w:color w:val="FFFFFF"/>
                <w:sz w:val="17"/>
              </w:rPr>
            </w:r>
            <w:r>
              <w:rPr>
                <w:b/>
                <w:color w:val="FFFFFF"/>
                <w:sz w:val="17"/>
              </w:rPr>
              <w:t>PROJECTION LINE WEIGHT</w:t>
            </w:r>
          </w:p>
        </w:tc>
        <w:tc>
          <w:tcPr>
            <w:tcW w:type="dxa" w:w="1828"/>
            <w:shd w:val="clear" w:color="auto" w:fill="111113"/>
          </w:tcPr>
          <w:p>
            <w:r>
              <w:rPr>
                <w:b/>
                <w:color w:val="FFFFFF"/>
                <w:sz w:val="17"/>
              </w:rPr>
            </w:r>
            <w:r>
              <w:rPr>
                <w:b/>
                <w:color w:val="FFFFFF"/>
                <w:sz w:val="17"/>
              </w:rPr>
              <w:t>CUT LINE WEIGHT</w:t>
            </w:r>
          </w:p>
        </w:tc>
        <w:tc>
          <w:tcPr>
            <w:tcW w:type="dxa" w:w="1404"/>
            <w:shd w:val="clear" w:color="auto" w:fill="111113"/>
          </w:tcPr>
          <w:p>
            <w:r>
              <w:rPr>
                <w:b/>
                <w:color w:val="FFFFFF"/>
                <w:sz w:val="17"/>
              </w:rPr>
            </w:r>
            <w:r>
              <w:rPr>
                <w:b/>
                <w:color w:val="FFFFFF"/>
                <w:sz w:val="17"/>
              </w:rPr>
              <w:t>LINE COLOR</w:t>
            </w:r>
          </w:p>
        </w:tc>
        <w:tc>
          <w:tcPr>
            <w:tcW w:type="dxa" w:w="1601"/>
            <w:shd w:val="clear" w:color="auto" w:fill="111113"/>
          </w:tcPr>
          <w:p>
            <w:r>
              <w:rPr>
                <w:b/>
                <w:color w:val="FFFFFF"/>
                <w:sz w:val="17"/>
              </w:rPr>
            </w:r>
            <w:r>
              <w:rPr>
                <w:b/>
                <w:color w:val="FFFFFF"/>
                <w:sz w:val="17"/>
              </w:rPr>
              <w:t>LINE PATTERN</w:t>
            </w:r>
          </w:p>
        </w:tc>
      </w:tr>
      <w:tr>
        <w:trPr>
          <w:cantSplit/>
        </w:trPr>
        <w:tc>
          <w:tcPr>
            <w:tcW w:type="dxa" w:w="3004"/>
          </w:tcPr>
          <w:p>
            <w:r>
              <w:rPr>
                <w:sz w:val="17"/>
              </w:rPr>
            </w:r>
            <w:r>
              <w:rPr>
                <w:sz w:val="17"/>
              </w:rPr>
              <w:t>WALLS</w:t>
            </w:r>
          </w:p>
        </w:tc>
        <w:tc>
          <w:tcPr>
            <w:tcW w:type="dxa" w:w="2629"/>
          </w:tcPr>
          <w:p>
            <w:r>
              <w:rPr>
                <w:sz w:val="17"/>
              </w:rPr>
            </w:r>
            <w:r>
              <w:rPr>
                <w:sz w:val="17"/>
              </w:rPr>
              <w:t>2</w:t>
            </w:r>
          </w:p>
        </w:tc>
        <w:tc>
          <w:tcPr>
            <w:tcW w:type="dxa" w:w="1828"/>
          </w:tcPr>
          <w:p>
            <w:r>
              <w:rPr>
                <w:sz w:val="17"/>
              </w:rPr>
            </w:r>
            <w:r>
              <w:rPr>
                <w:sz w:val="17"/>
              </w:rPr>
              <w:t>8</w:t>
            </w:r>
          </w:p>
        </w:tc>
        <w:tc>
          <w:tcPr>
            <w:tcW w:type="dxa" w:w="1404"/>
          </w:tcPr>
          <w:p>
            <w:r>
              <w:rPr>
                <w:sz w:val="17"/>
              </w:rPr>
            </w:r>
            <w:r>
              <w:rPr>
                <w:sz w:val="17"/>
              </w:rPr>
              <w:t>BLACK</w:t>
            </w:r>
          </w:p>
        </w:tc>
        <w:tc>
          <w:tcPr>
            <w:tcW w:type="dxa" w:w="1601"/>
          </w:tcPr>
          <w:p>
            <w:r>
              <w:rPr>
                <w:sz w:val="17"/>
              </w:rPr>
            </w:r>
            <w:r>
              <w:rPr>
                <w:sz w:val="17"/>
              </w:rPr>
              <w:t>SOLID</w:t>
            </w:r>
          </w:p>
        </w:tc>
      </w:tr>
      <w:tr>
        <w:trPr>
          <w:cantSplit/>
        </w:trPr>
        <w:tc>
          <w:tcPr>
            <w:tcW w:type="dxa" w:w="3004"/>
          </w:tcPr>
          <w:p>
            <w:r>
              <w:rPr>
                <w:sz w:val="17"/>
              </w:rPr>
            </w:r>
            <w:r>
              <w:rPr>
                <w:sz w:val="17"/>
              </w:rPr>
              <w:t>FLOORS</w:t>
            </w:r>
          </w:p>
        </w:tc>
        <w:tc>
          <w:tcPr>
            <w:tcW w:type="dxa" w:w="2629"/>
          </w:tcPr>
          <w:p>
            <w:r>
              <w:rPr>
                <w:sz w:val="17"/>
              </w:rPr>
            </w:r>
            <w:r>
              <w:rPr>
                <w:sz w:val="17"/>
              </w:rPr>
              <w:t>2</w:t>
            </w:r>
          </w:p>
        </w:tc>
        <w:tc>
          <w:tcPr>
            <w:tcW w:type="dxa" w:w="1828"/>
          </w:tcPr>
          <w:p>
            <w:r>
              <w:rPr>
                <w:sz w:val="17"/>
              </w:rPr>
            </w:r>
            <w:r>
              <w:rPr>
                <w:sz w:val="17"/>
              </w:rPr>
              <w:t>10</w:t>
            </w:r>
          </w:p>
        </w:tc>
        <w:tc>
          <w:tcPr>
            <w:tcW w:type="dxa" w:w="1404"/>
          </w:tcPr>
          <w:p>
            <w:r>
              <w:rPr>
                <w:sz w:val="17"/>
              </w:rPr>
            </w:r>
            <w:r>
              <w:rPr>
                <w:sz w:val="17"/>
              </w:rPr>
              <w:t>BLACK</w:t>
            </w:r>
          </w:p>
        </w:tc>
        <w:tc>
          <w:tcPr>
            <w:tcW w:type="dxa" w:w="1601"/>
          </w:tcPr>
          <w:p>
            <w:r>
              <w:rPr>
                <w:sz w:val="17"/>
              </w:rPr>
            </w:r>
            <w:r>
              <w:rPr>
                <w:sz w:val="17"/>
              </w:rPr>
              <w:t>SOLID</w:t>
            </w:r>
          </w:p>
        </w:tc>
      </w:tr>
      <w:tr>
        <w:trPr>
          <w:cantSplit/>
        </w:trPr>
        <w:tc>
          <w:tcPr>
            <w:tcW w:type="dxa" w:w="3004"/>
          </w:tcPr>
          <w:p>
            <w:r>
              <w:rPr>
                <w:sz w:val="17"/>
              </w:rPr>
            </w:r>
            <w:r>
              <w:rPr>
                <w:sz w:val="17"/>
              </w:rPr>
              <w:t>ALL MEP CATEGORIES</w:t>
            </w:r>
          </w:p>
        </w:tc>
        <w:tc>
          <w:tcPr>
            <w:tcW w:type="dxa" w:w="2629"/>
          </w:tcPr>
          <w:p>
            <w:r>
              <w:rPr>
                <w:sz w:val="17"/>
              </w:rPr>
            </w:r>
            <w:r>
              <w:rPr>
                <w:sz w:val="17"/>
              </w:rPr>
              <w:t>1</w:t>
            </w:r>
          </w:p>
        </w:tc>
        <w:tc>
          <w:tcPr>
            <w:tcW w:type="dxa" w:w="1828"/>
          </w:tcPr>
          <w:p>
            <w:r>
              <w:rPr>
                <w:sz w:val="17"/>
              </w:rPr>
            </w:r>
            <w:r>
              <w:rPr>
                <w:sz w:val="17"/>
              </w:rPr>
              <w:t>1</w:t>
            </w:r>
          </w:p>
        </w:tc>
        <w:tc>
          <w:tcPr>
            <w:tcW w:type="dxa" w:w="1404"/>
          </w:tcPr>
          <w:p>
            <w:r>
              <w:rPr>
                <w:sz w:val="17"/>
              </w:rPr>
            </w:r>
            <w:r>
              <w:rPr>
                <w:sz w:val="17"/>
              </w:rPr>
              <w:t>GREY</w:t>
            </w:r>
          </w:p>
        </w:tc>
        <w:tc>
          <w:tcPr>
            <w:tcW w:type="dxa" w:w="1601"/>
          </w:tcPr>
          <w:p>
            <w:r>
              <w:rPr>
                <w:sz w:val="17"/>
              </w:rPr>
            </w:r>
            <w:r>
              <w:rPr>
                <w:sz w:val="17"/>
              </w:rPr>
              <w:t>SOLID</w:t>
            </w:r>
          </w:p>
        </w:tc>
      </w:tr>
      <w:tr>
        <w:trPr>
          <w:cantSplit/>
        </w:trPr>
        <w:tc>
          <w:tcPr>
            <w:tcW w:type="dxa" w:w="3004"/>
          </w:tcPr>
          <w:p>
            <w:r>
              <w:rPr>
                <w:sz w:val="17"/>
              </w:rPr>
            </w:r>
            <w:r>
              <w:rPr>
                <w:sz w:val="17"/>
              </w:rPr>
              <w:t>ALL STRUCTURE CATEGORIES</w:t>
            </w:r>
          </w:p>
        </w:tc>
        <w:tc>
          <w:tcPr>
            <w:tcW w:type="dxa" w:w="2629"/>
          </w:tcPr>
          <w:p>
            <w:r>
              <w:rPr>
                <w:sz w:val="17"/>
              </w:rPr>
            </w:r>
            <w:r>
              <w:rPr>
                <w:sz w:val="17"/>
              </w:rPr>
              <w:t>2</w:t>
            </w:r>
          </w:p>
        </w:tc>
        <w:tc>
          <w:tcPr>
            <w:tcW w:type="dxa" w:w="1828"/>
          </w:tcPr>
          <w:p>
            <w:r>
              <w:rPr>
                <w:sz w:val="17"/>
              </w:rPr>
            </w:r>
            <w:r>
              <w:rPr>
                <w:sz w:val="17"/>
              </w:rPr>
              <w:t>10</w:t>
            </w:r>
          </w:p>
        </w:tc>
        <w:tc>
          <w:tcPr>
            <w:tcW w:type="dxa" w:w="1404"/>
          </w:tcPr>
          <w:p>
            <w:r>
              <w:rPr>
                <w:sz w:val="17"/>
              </w:rPr>
            </w:r>
            <w:r>
              <w:rPr>
                <w:sz w:val="17"/>
              </w:rPr>
              <w:t>BLACK</w:t>
            </w:r>
          </w:p>
        </w:tc>
        <w:tc>
          <w:tcPr>
            <w:tcW w:type="dxa" w:w="1601"/>
          </w:tcPr>
          <w:p>
            <w:r>
              <w:rPr>
                <w:sz w:val="17"/>
              </w:rPr>
            </w:r>
            <w:r>
              <w:rPr>
                <w:sz w:val="17"/>
              </w:rPr>
              <w:t>SOLID</w:t>
            </w:r>
          </w:p>
        </w:tc>
      </w:tr>
      <w:tr>
        <w:trPr>
          <w:cantSplit/>
        </w:trPr>
        <w:tc>
          <w:tcPr>
            <w:tcW w:type="dxa" w:w="3004"/>
          </w:tcPr>
          <w:p>
            <w:r>
              <w:rPr>
                <w:sz w:val="17"/>
              </w:rPr>
            </w:r>
            <w:r>
              <w:rPr>
                <w:sz w:val="17"/>
              </w:rPr>
              <w:t>OTHER CATEGORIES</w:t>
            </w:r>
          </w:p>
        </w:tc>
        <w:tc>
          <w:tcPr>
            <w:tcW w:type="dxa" w:w="2629"/>
          </w:tcPr>
          <w:p>
            <w:r>
              <w:rPr>
                <w:sz w:val="17"/>
              </w:rPr>
            </w:r>
            <w:r>
              <w:rPr>
                <w:sz w:val="17"/>
              </w:rPr>
              <w:t>1</w:t>
            </w:r>
          </w:p>
        </w:tc>
        <w:tc>
          <w:tcPr>
            <w:tcW w:type="dxa" w:w="1828"/>
          </w:tcPr>
          <w:p>
            <w:r>
              <w:rPr>
                <w:sz w:val="17"/>
              </w:rPr>
            </w:r>
            <w:r>
              <w:rPr>
                <w:sz w:val="17"/>
              </w:rPr>
              <w:t>1</w:t>
            </w:r>
          </w:p>
        </w:tc>
        <w:tc>
          <w:tcPr>
            <w:tcW w:type="dxa" w:w="1404"/>
          </w:tcPr>
          <w:p>
            <w:r>
              <w:rPr>
                <w:sz w:val="17"/>
              </w:rPr>
            </w:r>
            <w:r>
              <w:rPr>
                <w:sz w:val="17"/>
              </w:rPr>
              <w:t>BLACK</w:t>
            </w:r>
          </w:p>
        </w:tc>
        <w:tc>
          <w:tcPr>
            <w:tcW w:type="dxa" w:w="1601"/>
          </w:tcPr>
          <w:p>
            <w:r>
              <w:rPr>
                <w:sz w:val="17"/>
              </w:rPr>
            </w:r>
            <w:r>
              <w:rPr>
                <w:sz w:val="17"/>
              </w:rPr>
              <w:t>SOLID</w:t>
            </w:r>
          </w:p>
        </w:tc>
      </w:tr>
    </w:tbl>
    <w:p/>
    <w:p>
      <w:pPr>
        <w:pStyle w:val="Heading3"/>
      </w:pPr>
      <w:r>
        <w:t>ANNOTATIONS CATEGORIES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785"/>
        <w:gridCol w:w="3208"/>
        <w:gridCol w:w="2305"/>
        <w:gridCol w:w="2168"/>
      </w:tblGrid>
      <w:tr>
        <w:trPr>
          <w:cantSplit/>
          <w:tblHeader/>
        </w:trPr>
        <w:tc>
          <w:tcPr>
            <w:tcW w:type="dxa" w:w="2785"/>
            <w:shd w:val="clear" w:color="auto" w:fill="111113"/>
          </w:tcPr>
          <w:p>
            <w:r>
              <w:rPr>
                <w:b/>
                <w:color w:val="FFFFFF"/>
                <w:sz w:val="17"/>
              </w:rPr>
            </w:r>
            <w:r>
              <w:rPr>
                <w:b/>
                <w:color w:val="FFFFFF"/>
                <w:sz w:val="17"/>
              </w:rPr>
              <w:t>CATEGORY</w:t>
            </w:r>
          </w:p>
        </w:tc>
        <w:tc>
          <w:tcPr>
            <w:tcW w:type="dxa" w:w="3208"/>
            <w:shd w:val="clear" w:color="auto" w:fill="111113"/>
          </w:tcPr>
          <w:p>
            <w:r>
              <w:rPr>
                <w:b/>
                <w:color w:val="FFFFFF"/>
                <w:sz w:val="17"/>
              </w:rPr>
            </w:r>
            <w:r>
              <w:rPr>
                <w:b/>
                <w:color w:val="FFFFFF"/>
                <w:sz w:val="17"/>
              </w:rPr>
              <w:t>PROJECTION LINE WEIGHT</w:t>
            </w:r>
          </w:p>
        </w:tc>
        <w:tc>
          <w:tcPr>
            <w:tcW w:type="dxa" w:w="2305"/>
            <w:shd w:val="clear" w:color="auto" w:fill="111113"/>
          </w:tcPr>
          <w:p>
            <w:r>
              <w:rPr>
                <w:b/>
                <w:color w:val="FFFFFF"/>
                <w:sz w:val="17"/>
              </w:rPr>
            </w:r>
            <w:r>
              <w:rPr>
                <w:b/>
                <w:color w:val="FFFFFF"/>
                <w:sz w:val="17"/>
              </w:rPr>
              <w:t>LINE COLOR</w:t>
            </w:r>
          </w:p>
        </w:tc>
        <w:tc>
          <w:tcPr>
            <w:tcW w:type="dxa" w:w="2168"/>
            <w:shd w:val="clear" w:color="auto" w:fill="111113"/>
          </w:tcPr>
          <w:p>
            <w:r>
              <w:rPr>
                <w:b/>
                <w:color w:val="FFFFFF"/>
                <w:sz w:val="17"/>
              </w:rPr>
            </w:r>
            <w:r>
              <w:rPr>
                <w:b/>
                <w:color w:val="FFFFFF"/>
                <w:sz w:val="17"/>
              </w:rPr>
              <w:t>LINE PATTERN</w:t>
            </w:r>
          </w:p>
        </w:tc>
      </w:tr>
      <w:tr>
        <w:trPr>
          <w:cantSplit/>
        </w:trPr>
        <w:tc>
          <w:tcPr>
            <w:tcW w:type="dxa" w:w="2785"/>
          </w:tcPr>
          <w:p>
            <w:r>
              <w:rPr>
                <w:sz w:val="17"/>
              </w:rPr>
            </w:r>
            <w:r>
              <w:rPr>
                <w:sz w:val="17"/>
              </w:rPr>
              <w:t>REFERENCES</w:t>
            </w:r>
          </w:p>
        </w:tc>
        <w:tc>
          <w:tcPr>
            <w:tcW w:type="dxa" w:w="3208"/>
          </w:tcPr>
          <w:p>
            <w:r>
              <w:rPr>
                <w:sz w:val="17"/>
              </w:rPr>
            </w:r>
            <w:r>
              <w:rPr>
                <w:sz w:val="17"/>
              </w:rPr>
              <w:t>1</w:t>
            </w:r>
          </w:p>
        </w:tc>
        <w:tc>
          <w:tcPr>
            <w:tcW w:type="dxa" w:w="2305"/>
          </w:tcPr>
          <w:p>
            <w:r>
              <w:rPr>
                <w:sz w:val="17"/>
              </w:rPr>
            </w:r>
            <w:r>
              <w:rPr>
                <w:sz w:val="17"/>
              </w:rPr>
              <w:t>RED</w:t>
            </w:r>
          </w:p>
        </w:tc>
        <w:tc>
          <w:tcPr>
            <w:tcW w:type="dxa" w:w="2168"/>
          </w:tcPr>
          <w:p>
            <w:r>
              <w:rPr>
                <w:sz w:val="17"/>
              </w:rPr>
            </w:r>
            <w:r>
              <w:rPr>
                <w:sz w:val="17"/>
              </w:rPr>
              <w:t>ALIGNING</w:t>
            </w:r>
          </w:p>
        </w:tc>
      </w:tr>
      <w:tr>
        <w:trPr>
          <w:cantSplit/>
        </w:trPr>
        <w:tc>
          <w:tcPr>
            <w:tcW w:type="dxa" w:w="2785"/>
          </w:tcPr>
          <w:p>
            <w:r>
              <w:rPr>
                <w:sz w:val="17"/>
              </w:rPr>
            </w:r>
            <w:r>
              <w:rPr>
                <w:sz w:val="17"/>
              </w:rPr>
              <w:t>OTHER CATEGORIES</w:t>
            </w:r>
          </w:p>
        </w:tc>
        <w:tc>
          <w:tcPr>
            <w:tcW w:type="dxa" w:w="3208"/>
          </w:tcPr>
          <w:p>
            <w:r>
              <w:rPr>
                <w:sz w:val="17"/>
              </w:rPr>
            </w:r>
            <w:r>
              <w:rPr>
                <w:sz w:val="17"/>
              </w:rPr>
              <w:t>1</w:t>
            </w:r>
          </w:p>
        </w:tc>
        <w:tc>
          <w:tcPr>
            <w:tcW w:type="dxa" w:w="2305"/>
          </w:tcPr>
          <w:p>
            <w:r>
              <w:rPr>
                <w:sz w:val="17"/>
              </w:rPr>
            </w:r>
            <w:r>
              <w:rPr>
                <w:sz w:val="17"/>
              </w:rPr>
              <w:t>BLACK</w:t>
            </w:r>
          </w:p>
        </w:tc>
        <w:tc>
          <w:tcPr>
            <w:tcW w:type="dxa" w:w="2168"/>
          </w:tcPr>
          <w:p>
            <w:r>
              <w:rPr>
                <w:sz w:val="17"/>
              </w:rPr>
            </w:r>
            <w:r>
              <w:rPr>
                <w:sz w:val="17"/>
              </w:rPr>
              <w:t>SOLID</w:t>
            </w:r>
          </w:p>
        </w:tc>
      </w:tr>
      <w:tr>
        <w:trPr>
          <w:cantSplit/>
        </w:trPr>
        <w:tc>
          <w:tcPr>
            <w:tcW w:type="dxa" w:w="2785"/>
          </w:tcPr>
          <w:p>
            <w:r>
              <w:rPr>
                <w:sz w:val="17"/>
              </w:rPr>
            </w:r>
            <w:r>
              <w:rPr>
                <w:sz w:val="17"/>
              </w:rPr>
              <w:t>CALLOUTS</w:t>
            </w:r>
          </w:p>
        </w:tc>
        <w:tc>
          <w:tcPr>
            <w:tcW w:type="dxa" w:w="3208"/>
          </w:tcPr>
          <w:p>
            <w:r>
              <w:rPr>
                <w:sz w:val="17"/>
              </w:rPr>
            </w:r>
            <w:r>
              <w:rPr>
                <w:sz w:val="17"/>
              </w:rPr>
              <w:t>1</w:t>
            </w:r>
          </w:p>
        </w:tc>
        <w:tc>
          <w:tcPr>
            <w:tcW w:type="dxa" w:w="2305"/>
          </w:tcPr>
          <w:p>
            <w:r>
              <w:rPr>
                <w:sz w:val="17"/>
              </w:rPr>
            </w:r>
            <w:r>
              <w:rPr>
                <w:sz w:val="17"/>
              </w:rPr>
              <w:t>BLACK</w:t>
            </w:r>
          </w:p>
        </w:tc>
        <w:tc>
          <w:tcPr>
            <w:tcW w:type="dxa" w:w="2168"/>
          </w:tcPr>
          <w:p>
            <w:r>
              <w:rPr>
                <w:sz w:val="17"/>
              </w:rPr>
            </w:r>
            <w:r>
              <w:rPr>
                <w:sz w:val="17"/>
              </w:rPr>
              <w:t>DASH-DOT-DOT</w:t>
            </w:r>
          </w:p>
        </w:tc>
      </w:tr>
      <w:tr>
        <w:trPr>
          <w:cantSplit/>
        </w:trPr>
        <w:tc>
          <w:tcPr>
            <w:tcW w:type="dxa" w:w="2785"/>
          </w:tcPr>
          <w:p>
            <w:r>
              <w:rPr>
                <w:sz w:val="17"/>
              </w:rPr>
            </w:r>
            <w:r>
              <w:rPr>
                <w:sz w:val="17"/>
              </w:rPr>
              <w:t>MATCHLINE</w:t>
            </w:r>
          </w:p>
        </w:tc>
        <w:tc>
          <w:tcPr>
            <w:tcW w:type="dxa" w:w="3208"/>
          </w:tcPr>
          <w:p>
            <w:r>
              <w:rPr>
                <w:sz w:val="17"/>
              </w:rPr>
            </w:r>
            <w:r>
              <w:rPr>
                <w:sz w:val="17"/>
              </w:rPr>
              <w:t>6</w:t>
            </w:r>
          </w:p>
        </w:tc>
        <w:tc>
          <w:tcPr>
            <w:tcW w:type="dxa" w:w="2305"/>
          </w:tcPr>
          <w:p>
            <w:r>
              <w:rPr>
                <w:sz w:val="17"/>
              </w:rPr>
            </w:r>
            <w:r>
              <w:rPr>
                <w:sz w:val="17"/>
              </w:rPr>
              <w:t>RGB 128-064-064</w:t>
            </w:r>
          </w:p>
        </w:tc>
        <w:tc>
          <w:tcPr>
            <w:tcW w:type="dxa" w:w="2168"/>
          </w:tcPr>
          <w:p>
            <w:r>
              <w:rPr>
                <w:sz w:val="17"/>
              </w:rPr>
            </w:r>
            <w:r>
              <w:rPr>
                <w:sz w:val="17"/>
              </w:rPr>
              <w:t>DASH-DOT-DOT</w:t>
            </w:r>
          </w:p>
        </w:tc>
      </w:tr>
      <w:tr>
        <w:trPr>
          <w:cantSplit/>
        </w:trPr>
        <w:tc>
          <w:tcPr>
            <w:tcW w:type="dxa" w:w="2785"/>
          </w:tcPr>
          <w:p>
            <w:r>
              <w:rPr>
                <w:sz w:val="17"/>
              </w:rPr>
            </w:r>
            <w:r>
              <w:rPr>
                <w:sz w:val="17"/>
              </w:rPr>
              <w:t>DISPLACEMENT PATH</w:t>
            </w:r>
          </w:p>
        </w:tc>
        <w:tc>
          <w:tcPr>
            <w:tcW w:type="dxa" w:w="3208"/>
          </w:tcPr>
          <w:p>
            <w:r>
              <w:rPr>
                <w:sz w:val="17"/>
              </w:rPr>
            </w:r>
            <w:r>
              <w:rPr>
                <w:sz w:val="17"/>
              </w:rPr>
              <w:t>1</w:t>
            </w:r>
          </w:p>
        </w:tc>
        <w:tc>
          <w:tcPr>
            <w:tcW w:type="dxa" w:w="2305"/>
          </w:tcPr>
          <w:p>
            <w:r>
              <w:rPr>
                <w:sz w:val="17"/>
              </w:rPr>
            </w:r>
            <w:r>
              <w:rPr>
                <w:sz w:val="17"/>
              </w:rPr>
              <w:t>BLACK</w:t>
            </w:r>
          </w:p>
        </w:tc>
        <w:tc>
          <w:tcPr>
            <w:tcW w:type="dxa" w:w="2168"/>
          </w:tcPr>
          <w:p>
            <w:r>
              <w:rPr>
                <w:sz w:val="17"/>
              </w:rPr>
            </w:r>
            <w:r>
              <w:rPr>
                <w:sz w:val="17"/>
              </w:rPr>
              <w:t>DASH</w:t>
            </w:r>
          </w:p>
        </w:tc>
      </w:tr>
      <w:tr>
        <w:trPr>
          <w:cantSplit/>
        </w:trPr>
        <w:tc>
          <w:tcPr>
            <w:tcW w:type="dxa" w:w="2785"/>
          </w:tcPr>
          <w:p>
            <w:r>
              <w:rPr>
                <w:sz w:val="17"/>
              </w:rPr>
            </w:r>
            <w:r>
              <w:rPr>
                <w:sz w:val="17"/>
              </w:rPr>
              <w:t>SCOPE BOXES</w:t>
            </w:r>
          </w:p>
        </w:tc>
        <w:tc>
          <w:tcPr>
            <w:tcW w:type="dxa" w:w="3208"/>
          </w:tcPr>
          <w:p>
            <w:r>
              <w:rPr>
                <w:sz w:val="17"/>
              </w:rPr>
            </w:r>
            <w:r>
              <w:rPr>
                <w:sz w:val="17"/>
              </w:rPr>
              <w:t>1</w:t>
            </w:r>
          </w:p>
        </w:tc>
        <w:tc>
          <w:tcPr>
            <w:tcW w:type="dxa" w:w="2305"/>
          </w:tcPr>
          <w:p>
            <w:r>
              <w:rPr>
                <w:sz w:val="17"/>
              </w:rPr>
            </w:r>
            <w:r>
              <w:rPr>
                <w:sz w:val="17"/>
              </w:rPr>
              <w:t>RGB 128-000-000</w:t>
            </w:r>
          </w:p>
        </w:tc>
        <w:tc>
          <w:tcPr>
            <w:tcW w:type="dxa" w:w="2168"/>
          </w:tcPr>
          <w:p>
            <w:r>
              <w:rPr>
                <w:sz w:val="17"/>
              </w:rPr>
            </w:r>
            <w:r>
              <w:rPr>
                <w:sz w:val="17"/>
              </w:rPr>
              <w:t>ALIGNING</w:t>
            </w:r>
          </w:p>
        </w:tc>
      </w:tr>
      <w:tr>
        <w:trPr>
          <w:cantSplit/>
        </w:trPr>
        <w:tc>
          <w:tcPr>
            <w:tcW w:type="dxa" w:w="2785"/>
          </w:tcPr>
          <w:p>
            <w:r>
              <w:rPr>
                <w:sz w:val="17"/>
              </w:rPr>
            </w:r>
            <w:r>
              <w:rPr>
                <w:sz w:val="17"/>
              </w:rPr>
              <w:t>GUIDE GRIDS</w:t>
            </w:r>
          </w:p>
        </w:tc>
        <w:tc>
          <w:tcPr>
            <w:tcW w:type="dxa" w:w="3208"/>
          </w:tcPr>
          <w:p>
            <w:r>
              <w:rPr>
                <w:sz w:val="17"/>
              </w:rPr>
            </w:r>
            <w:r>
              <w:rPr>
                <w:sz w:val="17"/>
              </w:rPr>
              <w:t>1</w:t>
            </w:r>
          </w:p>
        </w:tc>
        <w:tc>
          <w:tcPr>
            <w:tcW w:type="dxa" w:w="2305"/>
          </w:tcPr>
          <w:p>
            <w:r>
              <w:rPr>
                <w:sz w:val="17"/>
              </w:rPr>
            </w:r>
            <w:r>
              <w:rPr>
                <w:sz w:val="17"/>
              </w:rPr>
              <w:t>RGB 000-145-201</w:t>
            </w:r>
          </w:p>
        </w:tc>
        <w:tc>
          <w:tcPr>
            <w:tcW w:type="dxa" w:w="2168"/>
          </w:tcPr>
          <w:p>
            <w:r>
              <w:rPr>
                <w:sz w:val="17"/>
              </w:rPr>
            </w:r>
            <w:r>
              <w:rPr>
                <w:sz w:val="17"/>
              </w:rPr>
              <w:t>SOLID</w:t>
            </w:r>
          </w:p>
        </w:tc>
      </w:tr>
    </w:tbl>
    <w:p/>
    <w:p>
      <w:pPr>
        <w:pStyle w:val="Heading3"/>
      </w:pPr>
      <w:r>
        <w:t>Acceptance — 4.2 Object Styles</w:t>
      </w:r>
    </w:p>
    <w:p>
      <w:pPr/>
      <w:r>
        <w:t>No category uses ByElement color overrides at issue.</w:t>
      </w:r>
    </w:p>
    <w:p>
      <w:pPr/>
      <w:r>
        <w:t>Cut representation uses approved cut fills and line weights per table.</w:t>
      </w:r>
    </w:p>
    <w:p>
      <w:pPr/>
      <w:r>
        <w:t>Projection weights remain readable at target plot scales.</w:t>
      </w:r>
    </w:p>
    <w:p>
      <w:pPr/>
      <w:r>
        <w:t>Colors are either UPPERCASE named colors or explicit RGB values.</w:t>
      </w:r>
    </w:p>
    <w:p>
      <w:pPr/>
      <w:r>
        <w:t>MEP vs STR rows use consistent casing and tokens across the table.</w:t>
      </w:r>
    </w:p>
    <w:p>
      <w:pPr>
        <w:pStyle w:val="Heading2"/>
      </w:pPr>
      <w:r>
        <w:t>4.3 TEXT</w:t>
      </w:r>
    </w:p>
    <w:p>
      <w:pPr>
        <w:pStyle w:val="Heading3"/>
      </w:pPr>
      <w:r>
        <w:t>Acceptance — 4.3 Text</w:t>
      </w:r>
    </w:p>
    <w:p>
      <w:pPr/>
      <w:r>
        <w:t>Font family is fixed to the approved project font. No mixed fonts on sheets.</w:t>
      </w:r>
    </w:p>
    <w:p>
      <w:pPr/>
      <w:r>
        <w:t>Minimum plotted text height 2.5 mm on all sheets (paper size, annotative/plotted, not scaled by view) (O-DEC-118). Titles 3.5 / 5 / 7 mm per the office lettering table. Same rule in BBM-STD-66 and BBM-STD-67.</w:t>
      </w:r>
    </w:p>
    <w:p>
      <w:pPr/>
      <w:r>
        <w:t>Leaders use the standard arrowhead. No freehand styles at issue.</w:t>
      </w:r>
    </w:p>
    <w:p>
      <w:pPr/>
      <w:r>
        <w:t>Case rules: sheet title presentation follows the approved title block; stored titles use Title Case as in 12.3 unless the project annex requires another convention. View DESC uses Title Case; general notes use Sentence case.</w:t>
      </w:r>
    </w:p>
    <w:p>
      <w:pPr/>
      <w:r>
        <w:t>No text overrides within dimensions or tags; use parameters or view templates.</w:t>
      </w:r>
    </w:p>
    <w:p>
      <w:pPr>
        <w:pStyle w:val="Heading2"/>
      </w:pPr>
      <w:r>
        <w:t>4.4 DIMENSIONS</w:t>
      </w:r>
    </w:p>
    <w:p>
      <w:pPr>
        <w:pStyle w:val="Heading3"/>
      </w:pPr>
      <w:r>
        <w:t>Acceptance — 4.4 Dimensions</w:t>
      </w:r>
    </w:p>
    <w:p>
      <w:pPr/>
      <w:r>
        <w:t>Units display and precision follow the project standard. No mixed unit formats on the same sheet.</w:t>
      </w:r>
    </w:p>
    <w:p>
      <w:pPr/>
      <w:r>
        <w:t>Rounding: architectural dimensions round to whole millimeters. No suppressed zeros for millimeters.</w:t>
      </w:r>
    </w:p>
    <w:p>
      <w:pPr/>
      <w:r>
        <w:t>Witness gap and extension lines use the approved spacing. No manual graphic edits.</w:t>
      </w:r>
    </w:p>
    <w:p>
      <w:pPr/>
      <w:r>
        <w:t>Prefixes and suffixes are standardized; no free-text overrides in placed dimensions.</w:t>
      </w:r>
    </w:p>
    <w:p>
      <w:pPr/>
      <w:r>
        <w:t>Spot elevations and levels use the standard type and arrowhead.</w:t>
      </w:r>
    </w:p>
    <w:p>
      <w:pPr>
        <w:pStyle w:val="Heading2"/>
      </w:pPr>
      <w:r>
        <w:t>4.5 FILL PATTERNS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848"/>
        <w:gridCol w:w="1870"/>
        <w:gridCol w:w="1791"/>
        <w:gridCol w:w="2957"/>
      </w:tblGrid>
      <w:tr>
        <w:trPr>
          <w:cantSplit/>
          <w:tblHeader/>
        </w:trPr>
        <w:tc>
          <w:tcPr>
            <w:tcW w:type="dxa" w:w="3848"/>
            <w:shd w:val="clear" w:color="auto" w:fill="111113"/>
          </w:tcPr>
          <w:p>
            <w:r>
              <w:rPr>
                <w:b/>
                <w:color w:val="FFFFFF"/>
                <w:sz w:val="17"/>
              </w:rPr>
            </w:r>
            <w:r>
              <w:rPr>
                <w:b/>
                <w:color w:val="FFFFFF"/>
                <w:sz w:val="17"/>
              </w:rPr>
              <w:t>NAME</w:t>
            </w:r>
          </w:p>
        </w:tc>
        <w:tc>
          <w:tcPr>
            <w:tcW w:type="dxa" w:w="1870"/>
            <w:shd w:val="clear" w:color="auto" w:fill="111113"/>
          </w:tcPr>
          <w:p>
            <w:r>
              <w:rPr>
                <w:b/>
                <w:color w:val="FFFFFF"/>
                <w:sz w:val="17"/>
              </w:rPr>
            </w:r>
            <w:r>
              <w:rPr>
                <w:b/>
                <w:color w:val="FFFFFF"/>
                <w:sz w:val="17"/>
              </w:rPr>
              <w:t>TYPE</w:t>
            </w:r>
          </w:p>
        </w:tc>
        <w:tc>
          <w:tcPr>
            <w:tcW w:type="dxa" w:w="1791"/>
            <w:shd w:val="clear" w:color="auto" w:fill="111113"/>
          </w:tcPr>
          <w:p>
            <w:r>
              <w:rPr>
                <w:b/>
                <w:color w:val="FFFFFF"/>
                <w:sz w:val="17"/>
              </w:rPr>
            </w:r>
            <w:r>
              <w:rPr>
                <w:b/>
                <w:color w:val="FFFFFF"/>
                <w:sz w:val="17"/>
              </w:rPr>
              <w:t>SCALE</w:t>
            </w:r>
          </w:p>
        </w:tc>
        <w:tc>
          <w:tcPr>
            <w:tcW w:type="dxa" w:w="2957"/>
            <w:shd w:val="clear" w:color="auto" w:fill="111113"/>
          </w:tcPr>
          <w:p>
            <w:r>
              <w:rPr>
                <w:b/>
                <w:color w:val="FFFFFF"/>
                <w:sz w:val="17"/>
              </w:rPr>
            </w:r>
            <w:r>
              <w:rPr>
                <w:b/>
                <w:color w:val="FFFFFF"/>
                <w:sz w:val="17"/>
              </w:rPr>
              <w:t>USAGE</w:t>
            </w:r>
          </w:p>
        </w:tc>
      </w:tr>
      <w:tr>
        <w:trPr>
          <w:cantSplit/>
        </w:trPr>
        <w:tc>
          <w:tcPr>
            <w:tcW w:type="dxa" w:w="3848"/>
          </w:tcPr>
          <w:p>
            <w:r>
              <w:rPr>
                <w:sz w:val="17"/>
              </w:rPr>
            </w:r>
            <w:r>
              <w:rPr>
                <w:sz w:val="17"/>
              </w:rPr>
              <w:t>CONCRETE – CAST IN PLACE</w:t>
            </w:r>
          </w:p>
        </w:tc>
        <w:tc>
          <w:tcPr>
            <w:tcW w:type="dxa" w:w="1870"/>
          </w:tcPr>
          <w:p>
            <w:r>
              <w:rPr>
                <w:sz w:val="17"/>
              </w:rPr>
            </w:r>
            <w:r>
              <w:rPr>
                <w:sz w:val="17"/>
              </w:rPr>
              <w:t>Drafting</w:t>
            </w:r>
          </w:p>
        </w:tc>
        <w:tc>
          <w:tcPr>
            <w:tcW w:type="dxa" w:w="1791"/>
          </w:tcPr>
          <w:p>
            <w:r>
              <w:rPr>
                <w:sz w:val="17"/>
              </w:rPr>
            </w:r>
            <w:r>
              <w:rPr>
                <w:sz w:val="17"/>
              </w:rPr>
              <w:t>1.0</w:t>
            </w:r>
          </w:p>
        </w:tc>
        <w:tc>
          <w:tcPr>
            <w:tcW w:type="dxa" w:w="2957"/>
          </w:tcPr>
          <w:p>
            <w:r>
              <w:rPr>
                <w:sz w:val="17"/>
              </w:rPr>
            </w:r>
            <w:r>
              <w:rPr>
                <w:sz w:val="17"/>
              </w:rPr>
              <w:t>Sections and details</w:t>
            </w:r>
          </w:p>
        </w:tc>
      </w:tr>
      <w:tr>
        <w:trPr>
          <w:cantSplit/>
        </w:trPr>
        <w:tc>
          <w:tcPr>
            <w:tcW w:type="dxa" w:w="3848"/>
          </w:tcPr>
          <w:p>
            <w:r>
              <w:rPr>
                <w:sz w:val="17"/>
              </w:rPr>
            </w:r>
            <w:r>
              <w:rPr>
                <w:sz w:val="17"/>
              </w:rPr>
              <w:t>INSULATION – RIGID</w:t>
            </w:r>
          </w:p>
        </w:tc>
        <w:tc>
          <w:tcPr>
            <w:tcW w:type="dxa" w:w="1870"/>
          </w:tcPr>
          <w:p>
            <w:r>
              <w:rPr>
                <w:sz w:val="17"/>
              </w:rPr>
            </w:r>
            <w:r>
              <w:rPr>
                <w:sz w:val="17"/>
              </w:rPr>
              <w:t>Drafting</w:t>
            </w:r>
          </w:p>
        </w:tc>
        <w:tc>
          <w:tcPr>
            <w:tcW w:type="dxa" w:w="1791"/>
          </w:tcPr>
          <w:p>
            <w:r>
              <w:rPr>
                <w:sz w:val="17"/>
              </w:rPr>
            </w:r>
            <w:r>
              <w:rPr>
                <w:sz w:val="17"/>
              </w:rPr>
              <w:t>1.0</w:t>
            </w:r>
          </w:p>
        </w:tc>
        <w:tc>
          <w:tcPr>
            <w:tcW w:type="dxa" w:w="2957"/>
          </w:tcPr>
          <w:p>
            <w:r>
              <w:rPr>
                <w:sz w:val="17"/>
              </w:rPr>
            </w:r>
            <w:r>
              <w:rPr>
                <w:sz w:val="17"/>
              </w:rPr>
              <w:t>Sections and details</w:t>
            </w:r>
          </w:p>
        </w:tc>
      </w:tr>
      <w:tr>
        <w:trPr>
          <w:cantSplit/>
        </w:trPr>
        <w:tc>
          <w:tcPr>
            <w:tcW w:type="dxa" w:w="3848"/>
          </w:tcPr>
          <w:p>
            <w:r>
              <w:rPr>
                <w:sz w:val="17"/>
              </w:rPr>
            </w:r>
            <w:r>
              <w:rPr>
                <w:sz w:val="17"/>
              </w:rPr>
              <w:t>EARTH</w:t>
            </w:r>
          </w:p>
        </w:tc>
        <w:tc>
          <w:tcPr>
            <w:tcW w:type="dxa" w:w="1870"/>
          </w:tcPr>
          <w:p>
            <w:r>
              <w:rPr>
                <w:sz w:val="17"/>
              </w:rPr>
            </w:r>
            <w:r>
              <w:rPr>
                <w:sz w:val="17"/>
              </w:rPr>
              <w:t>Drafting</w:t>
            </w:r>
          </w:p>
        </w:tc>
        <w:tc>
          <w:tcPr>
            <w:tcW w:type="dxa" w:w="1791"/>
          </w:tcPr>
          <w:p>
            <w:r>
              <w:rPr>
                <w:sz w:val="17"/>
              </w:rPr>
            </w:r>
            <w:r>
              <w:rPr>
                <w:sz w:val="17"/>
              </w:rPr>
              <w:t>1.0</w:t>
            </w:r>
          </w:p>
        </w:tc>
        <w:tc>
          <w:tcPr>
            <w:tcW w:type="dxa" w:w="2957"/>
          </w:tcPr>
          <w:p>
            <w:r>
              <w:rPr>
                <w:sz w:val="17"/>
              </w:rPr>
            </w:r>
            <w:r>
              <w:rPr>
                <w:sz w:val="17"/>
              </w:rPr>
              <w:t>Below grade cut</w:t>
            </w:r>
          </w:p>
        </w:tc>
      </w:tr>
      <w:tr>
        <w:trPr>
          <w:cantSplit/>
        </w:trPr>
        <w:tc>
          <w:tcPr>
            <w:tcW w:type="dxa" w:w="3848"/>
          </w:tcPr>
          <w:p>
            <w:r>
              <w:rPr>
                <w:sz w:val="17"/>
              </w:rPr>
            </w:r>
            <w:r>
              <w:rPr>
                <w:sz w:val="17"/>
              </w:rPr>
              <w:t>BRICK – RUNNING BOND</w:t>
            </w:r>
          </w:p>
        </w:tc>
        <w:tc>
          <w:tcPr>
            <w:tcW w:type="dxa" w:w="1870"/>
          </w:tcPr>
          <w:p>
            <w:r>
              <w:rPr>
                <w:sz w:val="17"/>
              </w:rPr>
            </w:r>
            <w:r>
              <w:rPr>
                <w:sz w:val="17"/>
              </w:rPr>
              <w:t>Model</w:t>
            </w:r>
          </w:p>
        </w:tc>
        <w:tc>
          <w:tcPr>
            <w:tcW w:type="dxa" w:w="1791"/>
          </w:tcPr>
          <w:p>
            <w:r>
              <w:rPr>
                <w:sz w:val="17"/>
              </w:rPr>
            </w:r>
            <w:r>
              <w:rPr>
                <w:sz w:val="17"/>
              </w:rPr>
              <w:t>Default</w:t>
            </w:r>
          </w:p>
        </w:tc>
        <w:tc>
          <w:tcPr>
            <w:tcW w:type="dxa" w:w="2957"/>
          </w:tcPr>
          <w:p>
            <w:r>
              <w:rPr>
                <w:sz w:val="17"/>
              </w:rPr>
            </w:r>
            <w:r>
              <w:rPr>
                <w:sz w:val="17"/>
              </w:rPr>
              <w:t>Plans and elevations</w:t>
            </w:r>
          </w:p>
        </w:tc>
      </w:tr>
      <w:tr>
        <w:trPr>
          <w:cantSplit/>
        </w:trPr>
        <w:tc>
          <w:tcPr>
            <w:tcW w:type="dxa" w:w="3848"/>
          </w:tcPr>
          <w:p>
            <w:r>
              <w:rPr>
                <w:sz w:val="17"/>
              </w:rPr>
            </w:r>
            <w:r>
              <w:rPr>
                <w:sz w:val="17"/>
              </w:rPr>
              <w:t>TILES – 300x300</w:t>
            </w:r>
          </w:p>
        </w:tc>
        <w:tc>
          <w:tcPr>
            <w:tcW w:type="dxa" w:w="1870"/>
          </w:tcPr>
          <w:p>
            <w:r>
              <w:rPr>
                <w:sz w:val="17"/>
              </w:rPr>
            </w:r>
            <w:r>
              <w:rPr>
                <w:sz w:val="17"/>
              </w:rPr>
              <w:t>Model</w:t>
            </w:r>
          </w:p>
        </w:tc>
        <w:tc>
          <w:tcPr>
            <w:tcW w:type="dxa" w:w="1791"/>
          </w:tcPr>
          <w:p>
            <w:r>
              <w:rPr>
                <w:sz w:val="17"/>
              </w:rPr>
            </w:r>
            <w:r>
              <w:rPr>
                <w:sz w:val="17"/>
              </w:rPr>
              <w:t>300</w:t>
            </w:r>
          </w:p>
        </w:tc>
        <w:tc>
          <w:tcPr>
            <w:tcW w:type="dxa" w:w="2957"/>
          </w:tcPr>
          <w:p>
            <w:r>
              <w:rPr>
                <w:sz w:val="17"/>
              </w:rPr>
            </w:r>
            <w:r>
              <w:rPr>
                <w:sz w:val="17"/>
              </w:rPr>
              <w:t>Plans and elevations</w:t>
            </w:r>
          </w:p>
        </w:tc>
      </w:tr>
    </w:tbl>
    <w:p/>
    <w:p>
      <w:pPr>
        <w:pStyle w:val="Heading3"/>
      </w:pPr>
      <w:r>
        <w:t>Acceptance — 4.5 Fill Patterns</w:t>
      </w:r>
    </w:p>
    <w:p>
      <w:pPr/>
      <w:r>
        <w:t>Only approved pattern names are used. No ad-hoc or duplicated names.</w:t>
      </w:r>
    </w:p>
    <w:p>
      <w:pPr/>
      <w:r>
        <w:t>Drafting patterns used in details and sections only. Model patterns used in model views only.</w:t>
      </w:r>
    </w:p>
    <w:p>
      <w:pPr/>
      <w:r>
        <w:t>Pattern scales match published values. No per-view manual scaling.</w:t>
      </w:r>
    </w:p>
    <w:p>
      <w:pPr/>
      <w:r>
        <w:t>Cut fills are set in Object Styles or Materials, not overridden ByElement.</w:t>
      </w:r>
    </w:p>
    <w:p>
      <w:pPr>
        <w:pStyle w:val="Heading2"/>
      </w:pPr>
      <w:r>
        <w:t>4.6 ARROW HEADS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87"/>
        <w:gridCol w:w="2393"/>
        <w:gridCol w:w="2144"/>
        <w:gridCol w:w="3742"/>
      </w:tblGrid>
      <w:tr>
        <w:trPr>
          <w:cantSplit/>
          <w:tblHeader/>
        </w:trPr>
        <w:tc>
          <w:tcPr>
            <w:tcW w:type="dxa" w:w="2187"/>
            <w:shd w:val="clear" w:color="auto" w:fill="111113"/>
          </w:tcPr>
          <w:p>
            <w:r>
              <w:rPr>
                <w:b/>
                <w:color w:val="FFFFFF"/>
                <w:sz w:val="17"/>
              </w:rPr>
            </w:r>
            <w:r>
              <w:rPr>
                <w:b/>
                <w:color w:val="FFFFFF"/>
                <w:sz w:val="17"/>
              </w:rPr>
              <w:t>USE</w:t>
            </w:r>
          </w:p>
        </w:tc>
        <w:tc>
          <w:tcPr>
            <w:tcW w:type="dxa" w:w="2393"/>
            <w:shd w:val="clear" w:color="auto" w:fill="111113"/>
          </w:tcPr>
          <w:p>
            <w:r>
              <w:rPr>
                <w:b/>
                <w:color w:val="FFFFFF"/>
                <w:sz w:val="17"/>
              </w:rPr>
            </w:r>
            <w:r>
              <w:rPr>
                <w:b/>
                <w:color w:val="FFFFFF"/>
                <w:sz w:val="17"/>
              </w:rPr>
              <w:t>TYPE NAME</w:t>
            </w:r>
          </w:p>
        </w:tc>
        <w:tc>
          <w:tcPr>
            <w:tcW w:type="dxa" w:w="2144"/>
            <w:shd w:val="clear" w:color="auto" w:fill="111113"/>
          </w:tcPr>
          <w:p>
            <w:r>
              <w:rPr>
                <w:b/>
                <w:color w:val="FFFFFF"/>
                <w:sz w:val="17"/>
              </w:rPr>
            </w:r>
            <w:r>
              <w:rPr>
                <w:b/>
                <w:color w:val="FFFFFF"/>
                <w:sz w:val="17"/>
              </w:rPr>
              <w:t>SIZE (MM AT PLOT)</w:t>
            </w:r>
          </w:p>
        </w:tc>
        <w:tc>
          <w:tcPr>
            <w:tcW w:type="dxa" w:w="3742"/>
            <w:shd w:val="clear" w:color="auto" w:fill="111113"/>
          </w:tcPr>
          <w:p>
            <w:r>
              <w:rPr>
                <w:b/>
                <w:color w:val="FFFFFF"/>
                <w:sz w:val="17"/>
              </w:rPr>
            </w:r>
            <w:r>
              <w:rPr>
                <w:b/>
                <w:color w:val="FFFFFF"/>
                <w:sz w:val="17"/>
              </w:rPr>
              <w:t>NOTES</w:t>
            </w:r>
          </w:p>
        </w:tc>
      </w:tr>
      <w:tr>
        <w:trPr>
          <w:cantSplit/>
        </w:trPr>
        <w:tc>
          <w:tcPr>
            <w:tcW w:type="dxa" w:w="2187"/>
          </w:tcPr>
          <w:p>
            <w:r>
              <w:rPr>
                <w:sz w:val="17"/>
              </w:rPr>
            </w:r>
            <w:r>
              <w:rPr>
                <w:sz w:val="17"/>
              </w:rPr>
              <w:t>Leaders</w:t>
            </w:r>
          </w:p>
        </w:tc>
        <w:tc>
          <w:tcPr>
            <w:tcW w:type="dxa" w:w="2393"/>
          </w:tcPr>
          <w:p>
            <w:r>
              <w:rPr>
                <w:sz w:val="17"/>
              </w:rPr>
            </w:r>
            <w:r>
              <w:rPr>
                <w:sz w:val="17"/>
              </w:rPr>
              <w:t>ARROW – FILLED</w:t>
            </w:r>
          </w:p>
        </w:tc>
        <w:tc>
          <w:tcPr>
            <w:tcW w:type="dxa" w:w="2144"/>
          </w:tcPr>
          <w:p>
            <w:r>
              <w:rPr>
                <w:sz w:val="17"/>
              </w:rPr>
            </w:r>
            <w:r>
              <w:rPr>
                <w:sz w:val="17"/>
              </w:rPr>
              <w:t>2.0</w:t>
            </w:r>
          </w:p>
        </w:tc>
        <w:tc>
          <w:tcPr>
            <w:tcW w:type="dxa" w:w="3742"/>
          </w:tcPr>
          <w:p>
            <w:r>
              <w:rPr>
                <w:sz w:val="17"/>
              </w:rPr>
            </w:r>
            <w:r>
              <w:rPr>
                <w:sz w:val="17"/>
              </w:rPr>
              <w:t>Default for text leaders and tags</w:t>
            </w:r>
          </w:p>
        </w:tc>
      </w:tr>
      <w:tr>
        <w:trPr>
          <w:cantSplit/>
        </w:trPr>
        <w:tc>
          <w:tcPr>
            <w:tcW w:type="dxa" w:w="2187"/>
          </w:tcPr>
          <w:p>
            <w:r>
              <w:rPr>
                <w:sz w:val="17"/>
              </w:rPr>
            </w:r>
            <w:r>
              <w:rPr>
                <w:sz w:val="17"/>
              </w:rPr>
              <w:t>Dimensions</w:t>
            </w:r>
          </w:p>
        </w:tc>
        <w:tc>
          <w:tcPr>
            <w:tcW w:type="dxa" w:w="2393"/>
          </w:tcPr>
          <w:p>
            <w:r>
              <w:rPr>
                <w:sz w:val="17"/>
              </w:rPr>
            </w:r>
            <w:r>
              <w:rPr>
                <w:sz w:val="17"/>
              </w:rPr>
              <w:t>DIM – TICK 45°</w:t>
            </w:r>
          </w:p>
        </w:tc>
        <w:tc>
          <w:tcPr>
            <w:tcW w:type="dxa" w:w="2144"/>
          </w:tcPr>
          <w:p>
            <w:r>
              <w:rPr>
                <w:sz w:val="17"/>
              </w:rPr>
            </w:r>
            <w:r>
              <w:rPr>
                <w:sz w:val="17"/>
              </w:rPr>
              <w:t>2.0</w:t>
            </w:r>
          </w:p>
        </w:tc>
        <w:tc>
          <w:tcPr>
            <w:tcW w:type="dxa" w:w="3742"/>
          </w:tcPr>
          <w:p>
            <w:r>
              <w:rPr>
                <w:sz w:val="17"/>
              </w:rPr>
            </w:r>
            <w:r>
              <w:rPr>
                <w:sz w:val="17"/>
              </w:rPr>
              <w:t>Use on all linear and radial dimensions</w:t>
            </w:r>
          </w:p>
        </w:tc>
      </w:tr>
      <w:tr>
        <w:trPr>
          <w:cantSplit/>
        </w:trPr>
        <w:tc>
          <w:tcPr>
            <w:tcW w:type="dxa" w:w="2187"/>
          </w:tcPr>
          <w:p>
            <w:r>
              <w:rPr>
                <w:sz w:val="17"/>
              </w:rPr>
            </w:r>
            <w:r>
              <w:rPr>
                <w:sz w:val="17"/>
              </w:rPr>
              <w:t>Spot elevations</w:t>
            </w:r>
          </w:p>
        </w:tc>
        <w:tc>
          <w:tcPr>
            <w:tcW w:type="dxa" w:w="2393"/>
          </w:tcPr>
          <w:p>
            <w:r>
              <w:rPr>
                <w:sz w:val="17"/>
              </w:rPr>
            </w:r>
            <w:r>
              <w:rPr>
                <w:sz w:val="17"/>
              </w:rPr>
              <w:t>SPOT – OPEN ARROW</w:t>
            </w:r>
          </w:p>
        </w:tc>
        <w:tc>
          <w:tcPr>
            <w:tcW w:type="dxa" w:w="2144"/>
          </w:tcPr>
          <w:p>
            <w:r>
              <w:rPr>
                <w:sz w:val="17"/>
              </w:rPr>
            </w:r>
            <w:r>
              <w:rPr>
                <w:sz w:val="17"/>
              </w:rPr>
              <w:t>2.0</w:t>
            </w:r>
          </w:p>
        </w:tc>
        <w:tc>
          <w:tcPr>
            <w:tcW w:type="dxa" w:w="3742"/>
          </w:tcPr>
          <w:p>
            <w:r>
              <w:rPr>
                <w:sz w:val="17"/>
              </w:rPr>
            </w:r>
            <w:r>
              <w:rPr>
                <w:sz w:val="17"/>
              </w:rPr>
              <w:t>Consistent across plans and sections</w:t>
            </w:r>
          </w:p>
        </w:tc>
      </w:tr>
      <w:tr>
        <w:trPr>
          <w:cantSplit/>
        </w:trPr>
        <w:tc>
          <w:tcPr>
            <w:tcW w:type="dxa" w:w="2187"/>
          </w:tcPr>
          <w:p>
            <w:r>
              <w:rPr>
                <w:sz w:val="17"/>
              </w:rPr>
            </w:r>
            <w:r>
              <w:rPr>
                <w:sz w:val="17"/>
              </w:rPr>
              <w:t>Matchline indicators</w:t>
            </w:r>
          </w:p>
        </w:tc>
        <w:tc>
          <w:tcPr>
            <w:tcW w:type="dxa" w:w="2393"/>
          </w:tcPr>
          <w:p>
            <w:r>
              <w:rPr>
                <w:sz w:val="17"/>
              </w:rPr>
            </w:r>
            <w:r>
              <w:rPr>
                <w:sz w:val="17"/>
              </w:rPr>
              <w:t>ML – CHEVRON</w:t>
            </w:r>
          </w:p>
        </w:tc>
        <w:tc>
          <w:tcPr>
            <w:tcW w:type="dxa" w:w="2144"/>
          </w:tcPr>
          <w:p>
            <w:r>
              <w:rPr>
                <w:sz w:val="17"/>
              </w:rPr>
            </w:r>
            <w:r>
              <w:rPr>
                <w:sz w:val="17"/>
              </w:rPr>
              <w:t>2.5</w:t>
            </w:r>
          </w:p>
        </w:tc>
        <w:tc>
          <w:tcPr>
            <w:tcW w:type="dxa" w:w="3742"/>
          </w:tcPr>
          <w:p>
            <w:r>
              <w:rPr>
                <w:sz w:val="17"/>
              </w:rPr>
            </w:r>
            <w:r>
              <w:rPr>
                <w:sz w:val="17"/>
              </w:rPr>
              <w:t>Used with MATCHLINE graphics only</w:t>
            </w:r>
          </w:p>
        </w:tc>
      </w:tr>
    </w:tbl>
    <w:p/>
    <w:p>
      <w:pPr>
        <w:pStyle w:val="Heading3"/>
      </w:pPr>
      <w:r>
        <w:t>Acceptance — 4.6 Arrowheads</w:t>
      </w:r>
    </w:p>
    <w:p>
      <w:pPr/>
      <w:r>
        <w:t>Arrowhead type matches table for leaders, dimensions, and spots.</w:t>
      </w:r>
    </w:p>
    <w:p>
      <w:pPr/>
      <w:r>
        <w:t>Printed size is within ±0.1 mm of the specified size at plot scale.</w:t>
      </w:r>
    </w:p>
    <w:p>
      <w:pPr/>
      <w:r>
        <w:t>No view-specific overrides of arrowhead types.</w:t>
      </w:r>
    </w:p>
    <w:p>
      <w:pPr>
        <w:pStyle w:val="Heading2"/>
      </w:pPr>
      <w:r>
        <w:t>4.7 ANNOTATION SYMBOLS</w:t>
      </w:r>
    </w:p>
    <w:p>
      <w:pPr>
        <w:pStyle w:val="Heading3"/>
      </w:pPr>
      <w:r>
        <w:t>Acceptance — 4.7 Annotation Symbols</w:t>
      </w:r>
    </w:p>
    <w:p>
      <w:pPr/>
      <w:r>
        <w:t>Only approved families are used; names match table exactly.</w:t>
      </w:r>
    </w:p>
    <w:p>
      <w:pPr/>
      <w:r>
        <w:t>All required parameters are populated; no free-text overrides on tags.</w:t>
      </w:r>
    </w:p>
    <w:p>
      <w:pPr/>
      <w:r>
        <w:t>Arrowheads and leader types match 4.6.</w:t>
      </w:r>
    </w:p>
    <w:p>
      <w:pPr/>
      <w:r>
        <w:t>Symbol sizes plot to standard dimensions across all sheets.</w:t>
      </w:r>
    </w:p>
    <w:p>
      <w:pPr>
        <w:pStyle w:val="Heading2"/>
      </w:pPr>
      <w:r>
        <w:t>4.8 KEYNOTES</w:t>
      </w:r>
    </w:p>
    <w:p>
      <w:pPr>
        <w:pStyle w:val="Heading3"/>
      </w:pPr>
      <w:r>
        <w:t>Spec — 4.8 Keynotes</w:t>
      </w:r>
    </w:p>
    <w:p>
      <w:pPr/>
      <w:r>
        <w:t>Method: Element Keynotes for model categories where applicable. User Keynotes permitted only for legacy details.</w:t>
      </w:r>
    </w:p>
    <w:p>
      <w:pPr/>
      <w:r>
        <w:t>Keynote table location: 02-SHARED/05-DOCUMENTS/06-CLASSIFICATIONS/Keynotes.txt; use the approved tab-delimited Revit keynote text schema and tested encoding. CSV may be a source worksheet, not the loaded keynote format</w:t>
      </w:r>
    </w:p>
    <w:p>
      <w:pPr/>
      <w:r>
        <w:t>Numbering: Hierarchical numeric codes (e.g., 10.20.30). No alphanumeric mixes.</w:t>
      </w:r>
    </w:p>
    <w:p>
      <w:pPr/>
      <w:r>
        <w:t>Maintenance: Changes logged with date, owner, and rationale in the Keynotes change log.</w:t>
      </w:r>
    </w:p>
    <w:p>
      <w:pPr>
        <w:pStyle w:val="Heading3"/>
      </w:pPr>
      <w:r>
        <w:t>Acceptance — 4.8 Keynotes</w:t>
      </w:r>
    </w:p>
    <w:p>
      <w:pPr/>
      <w:r>
        <w:t>All placed keynotes resolve to current Keynotes.txt with no missing entries.</w:t>
      </w:r>
    </w:p>
    <w:p>
      <w:pPr/>
      <w:r>
        <w:t>No free-text in keynote tags. Only codes and descriptions from table.</w:t>
      </w:r>
    </w:p>
    <w:p>
      <w:pPr/>
      <w:r>
        <w:t>Deprecated or duplicate codes not present in the issue set.</w:t>
      </w:r>
    </w:p>
    <w:p>
      <w:pPr>
        <w:pStyle w:val="Heading2"/>
      </w:pPr>
      <w:r>
        <w:t>4.9 START 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32"/>
        <w:gridCol w:w="8034"/>
      </w:tblGrid>
      <w:tr>
        <w:trPr>
          <w:cantSplit/>
          <w:tblHeader/>
        </w:trPr>
        <w:tc>
          <w:tcPr>
            <w:tcW w:type="dxa" w:w="2432"/>
            <w:shd w:val="clear" w:color="auto" w:fill="111113"/>
          </w:tcPr>
          <w:p>
            <w:r>
              <w:rPr>
                <w:b/>
                <w:color w:val="FFFFFF"/>
                <w:sz w:val="17"/>
              </w:rPr>
            </w:r>
            <w:r>
              <w:rPr>
                <w:b/>
                <w:color w:val="FFFFFF"/>
                <w:sz w:val="17"/>
              </w:rPr>
              <w:t>Item</w:t>
            </w:r>
          </w:p>
        </w:tc>
        <w:tc>
          <w:tcPr>
            <w:tcW w:type="dxa" w:w="8034"/>
            <w:shd w:val="clear" w:color="auto" w:fill="111113"/>
          </w:tcPr>
          <w:p>
            <w:r>
              <w:rPr>
                <w:b/>
                <w:color w:val="FFFFFF"/>
                <w:sz w:val="17"/>
              </w:rPr>
            </w:r>
            <w:r>
              <w:rPr>
                <w:b/>
                <w:color w:val="FFFFFF"/>
                <w:sz w:val="17"/>
              </w:rPr>
              <w:t>Specification</w:t>
            </w:r>
          </w:p>
        </w:tc>
      </w:tr>
      <w:tr>
        <w:trPr>
          <w:cantSplit/>
        </w:trPr>
        <w:tc>
          <w:tcPr>
            <w:tcW w:type="dxa" w:w="2432"/>
          </w:tcPr>
          <w:p>
            <w:r>
              <w:rPr>
                <w:sz w:val="17"/>
              </w:rPr>
            </w:r>
            <w:r>
              <w:rPr>
                <w:sz w:val="17"/>
              </w:rPr>
              <w:t>Purpose</w:t>
            </w:r>
          </w:p>
        </w:tc>
        <w:tc>
          <w:tcPr>
            <w:tcW w:type="dxa" w:w="8034"/>
          </w:tcPr>
          <w:p>
            <w:r>
              <w:rPr>
                <w:sz w:val="17"/>
              </w:rPr>
            </w:r>
            <w:r>
              <w:rPr>
                <w:sz w:val="17"/>
              </w:rPr>
              <w:t>Pinned Start View used for QA, identifiers, and warnings. Never placed on sheets.</w:t>
            </w:r>
          </w:p>
        </w:tc>
      </w:tr>
      <w:tr>
        <w:trPr>
          <w:cantSplit/>
        </w:trPr>
        <w:tc>
          <w:tcPr>
            <w:tcW w:type="dxa" w:w="2432"/>
          </w:tcPr>
          <w:p>
            <w:r>
              <w:rPr>
                <w:sz w:val="17"/>
              </w:rPr>
            </w:r>
            <w:r>
              <w:rPr>
                <w:sz w:val="17"/>
              </w:rPr>
              <w:t>Identifiers</w:t>
            </w:r>
          </w:p>
        </w:tc>
        <w:tc>
          <w:tcPr>
            <w:tcW w:type="dxa" w:w="8034"/>
          </w:tcPr>
          <w:p>
            <w:r>
              <w:rPr>
                <w:sz w:val="17"/>
              </w:rPr>
            </w:r>
            <w:r>
              <w:rPr>
                <w:sz w:val="17"/>
              </w:rPr>
              <w:t>ORG, PROJ, DISC, Model file name, Revit version, Date stamp</w:t>
            </w:r>
          </w:p>
        </w:tc>
      </w:tr>
      <w:tr>
        <w:trPr>
          <w:cantSplit/>
        </w:trPr>
        <w:tc>
          <w:tcPr>
            <w:tcW w:type="dxa" w:w="2432"/>
          </w:tcPr>
          <w:p>
            <w:r>
              <w:rPr>
                <w:sz w:val="17"/>
              </w:rPr>
            </w:r>
            <w:r>
              <w:rPr>
                <w:sz w:val="17"/>
              </w:rPr>
              <w:t>Audit panel</w:t>
            </w:r>
          </w:p>
        </w:tc>
        <w:tc>
          <w:tcPr>
            <w:tcW w:type="dxa" w:w="8034"/>
          </w:tcPr>
          <w:p>
            <w:r>
              <w:rPr>
                <w:sz w:val="17"/>
              </w:rPr>
            </w:r>
            <w:r>
              <w:rPr>
                <w:sz w:val="17"/>
              </w:rPr>
              <w:t>Model Origin OK? Workset1 elements, Warnings count, Link status, File size</w:t>
            </w:r>
          </w:p>
        </w:tc>
      </w:tr>
      <w:tr>
        <w:trPr>
          <w:cantSplit/>
        </w:trPr>
        <w:tc>
          <w:tcPr>
            <w:tcW w:type="dxa" w:w="2432"/>
          </w:tcPr>
          <w:p>
            <w:r>
              <w:rPr>
                <w:sz w:val="17"/>
              </w:rPr>
            </w:r>
            <w:r>
              <w:rPr>
                <w:sz w:val="17"/>
              </w:rPr>
              <w:t>Warnings board</w:t>
            </w:r>
          </w:p>
        </w:tc>
        <w:tc>
          <w:tcPr>
            <w:tcW w:type="dxa" w:w="8034"/>
          </w:tcPr>
          <w:p>
            <w:r>
              <w:rPr>
                <w:sz w:val="17"/>
              </w:rPr>
            </w:r>
            <w:r>
              <w:rPr>
                <w:sz w:val="17"/>
              </w:rPr>
              <w:t>Top 5 warning types with counts</w:t>
            </w:r>
          </w:p>
        </w:tc>
      </w:tr>
      <w:tr>
        <w:trPr>
          <w:cantSplit/>
        </w:trPr>
        <w:tc>
          <w:tcPr>
            <w:tcW w:type="dxa" w:w="2432"/>
          </w:tcPr>
          <w:p>
            <w:r>
              <w:rPr>
                <w:sz w:val="17"/>
              </w:rPr>
            </w:r>
            <w:r>
              <w:rPr>
                <w:sz w:val="17"/>
              </w:rPr>
              <w:t>Issue banner</w:t>
            </w:r>
          </w:p>
        </w:tc>
        <w:tc>
          <w:tcPr>
            <w:tcW w:type="dxa" w:w="8034"/>
          </w:tcPr>
          <w:p>
            <w:r>
              <w:rPr>
                <w:sz w:val="17"/>
              </w:rPr>
            </w:r>
            <w:r>
              <w:rPr>
                <w:sz w:val="17"/>
              </w:rPr>
              <w:t>Next gate name and date</w:t>
            </w:r>
          </w:p>
        </w:tc>
      </w:tr>
      <w:tr>
        <w:trPr>
          <w:cantSplit/>
        </w:trPr>
        <w:tc>
          <w:tcPr>
            <w:tcW w:type="dxa" w:w="2432"/>
          </w:tcPr>
          <w:p>
            <w:r>
              <w:rPr>
                <w:sz w:val="17"/>
              </w:rPr>
            </w:r>
            <w:r>
              <w:rPr>
                <w:sz w:val="17"/>
              </w:rPr>
              <w:t>Governance</w:t>
            </w:r>
          </w:p>
        </w:tc>
        <w:tc>
          <w:tcPr>
            <w:tcW w:type="dxa" w:w="8034"/>
          </w:tcPr>
          <w:p>
            <w:r>
              <w:rPr>
                <w:sz w:val="17"/>
              </w:rPr>
            </w:r>
            <w:r>
              <w:rPr>
                <w:sz w:val="17"/>
              </w:rPr>
              <w:t>Start View is default on open and uses a locked View Template</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33"/>
        <w:gridCol w:w="2929"/>
        <w:gridCol w:w="1141"/>
        <w:gridCol w:w="2862"/>
      </w:tblGrid>
      <w:tr>
        <w:trPr>
          <w:cantSplit/>
          <w:tblHeader/>
        </w:trPr>
        <w:tc>
          <w:tcPr>
            <w:tcW w:type="dxa" w:w="3533"/>
            <w:shd w:val="clear" w:color="auto" w:fill="111113"/>
          </w:tcPr>
          <w:p>
            <w:r>
              <w:rPr>
                <w:b/>
                <w:color w:val="FFFFFF"/>
                <w:sz w:val="17"/>
              </w:rPr>
            </w:r>
            <w:r>
              <w:rPr>
                <w:b/>
                <w:color w:val="FFFFFF"/>
                <w:sz w:val="17"/>
              </w:rPr>
              <w:t>Acceptance criteria</w:t>
            </w:r>
          </w:p>
        </w:tc>
        <w:tc>
          <w:tcPr>
            <w:tcW w:type="dxa" w:w="2929"/>
            <w:shd w:val="clear" w:color="auto" w:fill="111113"/>
          </w:tcPr>
          <w:p>
            <w:r>
              <w:rPr>
                <w:b/>
                <w:color w:val="FFFFFF"/>
                <w:sz w:val="17"/>
              </w:rPr>
            </w:r>
            <w:r>
              <w:rPr>
                <w:b/>
                <w:color w:val="FFFFFF"/>
                <w:sz w:val="17"/>
              </w:rPr>
              <w:t>Quality checks</w:t>
            </w:r>
          </w:p>
        </w:tc>
        <w:tc>
          <w:tcPr>
            <w:tcW w:type="dxa" w:w="1141"/>
            <w:shd w:val="clear" w:color="auto" w:fill="111113"/>
          </w:tcPr>
          <w:p>
            <w:r>
              <w:rPr>
                <w:b/>
                <w:color w:val="FFFFFF"/>
                <w:sz w:val="17"/>
              </w:rPr>
            </w:r>
            <w:r>
              <w:rPr>
                <w:b/>
                <w:color w:val="FFFFFF"/>
                <w:sz w:val="17"/>
              </w:rPr>
              <w:t>Owner</w:t>
            </w:r>
          </w:p>
        </w:tc>
        <w:tc>
          <w:tcPr>
            <w:tcW w:type="dxa" w:w="2862"/>
            <w:shd w:val="clear" w:color="auto" w:fill="111113"/>
          </w:tcPr>
          <w:p>
            <w:r>
              <w:rPr>
                <w:b/>
                <w:color w:val="FFFFFF"/>
                <w:sz w:val="17"/>
              </w:rPr>
            </w:r>
            <w:r>
              <w:rPr>
                <w:b/>
                <w:color w:val="FFFFFF"/>
                <w:sz w:val="17"/>
              </w:rPr>
              <w:t>Edit criteria</w:t>
            </w:r>
          </w:p>
        </w:tc>
      </w:tr>
      <w:tr>
        <w:trPr>
          <w:cantSplit/>
        </w:trPr>
        <w:tc>
          <w:tcPr>
            <w:tcW w:type="dxa" w:w="3533"/>
          </w:tcPr>
          <w:p>
            <w:r>
              <w:rPr>
                <w:sz w:val="17"/>
              </w:rPr>
            </w:r>
            <w:r>
              <w:rPr>
                <w:sz w:val="17"/>
              </w:rPr>
              <w:t>Exactly one Start View named “STD00-STARTING-VIEW” per model</w:t>
            </w:r>
          </w:p>
        </w:tc>
        <w:tc>
          <w:tcPr>
            <w:tcW w:type="dxa" w:w="2929"/>
          </w:tcPr>
          <w:p>
            <w:r>
              <w:rPr>
                <w:sz w:val="17"/>
              </w:rPr>
            </w:r>
            <w:r>
              <w:rPr>
                <w:sz w:val="17"/>
              </w:rPr>
              <w:t>Automated view name check per model</w:t>
            </w:r>
          </w:p>
        </w:tc>
        <w:tc>
          <w:tcPr>
            <w:tcW w:type="dxa" w:w="1141"/>
          </w:tcPr>
          <w:p>
            <w:r>
              <w:rPr>
                <w:sz w:val="17"/>
              </w:rPr>
            </w:r>
            <w:r>
              <w:rPr>
                <w:sz w:val="17"/>
              </w:rPr>
              <w:t>Discipline Lead</w:t>
            </w:r>
          </w:p>
        </w:tc>
        <w:tc>
          <w:tcPr>
            <w:tcW w:type="dxa" w:w="2862"/>
          </w:tcPr>
          <w:p>
            <w:r>
              <w:rPr>
                <w:sz w:val="17"/>
              </w:rPr>
            </w:r>
            <w:r>
              <w:rPr>
                <w:sz w:val="17"/>
              </w:rPr>
              <w:t>Rename via template rule; do not duplicate</w:t>
            </w:r>
          </w:p>
        </w:tc>
      </w:tr>
      <w:tr>
        <w:trPr>
          <w:cantSplit/>
        </w:trPr>
        <w:tc>
          <w:tcPr>
            <w:tcW w:type="dxa" w:w="3533"/>
          </w:tcPr>
          <w:p>
            <w:r>
              <w:rPr>
                <w:sz w:val="17"/>
              </w:rPr>
            </w:r>
            <w:r>
              <w:rPr>
                <w:sz w:val="17"/>
              </w:rPr>
              <w:t>Start View is default and uses a locked template</w:t>
            </w:r>
          </w:p>
        </w:tc>
        <w:tc>
          <w:tcPr>
            <w:tcW w:type="dxa" w:w="2929"/>
          </w:tcPr>
          <w:p>
            <w:r>
              <w:rPr>
                <w:sz w:val="17"/>
              </w:rPr>
            </w:r>
            <w:r>
              <w:rPr>
                <w:sz w:val="17"/>
              </w:rPr>
              <w:t>Open-default check; template lock status scan</w:t>
            </w:r>
          </w:p>
        </w:tc>
        <w:tc>
          <w:tcPr>
            <w:tcW w:type="dxa" w:w="1141"/>
          </w:tcPr>
          <w:p>
            <w:r>
              <w:rPr>
                <w:sz w:val="17"/>
              </w:rPr>
            </w:r>
            <w:r>
              <w:rPr>
                <w:sz w:val="17"/>
              </w:rPr>
              <w:t>BIM Coordinator</w:t>
            </w:r>
          </w:p>
        </w:tc>
        <w:tc>
          <w:tcPr>
            <w:tcW w:type="dxa" w:w="2862"/>
          </w:tcPr>
          <w:p>
            <w:r>
              <w:rPr>
                <w:sz w:val="17"/>
              </w:rPr>
            </w:r>
            <w:r>
              <w:rPr>
                <w:sz w:val="17"/>
              </w:rPr>
              <w:t>Lock at template; no per-view overrides</w:t>
            </w:r>
          </w:p>
        </w:tc>
      </w:tr>
      <w:tr>
        <w:trPr>
          <w:cantSplit/>
        </w:trPr>
        <w:tc>
          <w:tcPr>
            <w:tcW w:type="dxa" w:w="3533"/>
          </w:tcPr>
          <w:p>
            <w:r>
              <w:rPr>
                <w:sz w:val="17"/>
              </w:rPr>
            </w:r>
            <w:r>
              <w:rPr>
                <w:sz w:val="17"/>
              </w:rPr>
              <w:t>Audit panel fields are current at issue</w:t>
            </w:r>
          </w:p>
        </w:tc>
        <w:tc>
          <w:tcPr>
            <w:tcW w:type="dxa" w:w="2929"/>
          </w:tcPr>
          <w:p>
            <w:r>
              <w:rPr>
                <w:sz w:val="17"/>
              </w:rPr>
            </w:r>
            <w:r>
              <w:rPr>
                <w:sz w:val="17"/>
              </w:rPr>
              <w:t>Pre-issue audit refresh and screenshot</w:t>
            </w:r>
          </w:p>
        </w:tc>
        <w:tc>
          <w:tcPr>
            <w:tcW w:type="dxa" w:w="1141"/>
          </w:tcPr>
          <w:p>
            <w:r>
              <w:rPr>
                <w:sz w:val="17"/>
              </w:rPr>
            </w:r>
            <w:r>
              <w:rPr>
                <w:sz w:val="17"/>
              </w:rPr>
              <w:t>QA-QC Lead</w:t>
            </w:r>
          </w:p>
        </w:tc>
        <w:tc>
          <w:tcPr>
            <w:tcW w:type="dxa" w:w="2862"/>
          </w:tcPr>
          <w:p>
            <w:r>
              <w:rPr>
                <w:sz w:val="17"/>
              </w:rPr>
            </w:r>
            <w:r>
              <w:rPr>
                <w:sz w:val="17"/>
              </w:rPr>
              <w:t>Update via script or schedule; no manual text</w:t>
            </w:r>
          </w:p>
        </w:tc>
      </w:tr>
      <w:tr>
        <w:trPr>
          <w:cantSplit/>
        </w:trPr>
        <w:tc>
          <w:tcPr>
            <w:tcW w:type="dxa" w:w="3533"/>
          </w:tcPr>
          <w:p>
            <w:r>
              <w:rPr>
                <w:sz w:val="17"/>
              </w:rPr>
            </w:r>
            <w:r>
              <w:rPr>
                <w:sz w:val="17"/>
              </w:rPr>
              <w:t>No uncropped 3D or heavy graphics in Start View</w:t>
            </w:r>
          </w:p>
        </w:tc>
        <w:tc>
          <w:tcPr>
            <w:tcW w:type="dxa" w:w="2929"/>
          </w:tcPr>
          <w:p>
            <w:r>
              <w:rPr>
                <w:sz w:val="17"/>
              </w:rPr>
            </w:r>
            <w:r>
              <w:rPr>
                <w:sz w:val="17"/>
              </w:rPr>
              <w:t>View type and crop check</w:t>
            </w:r>
          </w:p>
        </w:tc>
        <w:tc>
          <w:tcPr>
            <w:tcW w:type="dxa" w:w="1141"/>
          </w:tcPr>
          <w:p>
            <w:r>
              <w:rPr>
                <w:sz w:val="17"/>
              </w:rPr>
            </w:r>
            <w:r>
              <w:rPr>
                <w:sz w:val="17"/>
              </w:rPr>
              <w:t>Discipline Lead</w:t>
            </w:r>
          </w:p>
        </w:tc>
        <w:tc>
          <w:tcPr>
            <w:tcW w:type="dxa" w:w="2862"/>
          </w:tcPr>
          <w:p>
            <w:r>
              <w:rPr>
                <w:sz w:val="17"/>
              </w:rPr>
            </w:r>
            <w:r>
              <w:rPr>
                <w:sz w:val="17"/>
              </w:rPr>
              <w:t>Adjust template; avoid per-view tweaks</w:t>
            </w:r>
          </w:p>
        </w:tc>
      </w:tr>
    </w:tbl>
    <w:p/>
    <w:p>
      <w:pPr>
        <w:pStyle w:val="Heading2"/>
      </w:pPr>
      <w:r>
        <w:t>4.10 TITLE BLOCKS</w:t>
      </w:r>
    </w:p>
    <w:p>
      <w:pPr>
        <w:pStyle w:val="Heading3"/>
      </w:pPr>
      <w:r>
        <w:t>Spec — 4.10 Title Blocks</w:t>
      </w:r>
    </w:p>
    <w:p>
      <w:pPr/>
      <w:r>
        <w:t xml:space="preserve">Family naming: BBM-G-TTB-A0, BBM-G-TTB-A1, BBM-G-TTB-A2, BBM-G-TTB-A3 (ISO 5457 sizes; published library series under the </w:t>
      </w:r>
      <w:r>
        <w:rPr>
          <w:color w:val="9A7B45"/>
          <w:u w:val="single"/>
        </w:rPr>
        <w:t>BBM-STD-69</w:t>
      </w:r>
      <w:r>
        <w:t xml:space="preserve"> §2 grammar). A1, A2 and A3 title blocks must exist in the office template; A2 and A3 are created in the next template pass (</w:t>
      </w:r>
      <w:r>
        <w:rPr>
          <w:color w:val="9A7B45"/>
          <w:u w:val="single"/>
        </w:rPr>
        <w:t>O-DEC-144</w:t>
      </w:r>
      <w:r>
        <w:t>)</w:t>
      </w:r>
    </w:p>
    <w:p>
      <w:pPr/>
      <w:r>
        <w:t>Mandatory fields (ISO 7200:2004 data fields plus ISO 19650 metadata): Project Name, Project Code, Container ID (external 8-token grammar), Sheet Number, Sheet n of N, Sheet Title, Discipline, Scale, Drawn/Checked/Approved with Approved-by date, Revision, Date of issue, Suitability code, CDE state, Purpose of issue, Document type, Language, North point (plans), Consultant licence/stamp zone</w:t>
      </w:r>
    </w:p>
    <w:p>
      <w:pPr/>
      <w:r>
        <w:t>Field list and sheet layout detail: BBM-STD-67 V0.2 §2 is the controlled superset of this list (</w:t>
      </w:r>
      <w:r>
        <w:rPr>
          <w:color w:val="9A7B45"/>
          <w:u w:val="single"/>
        </w:rPr>
        <w:t>O-DEC-129</w:t>
      </w:r>
      <w:r>
        <w:t>)</w:t>
      </w:r>
    </w:p>
    <w:p>
      <w:pPr/>
      <w:r>
        <w:t>Bilingual option: Secondary language line allowed below Sheet Title, same font size, lighter weight</w:t>
      </w:r>
    </w:p>
    <w:p>
      <w:pPr/>
      <w:r>
        <w:t>Revision system: Rnn per sheet container; it increases only when the sheet changes and is never recycled; unchanged sheets keep their revision (O-DEC-113); cloud visibility per View Template</w:t>
      </w:r>
    </w:p>
    <w:p>
      <w:pPr/>
      <w:r>
        <w:t>Seals and approvals: Reserved zones at lower right; never overlap issue stamps</w:t>
      </w:r>
    </w:p>
    <w:p>
      <w:pPr>
        <w:pStyle w:val="Heading3"/>
      </w:pPr>
      <w:r>
        <w:t>Acceptance — 4.10 Title Blocks</w:t>
      </w:r>
    </w:p>
    <w:p>
      <w:pPr/>
      <w:r>
        <w:t>Correct title block family for sheet size; no edited duplicates</w:t>
      </w:r>
    </w:p>
    <w:p>
      <w:pPr/>
      <w:r>
        <w:t>All mandatory fields populated; no placeholder text on issue</w:t>
      </w:r>
    </w:p>
    <w:p>
      <w:pPr/>
      <w:r>
        <w:t>Revision stamp equals the sheet's own Rnn in the pack manifest and appears in title block and index</w:t>
      </w:r>
    </w:p>
    <w:p>
      <w:pPr/>
      <w:r>
        <w:t>No manual moved borders or unlocked geometry; family remains unmodified</w:t>
      </w:r>
    </w:p>
    <w:p>
      <w:pPr>
        <w:pStyle w:val="Heading2"/>
      </w:pPr>
      <w:r>
        <w:t>4.11 BROWSER ORGANIZATION</w:t>
      </w:r>
    </w:p>
    <w:p>
      <w:pPr>
        <w:pStyle w:val="Heading3"/>
      </w:pPr>
      <w:r>
        <w:t>4.11.1 VIEWS</w:t>
      </w:r>
    </w:p>
    <w:p>
      <w:pPr/>
      <w:r>
        <w:t>Spec — 4.11.1 Views</w:t>
      </w:r>
    </w:p>
    <w:p>
      <w:pPr/>
      <w:r>
        <w:t>Root folders by discipline: 3-letter codes from BBM-STD-93 (O-DEC-103): ARC, STR, MEC, ELE, LSC, PLU, FLS, INT, CIV, SUR, QTY, CON, GEN; use only those the project needs</w:t>
      </w:r>
    </w:p>
    <w:p>
      <w:pPr/>
      <w:r>
        <w:t>Purpose subfolders per discipline:</w:t>
      </w:r>
    </w:p>
    <w:p>
      <w:pPr/>
      <w:r>
        <w:t>COORD — Working coordination views (no sheets)</w:t>
      </w:r>
    </w:p>
    <w:p>
      <w:pPr/>
      <w:r>
        <w:t>DOC — Sheet production parent views</w:t>
      </w:r>
    </w:p>
    <w:p>
      <w:pPr/>
      <w:r>
        <w:t>DETAIL — Detail drafting views</w:t>
      </w:r>
    </w:p>
    <w:p>
      <w:pPr/>
      <w:r>
        <w:t>QA — Model checks and audit views</w:t>
      </w:r>
    </w:p>
    <w:p>
      <w:pPr/>
      <w:r>
        <w:t>SHT-PREP — Sheet prep views with tags and scopes</w:t>
      </w:r>
    </w:p>
    <w:p>
      <w:pPr/>
      <w:r>
        <w:t>Tokens in view names: &lt;DISC&gt;-&lt;LEVEL/ZONE&gt;-&lt;TYPE&gt;-&lt;DESC&gt;</w:t>
      </w:r>
    </w:p>
    <w:p>
      <w:pPr/>
      <w:r>
        <w:t>Examples: ARC-L02-PLAN-Layouts, STR-L03-SECTION-Framing, MEC-L01-3D-Coord</w:t>
      </w:r>
    </w:p>
    <w:p>
      <w:pPr/>
      <w:r>
        <w:t>Sorting: Browser organization by Discipline &gt; Purpose &gt; Level/Zone &gt; Type</w:t>
      </w:r>
    </w:p>
    <w:p>
      <w:pPr>
        <w:pStyle w:val="Heading3"/>
      </w:pPr>
      <w:r>
        <w:t>Acceptance — 4.11.1 Views</w:t>
      </w:r>
    </w:p>
    <w:p>
      <w:pPr/>
      <w:r>
        <w:t>No orphan views at root. All non-template views live inside a purpose subfolder.</w:t>
      </w:r>
    </w:p>
    <w:p>
      <w:pPr/>
      <w:r>
        <w:t>View names conform to token pattern with valid DISC and TYPE tokens.</w:t>
      </w:r>
    </w:p>
    <w:p>
      <w:pPr/>
      <w:r>
        <w:t>COORD views are not placed on sheets. DOC model views provide issue parents; approved details, schedules, legends and dependent views have recorded exceptions.</w:t>
      </w:r>
    </w:p>
    <w:p>
      <w:pPr/>
      <w:r>
        <w:t>QA/browser groups include the Start View and gate checks; record the approved view types and exceptions.</w:t>
      </w:r>
    </w:p>
    <w:p>
      <w:pPr>
        <w:pStyle w:val="Heading3"/>
      </w:pPr>
      <w:r>
        <w:t>4.11.2 SHEETS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15"/>
        <w:gridCol w:w="2699"/>
        <w:gridCol w:w="3527"/>
        <w:gridCol w:w="3125"/>
      </w:tblGrid>
      <w:tr>
        <w:trPr>
          <w:cantSplit/>
          <w:tblHeader/>
        </w:trPr>
        <w:tc>
          <w:tcPr>
            <w:tcW w:type="dxa" w:w="1115"/>
            <w:shd w:val="clear" w:color="auto" w:fill="111113"/>
          </w:tcPr>
          <w:p>
            <w:r>
              <w:rPr>
                <w:b/>
                <w:color w:val="FFFFFF"/>
                <w:sz w:val="17"/>
              </w:rPr>
            </w:r>
            <w:r>
              <w:rPr>
                <w:b/>
                <w:color w:val="FFFFFF"/>
                <w:sz w:val="17"/>
              </w:rPr>
              <w:t>TYPE</w:t>
            </w:r>
          </w:p>
        </w:tc>
        <w:tc>
          <w:tcPr>
            <w:tcW w:type="dxa" w:w="2699"/>
            <w:shd w:val="clear" w:color="auto" w:fill="111113"/>
          </w:tcPr>
          <w:p>
            <w:r>
              <w:rPr>
                <w:b/>
                <w:color w:val="FFFFFF"/>
                <w:sz w:val="17"/>
              </w:rPr>
            </w:r>
            <w:r>
              <w:rPr>
                <w:b/>
                <w:color w:val="FFFFFF"/>
                <w:sz w:val="17"/>
              </w:rPr>
              <w:t>NUMBER PATTERN</w:t>
            </w:r>
          </w:p>
        </w:tc>
        <w:tc>
          <w:tcPr>
            <w:tcW w:type="dxa" w:w="3527"/>
            <w:shd w:val="clear" w:color="auto" w:fill="111113"/>
          </w:tcPr>
          <w:p>
            <w:r>
              <w:rPr>
                <w:b/>
                <w:color w:val="FFFFFF"/>
                <w:sz w:val="17"/>
              </w:rPr>
            </w:r>
            <w:r>
              <w:rPr>
                <w:b/>
                <w:color w:val="FFFFFF"/>
                <w:sz w:val="17"/>
              </w:rPr>
              <w:t>MINIMUM CONTENT</w:t>
            </w:r>
          </w:p>
        </w:tc>
        <w:tc>
          <w:tcPr>
            <w:tcW w:type="dxa" w:w="3125"/>
            <w:shd w:val="clear" w:color="auto" w:fill="111113"/>
          </w:tcPr>
          <w:p>
            <w:r>
              <w:rPr>
                <w:b/>
                <w:color w:val="FFFFFF"/>
                <w:sz w:val="17"/>
              </w:rPr>
            </w:r>
            <w:r>
              <w:rPr>
                <w:b/>
                <w:color w:val="FFFFFF"/>
                <w:sz w:val="17"/>
              </w:rPr>
              <w:t>NOTES</w:t>
            </w:r>
          </w:p>
        </w:tc>
      </w:tr>
      <w:tr>
        <w:trPr>
          <w:cantSplit/>
        </w:trPr>
        <w:tc>
          <w:tcPr>
            <w:tcW w:type="dxa" w:w="1115"/>
          </w:tcPr>
          <w:p>
            <w:r>
              <w:rPr>
                <w:sz w:val="17"/>
              </w:rPr>
            </w:r>
            <w:r>
              <w:rPr>
                <w:sz w:val="17"/>
              </w:rPr>
              <w:t>Plans</w:t>
            </w:r>
          </w:p>
        </w:tc>
        <w:tc>
          <w:tcPr>
            <w:tcW w:type="dxa" w:w="2699"/>
          </w:tcPr>
          <w:p>
            <w:r>
              <w:rPr>
                <w:sz w:val="17"/>
              </w:rPr>
            </w:r>
            <w:r>
              <w:rPr>
                <w:sz w:val="17"/>
              </w:rPr>
              <w:t>A-10-XXX (ARC)  /​  S-10-XXX (STR)  /​  M-10-XXX (MEC)</w:t>
            </w:r>
          </w:p>
        </w:tc>
        <w:tc>
          <w:tcPr>
            <w:tcW w:type="dxa" w:w="3527"/>
          </w:tcPr>
          <w:p>
            <w:r>
              <w:rPr>
                <w:sz w:val="17"/>
              </w:rPr>
            </w:r>
            <w:r>
              <w:rPr>
                <w:sz w:val="17"/>
              </w:rPr>
              <w:t>Title, north arrow, scale, dims, tags, levels, grids, keynotes</w:t>
            </w:r>
          </w:p>
        </w:tc>
        <w:tc>
          <w:tcPr>
            <w:tcW w:type="dxa" w:w="3125"/>
          </w:tcPr>
          <w:p>
            <w:r>
              <w:rPr>
                <w:sz w:val="17"/>
              </w:rPr>
            </w:r>
            <w:r>
              <w:rPr>
                <w:sz w:val="17"/>
              </w:rPr>
              <w:t>Use DOC templates only; no COORD views on sheets</w:t>
            </w:r>
          </w:p>
        </w:tc>
      </w:tr>
      <w:tr>
        <w:trPr>
          <w:cantSplit/>
        </w:trPr>
        <w:tc>
          <w:tcPr>
            <w:tcW w:type="dxa" w:w="1115"/>
          </w:tcPr>
          <w:p>
            <w:r>
              <w:rPr>
                <w:sz w:val="17"/>
              </w:rPr>
            </w:r>
            <w:r>
              <w:rPr>
                <w:sz w:val="17"/>
              </w:rPr>
              <w:t>Sections</w:t>
            </w:r>
          </w:p>
        </w:tc>
        <w:tc>
          <w:tcPr>
            <w:tcW w:type="dxa" w:w="2699"/>
          </w:tcPr>
          <w:p>
            <w:r>
              <w:rPr>
                <w:sz w:val="17"/>
              </w:rPr>
            </w:r>
            <w:r>
              <w:rPr>
                <w:sz w:val="17"/>
              </w:rPr>
              <w:t>A-20-XXX  /​  S-20-XXX  /​  M-20-XXX</w:t>
            </w:r>
          </w:p>
        </w:tc>
        <w:tc>
          <w:tcPr>
            <w:tcW w:type="dxa" w:w="3527"/>
          </w:tcPr>
          <w:p>
            <w:r>
              <w:rPr>
                <w:sz w:val="17"/>
              </w:rPr>
            </w:r>
            <w:r>
              <w:rPr>
                <w:sz w:val="17"/>
              </w:rPr>
              <w:t>Cut markers, levels, materials, keynotes, dims</w:t>
            </w:r>
          </w:p>
        </w:tc>
        <w:tc>
          <w:tcPr>
            <w:tcW w:type="dxa" w:w="3125"/>
          </w:tcPr>
          <w:p>
            <w:r>
              <w:rPr>
                <w:sz w:val="17"/>
              </w:rPr>
            </w:r>
            <w:r>
              <w:rPr>
                <w:sz w:val="17"/>
              </w:rPr>
              <w:t>Cut graphics per 4.1 and 4.2</w:t>
            </w:r>
          </w:p>
        </w:tc>
      </w:tr>
      <w:tr>
        <w:trPr>
          <w:cantSplit/>
        </w:trPr>
        <w:tc>
          <w:tcPr>
            <w:tcW w:type="dxa" w:w="1115"/>
          </w:tcPr>
          <w:p>
            <w:r>
              <w:rPr>
                <w:sz w:val="17"/>
              </w:rPr>
            </w:r>
            <w:r>
              <w:rPr>
                <w:sz w:val="17"/>
              </w:rPr>
              <w:t>Elevations</w:t>
            </w:r>
          </w:p>
        </w:tc>
        <w:tc>
          <w:tcPr>
            <w:tcW w:type="dxa" w:w="2699"/>
          </w:tcPr>
          <w:p>
            <w:r>
              <w:rPr>
                <w:sz w:val="17"/>
              </w:rPr>
            </w:r>
            <w:r>
              <w:rPr>
                <w:sz w:val="17"/>
              </w:rPr>
              <w:t>A-30-XXX  /​  S-30-XXX</w:t>
            </w:r>
          </w:p>
        </w:tc>
        <w:tc>
          <w:tcPr>
            <w:tcW w:type="dxa" w:w="3527"/>
          </w:tcPr>
          <w:p>
            <w:r>
              <w:rPr>
                <w:sz w:val="17"/>
              </w:rPr>
            </w:r>
            <w:r>
              <w:rPr>
                <w:sz w:val="17"/>
              </w:rPr>
              <w:t>Levels, materials, tags, keynotes</w:t>
            </w:r>
          </w:p>
        </w:tc>
        <w:tc>
          <w:tcPr>
            <w:tcW w:type="dxa" w:w="3125"/>
          </w:tcPr>
          <w:p>
            <w:r>
              <w:rPr>
                <w:sz w:val="17"/>
              </w:rPr>
            </w:r>
            <w:r>
              <w:rPr>
                <w:sz w:val="17"/>
              </w:rPr>
              <w:t>Match object styles and fill patterns</w:t>
            </w:r>
          </w:p>
        </w:tc>
      </w:tr>
      <w:tr>
        <w:trPr>
          <w:cantSplit/>
        </w:trPr>
        <w:tc>
          <w:tcPr>
            <w:tcW w:type="dxa" w:w="1115"/>
          </w:tcPr>
          <w:p>
            <w:r>
              <w:rPr>
                <w:sz w:val="17"/>
              </w:rPr>
            </w:r>
            <w:r>
              <w:rPr>
                <w:sz w:val="17"/>
              </w:rPr>
              <w:t>Details</w:t>
            </w:r>
          </w:p>
        </w:tc>
        <w:tc>
          <w:tcPr>
            <w:tcW w:type="dxa" w:w="2699"/>
          </w:tcPr>
          <w:p>
            <w:r>
              <w:rPr>
                <w:sz w:val="17"/>
              </w:rPr>
            </w:r>
            <w:r>
              <w:rPr>
                <w:sz w:val="17"/>
              </w:rPr>
              <w:t>A-40-XXX  /​  S-40-XXX  /​  M-40-XXX</w:t>
            </w:r>
          </w:p>
        </w:tc>
        <w:tc>
          <w:tcPr>
            <w:tcW w:type="dxa" w:w="3527"/>
          </w:tcPr>
          <w:p>
            <w:r>
              <w:rPr>
                <w:sz w:val="17"/>
              </w:rPr>
            </w:r>
            <w:r>
              <w:rPr>
                <w:sz w:val="17"/>
              </w:rPr>
              <w:t>Detail components, dims, notes, keynotes</w:t>
            </w:r>
          </w:p>
        </w:tc>
        <w:tc>
          <w:tcPr>
            <w:tcW w:type="dxa" w:w="3125"/>
          </w:tcPr>
          <w:p>
            <w:r>
              <w:rPr>
                <w:sz w:val="17"/>
              </w:rPr>
            </w:r>
            <w:r>
              <w:rPr>
                <w:sz w:val="17"/>
              </w:rPr>
              <w:t>Use DETAIL views only; drafting patterns per 4.5</w:t>
            </w:r>
          </w:p>
        </w:tc>
      </w:tr>
      <w:tr>
        <w:trPr>
          <w:cantSplit/>
        </w:trPr>
        <w:tc>
          <w:tcPr>
            <w:tcW w:type="dxa" w:w="1115"/>
          </w:tcPr>
          <w:p>
            <w:r>
              <w:rPr>
                <w:sz w:val="17"/>
              </w:rPr>
            </w:r>
            <w:r>
              <w:rPr>
                <w:sz w:val="17"/>
              </w:rPr>
              <w:t>Schedules</w:t>
            </w:r>
          </w:p>
        </w:tc>
        <w:tc>
          <w:tcPr>
            <w:tcW w:type="dxa" w:w="2699"/>
          </w:tcPr>
          <w:p>
            <w:r>
              <w:rPr>
                <w:sz w:val="17"/>
              </w:rPr>
            </w:r>
            <w:r>
              <w:rPr>
                <w:sz w:val="17"/>
              </w:rPr>
              <w:t>A-50-XXX  /​  M-50-XXX</w:t>
            </w:r>
          </w:p>
        </w:tc>
        <w:tc>
          <w:tcPr>
            <w:tcW w:type="dxa" w:w="3527"/>
          </w:tcPr>
          <w:p>
            <w:r>
              <w:rPr>
                <w:sz w:val="17"/>
              </w:rPr>
            </w:r>
            <w:r>
              <w:rPr>
                <w:sz w:val="17"/>
              </w:rPr>
              <w:t>Approved schedule fields, filters, legends if required</w:t>
            </w:r>
          </w:p>
        </w:tc>
        <w:tc>
          <w:tcPr>
            <w:tcW w:type="dxa" w:w="3125"/>
          </w:tcPr>
          <w:p>
            <w:r>
              <w:rPr>
                <w:sz w:val="17"/>
              </w:rPr>
            </w:r>
            <w:r>
              <w:rPr>
                <w:sz w:val="17"/>
              </w:rPr>
              <w:t>Schedules sourced from parameters per 3.2</w:t>
            </w:r>
          </w:p>
        </w:tc>
      </w:tr>
      <w:tr>
        <w:trPr>
          <w:cantSplit/>
        </w:trPr>
        <w:tc>
          <w:tcPr>
            <w:tcW w:type="dxa" w:w="1115"/>
          </w:tcPr>
          <w:p>
            <w:r>
              <w:rPr>
                <w:sz w:val="17"/>
              </w:rPr>
            </w:r>
            <w:r>
              <w:rPr>
                <w:sz w:val="17"/>
              </w:rPr>
              <w:t>General notes</w:t>
            </w:r>
          </w:p>
        </w:tc>
        <w:tc>
          <w:tcPr>
            <w:tcW w:type="dxa" w:w="2699"/>
          </w:tcPr>
          <w:p>
            <w:r>
              <w:rPr>
                <w:sz w:val="17"/>
              </w:rPr>
            </w:r>
            <w:r>
              <w:rPr>
                <w:sz w:val="17"/>
              </w:rPr>
              <w:t>A-01-001</w:t>
            </w:r>
          </w:p>
        </w:tc>
        <w:tc>
          <w:tcPr>
            <w:tcW w:type="dxa" w:w="3527"/>
          </w:tcPr>
          <w:p>
            <w:r>
              <w:rPr>
                <w:sz w:val="17"/>
              </w:rPr>
            </w:r>
            <w:r>
              <w:rPr>
                <w:sz w:val="17"/>
              </w:rPr>
              <w:t>Approved notes blocks, symbols, abbreviations</w:t>
            </w:r>
          </w:p>
        </w:tc>
        <w:tc>
          <w:tcPr>
            <w:tcW w:type="dxa" w:w="3125"/>
          </w:tcPr>
          <w:p>
            <w:r>
              <w:rPr>
                <w:sz w:val="17"/>
              </w:rPr>
            </w:r>
            <w:r>
              <w:rPr>
                <w:sz w:val="17"/>
              </w:rPr>
              <w:t>Linked to 4.15 Notes and 4.7 Symbols</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33"/>
        <w:gridCol w:w="2760"/>
        <w:gridCol w:w="1242"/>
        <w:gridCol w:w="2931"/>
      </w:tblGrid>
      <w:tr>
        <w:trPr>
          <w:cantSplit/>
          <w:tblHeader/>
        </w:trPr>
        <w:tc>
          <w:tcPr>
            <w:tcW w:type="dxa" w:w="3533"/>
            <w:shd w:val="clear" w:color="auto" w:fill="111113"/>
          </w:tcPr>
          <w:p>
            <w:r>
              <w:rPr>
                <w:b/>
                <w:color w:val="FFFFFF"/>
                <w:sz w:val="17"/>
              </w:rPr>
            </w:r>
            <w:r>
              <w:rPr>
                <w:b/>
                <w:color w:val="FFFFFF"/>
                <w:sz w:val="17"/>
              </w:rPr>
              <w:t>Acceptance criteria</w:t>
            </w:r>
          </w:p>
        </w:tc>
        <w:tc>
          <w:tcPr>
            <w:tcW w:type="dxa" w:w="2760"/>
            <w:shd w:val="clear" w:color="auto" w:fill="111113"/>
          </w:tcPr>
          <w:p>
            <w:r>
              <w:rPr>
                <w:b/>
                <w:color w:val="FFFFFF"/>
                <w:sz w:val="17"/>
              </w:rPr>
            </w:r>
            <w:r>
              <w:rPr>
                <w:b/>
                <w:color w:val="FFFFFF"/>
                <w:sz w:val="17"/>
              </w:rPr>
              <w:t>Quality checks</w:t>
            </w:r>
          </w:p>
        </w:tc>
        <w:tc>
          <w:tcPr>
            <w:tcW w:type="dxa" w:w="1242"/>
            <w:shd w:val="clear" w:color="auto" w:fill="111113"/>
          </w:tcPr>
          <w:p>
            <w:r>
              <w:rPr>
                <w:b/>
                <w:color w:val="FFFFFF"/>
                <w:sz w:val="17"/>
              </w:rPr>
            </w:r>
            <w:r>
              <w:rPr>
                <w:b/>
                <w:color w:val="FFFFFF"/>
                <w:sz w:val="17"/>
              </w:rPr>
              <w:t>Owner</w:t>
            </w:r>
          </w:p>
        </w:tc>
        <w:tc>
          <w:tcPr>
            <w:tcW w:type="dxa" w:w="2931"/>
            <w:shd w:val="clear" w:color="auto" w:fill="111113"/>
          </w:tcPr>
          <w:p>
            <w:r>
              <w:rPr>
                <w:b/>
                <w:color w:val="FFFFFF"/>
                <w:sz w:val="17"/>
              </w:rPr>
            </w:r>
            <w:r>
              <w:rPr>
                <w:b/>
                <w:color w:val="FFFFFF"/>
                <w:sz w:val="17"/>
              </w:rPr>
              <w:t>Edit criteria</w:t>
            </w:r>
          </w:p>
        </w:tc>
      </w:tr>
      <w:tr>
        <w:trPr>
          <w:cantSplit/>
        </w:trPr>
        <w:tc>
          <w:tcPr>
            <w:tcW w:type="dxa" w:w="3533"/>
          </w:tcPr>
          <w:p>
            <w:r>
              <w:rPr>
                <w:sz w:val="17"/>
              </w:rPr>
            </w:r>
            <w:r>
              <w:rPr>
                <w:sz w:val="17"/>
              </w:rPr>
              <w:t>Correct title block family for sheet size (A0/​A1/​A2/​A3)</w:t>
            </w:r>
          </w:p>
        </w:tc>
        <w:tc>
          <w:tcPr>
            <w:tcW w:type="dxa" w:w="2760"/>
          </w:tcPr>
          <w:p>
            <w:r>
              <w:rPr>
                <w:sz w:val="17"/>
              </w:rPr>
            </w:r>
            <w:r>
              <w:rPr>
                <w:sz w:val="17"/>
              </w:rPr>
              <w:t>Scan placed title block family names</w:t>
            </w:r>
          </w:p>
        </w:tc>
        <w:tc>
          <w:tcPr>
            <w:tcW w:type="dxa" w:w="1242"/>
          </w:tcPr>
          <w:p>
            <w:r>
              <w:rPr>
                <w:sz w:val="17"/>
              </w:rPr>
            </w:r>
            <w:r>
              <w:rPr>
                <w:sz w:val="17"/>
              </w:rPr>
              <w:t>Discipline Lead</w:t>
            </w:r>
          </w:p>
        </w:tc>
        <w:tc>
          <w:tcPr>
            <w:tcW w:type="dxa" w:w="2931"/>
          </w:tcPr>
          <w:p>
            <w:r>
              <w:rPr>
                <w:sz w:val="17"/>
              </w:rPr>
            </w:r>
            <w:r>
              <w:rPr>
                <w:sz w:val="17"/>
              </w:rPr>
              <w:t>Replace via template; no custom duplicates</w:t>
            </w:r>
          </w:p>
        </w:tc>
      </w:tr>
      <w:tr>
        <w:trPr>
          <w:cantSplit/>
        </w:trPr>
        <w:tc>
          <w:tcPr>
            <w:tcW w:type="dxa" w:w="3533"/>
          </w:tcPr>
          <w:p>
            <w:r>
              <w:rPr>
                <w:sz w:val="17"/>
              </w:rPr>
            </w:r>
            <w:r>
              <w:rPr>
                <w:sz w:val="17"/>
              </w:rPr>
              <w:t>All mandatory fields populated (4.10)</w:t>
            </w:r>
          </w:p>
        </w:tc>
        <w:tc>
          <w:tcPr>
            <w:tcW w:type="dxa" w:w="2760"/>
          </w:tcPr>
          <w:p>
            <w:r>
              <w:rPr>
                <w:sz w:val="17"/>
              </w:rPr>
            </w:r>
            <w:r>
              <w:rPr>
                <w:sz w:val="17"/>
              </w:rPr>
              <w:t>Automated title block parameter audit</w:t>
            </w:r>
          </w:p>
        </w:tc>
        <w:tc>
          <w:tcPr>
            <w:tcW w:type="dxa" w:w="1242"/>
          </w:tcPr>
          <w:p>
            <w:r>
              <w:rPr>
                <w:sz w:val="17"/>
              </w:rPr>
            </w:r>
            <w:r>
              <w:rPr>
                <w:sz w:val="17"/>
              </w:rPr>
              <w:t>QA-QC Lead</w:t>
            </w:r>
          </w:p>
        </w:tc>
        <w:tc>
          <w:tcPr>
            <w:tcW w:type="dxa" w:w="2931"/>
          </w:tcPr>
          <w:p>
            <w:r>
              <w:rPr>
                <w:sz w:val="17"/>
              </w:rPr>
            </w:r>
            <w:r>
              <w:rPr>
                <w:sz w:val="17"/>
              </w:rPr>
              <w:t>Backfill before issue; no placeholder text</w:t>
            </w:r>
          </w:p>
        </w:tc>
      </w:tr>
      <w:tr>
        <w:trPr>
          <w:cantSplit/>
        </w:trPr>
        <w:tc>
          <w:tcPr>
            <w:tcW w:type="dxa" w:w="3533"/>
          </w:tcPr>
          <w:p>
            <w:r>
              <w:rPr>
                <w:sz w:val="17"/>
              </w:rPr>
            </w:r>
            <w:r>
              <w:rPr>
                <w:sz w:val="17"/>
              </w:rPr>
              <w:t>Each sheet's Rnn matches its title block and the pack manifest</w:t>
            </w:r>
          </w:p>
        </w:tc>
        <w:tc>
          <w:tcPr>
            <w:tcW w:type="dxa" w:w="2760"/>
          </w:tcPr>
          <w:p>
            <w:r>
              <w:rPr>
                <w:sz w:val="17"/>
              </w:rPr>
            </w:r>
            <w:r>
              <w:rPr>
                <w:sz w:val="17"/>
              </w:rPr>
              <w:t>Compare sheet index and title block revision</w:t>
            </w:r>
          </w:p>
        </w:tc>
        <w:tc>
          <w:tcPr>
            <w:tcW w:type="dxa" w:w="1242"/>
          </w:tcPr>
          <w:p>
            <w:r>
              <w:rPr>
                <w:sz w:val="17"/>
              </w:rPr>
            </w:r>
            <w:r>
              <w:rPr>
                <w:sz w:val="17"/>
              </w:rPr>
              <w:t>Information Manager</w:t>
            </w:r>
          </w:p>
        </w:tc>
        <w:tc>
          <w:tcPr>
            <w:tcW w:type="dxa" w:w="2931"/>
          </w:tcPr>
          <w:p>
            <w:r>
              <w:rPr>
                <w:sz w:val="17"/>
              </w:rPr>
            </w:r>
            <w:r>
              <w:rPr>
                <w:sz w:val="17"/>
              </w:rPr>
              <w:t>Revise only via approved issue workflow</w:t>
            </w:r>
          </w:p>
        </w:tc>
      </w:tr>
      <w:tr>
        <w:trPr>
          <w:cantSplit/>
        </w:trPr>
        <w:tc>
          <w:tcPr>
            <w:tcW w:type="dxa" w:w="3533"/>
          </w:tcPr>
          <w:p>
            <w:r>
              <w:rPr>
                <w:sz w:val="17"/>
              </w:rPr>
            </w:r>
            <w:r>
              <w:rPr>
                <w:sz w:val="17"/>
              </w:rPr>
              <w:t>No manual geometry edits to title blocks</w:t>
            </w:r>
          </w:p>
        </w:tc>
        <w:tc>
          <w:tcPr>
            <w:tcW w:type="dxa" w:w="2760"/>
          </w:tcPr>
          <w:p>
            <w:r>
              <w:rPr>
                <w:sz w:val="17"/>
              </w:rPr>
            </w:r>
            <w:r>
              <w:rPr>
                <w:sz w:val="17"/>
              </w:rPr>
              <w:t>Family lock status and instance checks</w:t>
            </w:r>
          </w:p>
        </w:tc>
        <w:tc>
          <w:tcPr>
            <w:tcW w:type="dxa" w:w="1242"/>
          </w:tcPr>
          <w:p>
            <w:r>
              <w:rPr>
                <w:sz w:val="17"/>
              </w:rPr>
            </w:r>
            <w:r>
              <w:rPr>
                <w:sz w:val="17"/>
              </w:rPr>
              <w:t>QA-QC Lead</w:t>
            </w:r>
          </w:p>
        </w:tc>
        <w:tc>
          <w:tcPr>
            <w:tcW w:type="dxa" w:w="2931"/>
          </w:tcPr>
          <w:p>
            <w:r>
              <w:rPr>
                <w:sz w:val="17"/>
              </w:rPr>
            </w:r>
            <w:r>
              <w:rPr>
                <w:sz w:val="17"/>
              </w:rPr>
              <w:t>Fix in family; avoid per-sheet tweaks</w:t>
            </w:r>
          </w:p>
        </w:tc>
      </w:tr>
      <w:tr>
        <w:trPr>
          <w:cantSplit/>
        </w:trPr>
        <w:tc>
          <w:tcPr>
            <w:tcW w:type="dxa" w:w="3533"/>
          </w:tcPr>
          <w:p>
            <w:r>
              <w:rPr>
                <w:sz w:val="17"/>
              </w:rPr>
            </w:r>
            <w:r>
              <w:rPr>
                <w:sz w:val="17"/>
              </w:rPr>
              <w:t>Only approved issue views and recorded exceptions placed on sheets</w:t>
            </w:r>
          </w:p>
        </w:tc>
        <w:tc>
          <w:tcPr>
            <w:tcW w:type="dxa" w:w="2760"/>
          </w:tcPr>
          <w:p>
            <w:r>
              <w:rPr>
                <w:sz w:val="17"/>
              </w:rPr>
            </w:r>
            <w:r>
              <w:rPr>
                <w:sz w:val="17"/>
              </w:rPr>
              <w:t>Browser path check for placed views</w:t>
            </w:r>
          </w:p>
        </w:tc>
        <w:tc>
          <w:tcPr>
            <w:tcW w:type="dxa" w:w="1242"/>
          </w:tcPr>
          <w:p>
            <w:r>
              <w:rPr>
                <w:sz w:val="17"/>
              </w:rPr>
            </w:r>
            <w:r>
              <w:rPr>
                <w:sz w:val="17"/>
              </w:rPr>
              <w:t>BIM Coordinator</w:t>
            </w:r>
          </w:p>
        </w:tc>
        <w:tc>
          <w:tcPr>
            <w:tcW w:type="dxa" w:w="2931"/>
          </w:tcPr>
          <w:p>
            <w:r>
              <w:rPr>
                <w:sz w:val="17"/>
              </w:rPr>
            </w:r>
            <w:r>
              <w:rPr>
                <w:sz w:val="17"/>
              </w:rPr>
              <w:t>Reassign views; COORD views forbidden on sheets</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78"/>
        <w:gridCol w:w="1818"/>
        <w:gridCol w:w="3825"/>
        <w:gridCol w:w="3444"/>
      </w:tblGrid>
      <w:tr>
        <w:trPr>
          <w:cantSplit/>
          <w:tblHeader/>
        </w:trPr>
        <w:tc>
          <w:tcPr>
            <w:tcW w:type="dxa" w:w="1378"/>
            <w:shd w:val="clear" w:color="auto" w:fill="111113"/>
          </w:tcPr>
          <w:p>
            <w:r>
              <w:rPr>
                <w:b/>
                <w:color w:val="FFFFFF"/>
                <w:sz w:val="17"/>
              </w:rPr>
            </w:r>
            <w:r>
              <w:rPr>
                <w:b/>
                <w:color w:val="FFFFFF"/>
                <w:sz w:val="17"/>
              </w:rPr>
              <w:t>Discipline</w:t>
            </w:r>
          </w:p>
        </w:tc>
        <w:tc>
          <w:tcPr>
            <w:tcW w:type="dxa" w:w="1818"/>
            <w:shd w:val="clear" w:color="auto" w:fill="111113"/>
          </w:tcPr>
          <w:p>
            <w:r>
              <w:rPr>
                <w:b/>
                <w:color w:val="FFFFFF"/>
                <w:sz w:val="17"/>
              </w:rPr>
            </w:r>
            <w:r>
              <w:rPr>
                <w:b/>
                <w:color w:val="FFFFFF"/>
                <w:sz w:val="17"/>
              </w:rPr>
              <w:t>Sheet number</w:t>
            </w:r>
          </w:p>
        </w:tc>
        <w:tc>
          <w:tcPr>
            <w:tcW w:type="dxa" w:w="3825"/>
            <w:shd w:val="clear" w:color="auto" w:fill="111113"/>
          </w:tcPr>
          <w:p>
            <w:r>
              <w:rPr>
                <w:b/>
                <w:color w:val="FFFFFF"/>
                <w:sz w:val="17"/>
              </w:rPr>
            </w:r>
            <w:r>
              <w:rPr>
                <w:b/>
                <w:color w:val="FFFFFF"/>
                <w:sz w:val="17"/>
              </w:rPr>
              <w:t>Sheet title</w:t>
            </w:r>
          </w:p>
        </w:tc>
        <w:tc>
          <w:tcPr>
            <w:tcW w:type="dxa" w:w="3444"/>
            <w:shd w:val="clear" w:color="auto" w:fill="111113"/>
          </w:tcPr>
          <w:p>
            <w:r>
              <w:rPr>
                <w:b/>
                <w:color w:val="FFFFFF"/>
                <w:sz w:val="17"/>
              </w:rPr>
            </w:r>
            <w:r>
              <w:rPr>
                <w:b/>
                <w:color w:val="FFFFFF"/>
                <w:sz w:val="17"/>
              </w:rPr>
              <w:t>Primary view</w:t>
            </w:r>
          </w:p>
        </w:tc>
      </w:tr>
      <w:tr>
        <w:trPr>
          <w:cantSplit/>
        </w:trPr>
        <w:tc>
          <w:tcPr>
            <w:tcW w:type="dxa" w:w="1378"/>
          </w:tcPr>
          <w:p>
            <w:r>
              <w:rPr>
                <w:sz w:val="17"/>
              </w:rPr>
            </w:r>
            <w:r>
              <w:rPr>
                <w:sz w:val="17"/>
              </w:rPr>
              <w:t>ARC</w:t>
            </w:r>
          </w:p>
        </w:tc>
        <w:tc>
          <w:tcPr>
            <w:tcW w:type="dxa" w:w="1818"/>
          </w:tcPr>
          <w:p>
            <w:r>
              <w:rPr>
                <w:sz w:val="17"/>
              </w:rPr>
            </w:r>
            <w:r>
              <w:rPr>
                <w:sz w:val="17"/>
              </w:rPr>
              <w:t>A-10-101</w:t>
            </w:r>
          </w:p>
        </w:tc>
        <w:tc>
          <w:tcPr>
            <w:tcW w:type="dxa" w:w="3825"/>
          </w:tcPr>
          <w:p>
            <w:r>
              <w:rPr>
                <w:sz w:val="17"/>
              </w:rPr>
            </w:r>
            <w:r>
              <w:rPr>
                <w:sz w:val="17"/>
              </w:rPr>
              <w:t>Level 01 — General Arrangement Plan</w:t>
            </w:r>
          </w:p>
        </w:tc>
        <w:tc>
          <w:tcPr>
            <w:tcW w:type="dxa" w:w="3444"/>
          </w:tcPr>
          <w:p>
            <w:r>
              <w:rPr>
                <w:sz w:val="17"/>
              </w:rPr>
            </w:r>
            <w:r>
              <w:rPr>
                <w:sz w:val="17"/>
              </w:rPr>
              <w:t>ARC-L01-PLAN-Layouts</w:t>
            </w:r>
          </w:p>
        </w:tc>
      </w:tr>
      <w:tr>
        <w:trPr>
          <w:cantSplit/>
        </w:trPr>
        <w:tc>
          <w:tcPr>
            <w:tcW w:type="dxa" w:w="1378"/>
          </w:tcPr>
          <w:p>
            <w:r>
              <w:rPr>
                <w:sz w:val="17"/>
              </w:rPr>
            </w:r>
            <w:r>
              <w:rPr>
                <w:sz w:val="17"/>
              </w:rPr>
              <w:t>STR</w:t>
            </w:r>
          </w:p>
        </w:tc>
        <w:tc>
          <w:tcPr>
            <w:tcW w:type="dxa" w:w="1818"/>
          </w:tcPr>
          <w:p>
            <w:r>
              <w:rPr>
                <w:sz w:val="17"/>
              </w:rPr>
            </w:r>
            <w:r>
              <w:rPr>
                <w:sz w:val="17"/>
              </w:rPr>
              <w:t>S-20-201</w:t>
            </w:r>
          </w:p>
        </w:tc>
        <w:tc>
          <w:tcPr>
            <w:tcW w:type="dxa" w:w="3825"/>
          </w:tcPr>
          <w:p>
            <w:r>
              <w:rPr>
                <w:sz w:val="17"/>
              </w:rPr>
            </w:r>
            <w:r>
              <w:rPr>
                <w:sz w:val="17"/>
              </w:rPr>
              <w:t>Section — Core Wall at Grid B</w:t>
            </w:r>
          </w:p>
        </w:tc>
        <w:tc>
          <w:tcPr>
            <w:tcW w:type="dxa" w:w="3444"/>
          </w:tcPr>
          <w:p>
            <w:r>
              <w:rPr>
                <w:sz w:val="17"/>
              </w:rPr>
            </w:r>
            <w:r>
              <w:rPr>
                <w:sz w:val="17"/>
              </w:rPr>
              <w:t>STR-ALL-SECTION-Framing</w:t>
            </w:r>
          </w:p>
        </w:tc>
      </w:tr>
      <w:tr>
        <w:trPr>
          <w:cantSplit/>
        </w:trPr>
        <w:tc>
          <w:tcPr>
            <w:tcW w:type="dxa" w:w="1378"/>
          </w:tcPr>
          <w:p>
            <w:r>
              <w:rPr>
                <w:sz w:val="17"/>
              </w:rPr>
            </w:r>
            <w:r>
              <w:rPr>
                <w:sz w:val="17"/>
              </w:rPr>
              <w:t>MEC</w:t>
            </w:r>
          </w:p>
        </w:tc>
        <w:tc>
          <w:tcPr>
            <w:tcW w:type="dxa" w:w="1818"/>
          </w:tcPr>
          <w:p>
            <w:r>
              <w:rPr>
                <w:sz w:val="17"/>
              </w:rPr>
            </w:r>
            <w:r>
              <w:rPr>
                <w:sz w:val="17"/>
              </w:rPr>
              <w:t>M-50-501</w:t>
            </w:r>
          </w:p>
        </w:tc>
        <w:tc>
          <w:tcPr>
            <w:tcW w:type="dxa" w:w="3825"/>
          </w:tcPr>
          <w:p>
            <w:r>
              <w:rPr>
                <w:sz w:val="17"/>
              </w:rPr>
            </w:r>
            <w:r>
              <w:rPr>
                <w:sz w:val="17"/>
              </w:rPr>
              <w:t>Mechanical Equipment Schedule</w:t>
            </w:r>
          </w:p>
        </w:tc>
        <w:tc>
          <w:tcPr>
            <w:tcW w:type="dxa" w:w="3444"/>
          </w:tcPr>
          <w:p>
            <w:r>
              <w:rPr>
                <w:sz w:val="17"/>
              </w:rPr>
            </w:r>
            <w:r>
              <w:rPr>
                <w:sz w:val="17"/>
              </w:rPr>
              <w:t>MEC-ALL-SCHEDULE-Equipment</w:t>
            </w:r>
          </w:p>
        </w:tc>
      </w:tr>
    </w:tbl>
    <w:p/>
    <w:p>
      <w:pPr>
        <w:pStyle w:val="Heading3"/>
      </w:pPr>
      <w:r>
        <w:t>Placement rules</w:t>
      </w:r>
    </w:p>
    <w:p>
      <w:pPr/>
      <w:r>
        <w:t>One primary view per sheet except schedules-only sheets.</w:t>
      </w:r>
    </w:p>
    <w:p>
      <w:pPr/>
      <w:r>
        <w:t>Key plans required on plans and elevations; scale noted per 4.3 Text.</w:t>
      </w:r>
    </w:p>
    <w:p>
      <w:pPr/>
      <w:r>
        <w:t>Legends reused from 4.14; no duplicated one-off legends.</w:t>
      </w:r>
    </w:p>
    <w:p>
      <w:pPr/>
      <w:r>
        <w:t>Start View is never placed on sheets (see 4.9).</w:t>
      </w:r>
    </w:p>
    <w:p>
      <w:pPr/>
      <w:r>
        <w:t>Only approved annotation symbols (4.7) and arrowheads (4.6) allowed.</w:t>
      </w:r>
    </w:p>
    <w:p>
      <w:pPr>
        <w:pStyle w:val="Heading2"/>
      </w:pPr>
      <w:r>
        <w:t>4.12 VIEW TEMPLATES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90"/>
        <w:gridCol w:w="1218"/>
        <w:gridCol w:w="1231"/>
        <w:gridCol w:w="6328"/>
      </w:tblGrid>
      <w:tr>
        <w:trPr>
          <w:cantSplit/>
          <w:tblHeader/>
        </w:trPr>
        <w:tc>
          <w:tcPr>
            <w:tcW w:type="dxa" w:w="1690"/>
            <w:shd w:val="clear" w:color="auto" w:fill="111113"/>
          </w:tcPr>
          <w:p>
            <w:r>
              <w:rPr>
                <w:b/>
                <w:color w:val="FFFFFF"/>
                <w:sz w:val="17"/>
              </w:rPr>
            </w:r>
            <w:r>
              <w:rPr>
                <w:b/>
                <w:color w:val="FFFFFF"/>
                <w:sz w:val="17"/>
              </w:rPr>
              <w:t>TEMPLATE NAME</w:t>
            </w:r>
          </w:p>
        </w:tc>
        <w:tc>
          <w:tcPr>
            <w:tcW w:type="dxa" w:w="1218"/>
            <w:shd w:val="clear" w:color="auto" w:fill="111113"/>
          </w:tcPr>
          <w:p>
            <w:r>
              <w:rPr>
                <w:b/>
                <w:color w:val="FFFFFF"/>
                <w:sz w:val="17"/>
              </w:rPr>
            </w:r>
            <w:r>
              <w:rPr>
                <w:b/>
                <w:color w:val="FFFFFF"/>
                <w:sz w:val="17"/>
              </w:rPr>
              <w:t>VIEW TYPE</w:t>
            </w:r>
          </w:p>
        </w:tc>
        <w:tc>
          <w:tcPr>
            <w:tcW w:type="dxa" w:w="1231"/>
            <w:shd w:val="clear" w:color="auto" w:fill="111113"/>
          </w:tcPr>
          <w:p>
            <w:r>
              <w:rPr>
                <w:b/>
                <w:color w:val="FFFFFF"/>
                <w:sz w:val="17"/>
              </w:rPr>
            </w:r>
            <w:r>
              <w:rPr>
                <w:b/>
                <w:color w:val="FFFFFF"/>
                <w:sz w:val="17"/>
              </w:rPr>
              <w:t>PURPOSE</w:t>
            </w:r>
          </w:p>
        </w:tc>
        <w:tc>
          <w:tcPr>
            <w:tcW w:type="dxa" w:w="6328"/>
            <w:shd w:val="clear" w:color="auto" w:fill="111113"/>
          </w:tcPr>
          <w:p>
            <w:r>
              <w:rPr>
                <w:b/>
                <w:color w:val="FFFFFF"/>
                <w:sz w:val="17"/>
              </w:rPr>
            </w:r>
            <w:r>
              <w:rPr>
                <w:b/>
                <w:color w:val="FFFFFF"/>
                <w:sz w:val="17"/>
              </w:rPr>
              <w:t>KEY SETTINGS</w:t>
            </w:r>
          </w:p>
        </w:tc>
      </w:tr>
      <w:tr>
        <w:trPr>
          <w:cantSplit/>
        </w:trPr>
        <w:tc>
          <w:tcPr>
            <w:tcW w:type="dxa" w:w="1690"/>
          </w:tcPr>
          <w:p>
            <w:r>
              <w:rPr>
                <w:sz w:val="17"/>
              </w:rPr>
            </w:r>
            <w:r>
              <w:rPr>
                <w:sz w:val="17"/>
              </w:rPr>
              <w:t>DOC - Plan 1-100</w:t>
            </w:r>
          </w:p>
        </w:tc>
        <w:tc>
          <w:tcPr>
            <w:tcW w:type="dxa" w:w="1218"/>
          </w:tcPr>
          <w:p>
            <w:r>
              <w:rPr>
                <w:sz w:val="17"/>
              </w:rPr>
            </w:r>
            <w:r>
              <w:rPr>
                <w:sz w:val="17"/>
              </w:rPr>
              <w:t>Floor Plan</w:t>
            </w:r>
          </w:p>
        </w:tc>
        <w:tc>
          <w:tcPr>
            <w:tcW w:type="dxa" w:w="1231"/>
          </w:tcPr>
          <w:p>
            <w:r>
              <w:rPr>
                <w:sz w:val="17"/>
              </w:rPr>
            </w:r>
            <w:r>
              <w:rPr>
                <w:sz w:val="17"/>
              </w:rPr>
              <w:t>Sheet production</w:t>
            </w:r>
          </w:p>
        </w:tc>
        <w:tc>
          <w:tcPr>
            <w:tcW w:type="dxa" w:w="6328"/>
          </w:tcPr>
          <w:p>
            <w:r>
              <w:rPr>
                <w:sz w:val="17"/>
              </w:rPr>
            </w:r>
            <w:r>
              <w:rPr>
                <w:sz w:val="17"/>
              </w:rPr>
              <w:t>Graphics per 4.1/​4.2. Text heights per 4.3. Tags on. Halftone links. Section/​elevation markers on. Scale 1:100</w:t>
            </w:r>
          </w:p>
        </w:tc>
      </w:tr>
      <w:tr>
        <w:trPr>
          <w:cantSplit/>
        </w:trPr>
        <w:tc>
          <w:tcPr>
            <w:tcW w:type="dxa" w:w="1690"/>
          </w:tcPr>
          <w:p>
            <w:r>
              <w:rPr>
                <w:sz w:val="17"/>
              </w:rPr>
            </w:r>
            <w:r>
              <w:rPr>
                <w:sz w:val="17"/>
              </w:rPr>
              <w:t>DOC - Section</w:t>
            </w:r>
          </w:p>
        </w:tc>
        <w:tc>
          <w:tcPr>
            <w:tcW w:type="dxa" w:w="1218"/>
          </w:tcPr>
          <w:p>
            <w:r>
              <w:rPr>
                <w:sz w:val="17"/>
              </w:rPr>
            </w:r>
            <w:r>
              <w:rPr>
                <w:sz w:val="17"/>
              </w:rPr>
              <w:t>Section</w:t>
            </w:r>
          </w:p>
        </w:tc>
        <w:tc>
          <w:tcPr>
            <w:tcW w:type="dxa" w:w="1231"/>
          </w:tcPr>
          <w:p>
            <w:r>
              <w:rPr>
                <w:sz w:val="17"/>
              </w:rPr>
            </w:r>
            <w:r>
              <w:rPr>
                <w:sz w:val="17"/>
              </w:rPr>
              <w:t>Sheet production</w:t>
            </w:r>
          </w:p>
        </w:tc>
        <w:tc>
          <w:tcPr>
            <w:tcW w:type="dxa" w:w="6328"/>
          </w:tcPr>
          <w:p>
            <w:r>
              <w:rPr>
                <w:sz w:val="17"/>
              </w:rPr>
            </w:r>
            <w:r>
              <w:rPr>
                <w:sz w:val="17"/>
              </w:rPr>
              <w:t>Cut patterns per 4.5. Line weights per 4.1. Reference tags on. Depth cue off. Scale 1:50 or 1:100</w:t>
            </w:r>
          </w:p>
        </w:tc>
      </w:tr>
      <w:tr>
        <w:trPr>
          <w:cantSplit/>
        </w:trPr>
        <w:tc>
          <w:tcPr>
            <w:tcW w:type="dxa" w:w="1690"/>
          </w:tcPr>
          <w:p>
            <w:r>
              <w:rPr>
                <w:sz w:val="17"/>
              </w:rPr>
            </w:r>
            <w:r>
              <w:rPr>
                <w:sz w:val="17"/>
              </w:rPr>
              <w:t>DOC - Elevation</w:t>
            </w:r>
          </w:p>
        </w:tc>
        <w:tc>
          <w:tcPr>
            <w:tcW w:type="dxa" w:w="1218"/>
          </w:tcPr>
          <w:p>
            <w:r>
              <w:rPr>
                <w:sz w:val="17"/>
              </w:rPr>
            </w:r>
            <w:r>
              <w:rPr>
                <w:sz w:val="17"/>
              </w:rPr>
              <w:t>Elevation</w:t>
            </w:r>
          </w:p>
        </w:tc>
        <w:tc>
          <w:tcPr>
            <w:tcW w:type="dxa" w:w="1231"/>
          </w:tcPr>
          <w:p>
            <w:r>
              <w:rPr>
                <w:sz w:val="17"/>
              </w:rPr>
            </w:r>
            <w:r>
              <w:rPr>
                <w:sz w:val="17"/>
              </w:rPr>
              <w:t>Sheet production</w:t>
            </w:r>
          </w:p>
        </w:tc>
        <w:tc>
          <w:tcPr>
            <w:tcW w:type="dxa" w:w="6328"/>
          </w:tcPr>
          <w:p>
            <w:r>
              <w:rPr>
                <w:sz w:val="17"/>
              </w:rPr>
            </w:r>
            <w:r>
              <w:rPr>
                <w:sz w:val="17"/>
              </w:rPr>
              <w:t>Object styles per 4.2. Pattern display per 4.5. Key plans on via legend. Scale noted per sheet</w:t>
            </w:r>
          </w:p>
        </w:tc>
      </w:tr>
      <w:tr>
        <w:trPr>
          <w:cantSplit/>
        </w:trPr>
        <w:tc>
          <w:tcPr>
            <w:tcW w:type="dxa" w:w="1690"/>
          </w:tcPr>
          <w:p>
            <w:r>
              <w:rPr>
                <w:sz w:val="17"/>
              </w:rPr>
            </w:r>
            <w:r>
              <w:rPr>
                <w:sz w:val="17"/>
              </w:rPr>
              <w:t>DETAIL - 1-5 /​ 1-10</w:t>
            </w:r>
          </w:p>
        </w:tc>
        <w:tc>
          <w:tcPr>
            <w:tcW w:type="dxa" w:w="1218"/>
          </w:tcPr>
          <w:p>
            <w:r>
              <w:rPr>
                <w:sz w:val="17"/>
              </w:rPr>
            </w:r>
            <w:r>
              <w:rPr>
                <w:sz w:val="17"/>
              </w:rPr>
              <w:t>Drafting View</w:t>
            </w:r>
          </w:p>
        </w:tc>
        <w:tc>
          <w:tcPr>
            <w:tcW w:type="dxa" w:w="1231"/>
          </w:tcPr>
          <w:p>
            <w:r>
              <w:rPr>
                <w:sz w:val="17"/>
              </w:rPr>
            </w:r>
            <w:r>
              <w:rPr>
                <w:sz w:val="17"/>
              </w:rPr>
              <w:t>Details</w:t>
            </w:r>
          </w:p>
        </w:tc>
        <w:tc>
          <w:tcPr>
            <w:tcW w:type="dxa" w:w="6328"/>
          </w:tcPr>
          <w:p>
            <w:r>
              <w:rPr>
                <w:sz w:val="17"/>
              </w:rPr>
            </w:r>
            <w:r>
              <w:rPr>
                <w:sz w:val="17"/>
              </w:rPr>
              <w:t>Drafting patterns only. Text and dims per 4.3/​4.4. No model categories visible</w:t>
            </w:r>
          </w:p>
        </w:tc>
      </w:tr>
      <w:tr>
        <w:trPr>
          <w:cantSplit/>
        </w:trPr>
        <w:tc>
          <w:tcPr>
            <w:tcW w:type="dxa" w:w="1690"/>
          </w:tcPr>
          <w:p>
            <w:r>
              <w:rPr>
                <w:sz w:val="17"/>
              </w:rPr>
            </w:r>
            <w:r>
              <w:rPr>
                <w:sz w:val="17"/>
              </w:rPr>
              <w:t>COORD - 3D Clash</w:t>
            </w:r>
          </w:p>
        </w:tc>
        <w:tc>
          <w:tcPr>
            <w:tcW w:type="dxa" w:w="1218"/>
          </w:tcPr>
          <w:p>
            <w:r>
              <w:rPr>
                <w:sz w:val="17"/>
              </w:rPr>
            </w:r>
            <w:r>
              <w:rPr>
                <w:sz w:val="17"/>
              </w:rPr>
              <w:t>3D View</w:t>
            </w:r>
          </w:p>
        </w:tc>
        <w:tc>
          <w:tcPr>
            <w:tcW w:type="dxa" w:w="1231"/>
          </w:tcPr>
          <w:p>
            <w:r>
              <w:rPr>
                <w:sz w:val="17"/>
              </w:rPr>
            </w:r>
            <w:r>
              <w:rPr>
                <w:sz w:val="17"/>
              </w:rPr>
              <w:t>Coordination</w:t>
            </w:r>
          </w:p>
        </w:tc>
        <w:tc>
          <w:tcPr>
            <w:tcW w:type="dxa" w:w="6328"/>
          </w:tcPr>
          <w:p>
            <w:r>
              <w:rPr>
                <w:sz w:val="17"/>
              </w:rPr>
            </w:r>
            <w:r>
              <w:rPr>
                <w:sz w:val="17"/>
              </w:rPr>
              <w:t>Section box on. Links by discipline visible. Categories simplified. Colors by system where applicable</w:t>
            </w:r>
          </w:p>
        </w:tc>
      </w:tr>
      <w:tr>
        <w:trPr>
          <w:cantSplit/>
        </w:trPr>
        <w:tc>
          <w:tcPr>
            <w:tcW w:type="dxa" w:w="1690"/>
          </w:tcPr>
          <w:p>
            <w:r>
              <w:rPr>
                <w:sz w:val="17"/>
              </w:rPr>
            </w:r>
            <w:r>
              <w:rPr>
                <w:sz w:val="17"/>
              </w:rPr>
              <w:t>QA - Audit</w:t>
            </w:r>
          </w:p>
        </w:tc>
        <w:tc>
          <w:tcPr>
            <w:tcW w:type="dxa" w:w="1218"/>
          </w:tcPr>
          <w:p>
            <w:r>
              <w:rPr>
                <w:sz w:val="17"/>
              </w:rPr>
            </w:r>
            <w:r>
              <w:rPr>
                <w:sz w:val="17"/>
              </w:rPr>
              <w:t>Schedule + 2D</w:t>
            </w:r>
          </w:p>
        </w:tc>
        <w:tc>
          <w:tcPr>
            <w:tcW w:type="dxa" w:w="1231"/>
          </w:tcPr>
          <w:p>
            <w:r>
              <w:rPr>
                <w:sz w:val="17"/>
              </w:rPr>
            </w:r>
            <w:r>
              <w:rPr>
                <w:sz w:val="17"/>
              </w:rPr>
              <w:t>Model checks</w:t>
            </w:r>
          </w:p>
        </w:tc>
        <w:tc>
          <w:tcPr>
            <w:tcW w:type="dxa" w:w="6328"/>
          </w:tcPr>
          <w:p>
            <w:r>
              <w:rPr>
                <w:sz w:val="17"/>
              </w:rPr>
            </w:r>
            <w:r>
              <w:rPr>
                <w:sz w:val="17"/>
              </w:rPr>
              <w:t>Schedules for warnings, Workset1, link status. Plain graphics. No annotations</w:t>
            </w:r>
          </w:p>
        </w:tc>
      </w:tr>
      <w:tr>
        <w:trPr>
          <w:cantSplit/>
        </w:trPr>
        <w:tc>
          <w:tcPr>
            <w:tcW w:type="dxa" w:w="1690"/>
          </w:tcPr>
          <w:p>
            <w:r>
              <w:rPr>
                <w:sz w:val="17"/>
              </w:rPr>
            </w:r>
            <w:r>
              <w:rPr>
                <w:sz w:val="17"/>
              </w:rPr>
              <w:t>SHT-PREP - Parent</w:t>
            </w:r>
          </w:p>
        </w:tc>
        <w:tc>
          <w:tcPr>
            <w:tcW w:type="dxa" w:w="1218"/>
          </w:tcPr>
          <w:p>
            <w:r>
              <w:rPr>
                <w:sz w:val="17"/>
              </w:rPr>
            </w:r>
            <w:r>
              <w:rPr>
                <w:sz w:val="17"/>
              </w:rPr>
              <w:t>Any</w:t>
            </w:r>
          </w:p>
        </w:tc>
        <w:tc>
          <w:tcPr>
            <w:tcW w:type="dxa" w:w="1231"/>
          </w:tcPr>
          <w:p>
            <w:r>
              <w:rPr>
                <w:sz w:val="17"/>
              </w:rPr>
            </w:r>
            <w:r>
              <w:rPr>
                <w:sz w:val="17"/>
              </w:rPr>
              <w:t>Sheet prep</w:t>
            </w:r>
          </w:p>
        </w:tc>
        <w:tc>
          <w:tcPr>
            <w:tcW w:type="dxa" w:w="6328"/>
          </w:tcPr>
          <w:p>
            <w:r>
              <w:rPr>
                <w:sz w:val="17"/>
              </w:rPr>
            </w:r>
            <w:r>
              <w:rPr>
                <w:sz w:val="17"/>
              </w:rPr>
              <w:t>Annotations on. Reference tags controlled. Matchline type set per 4.1/​4.6</w:t>
            </w:r>
          </w:p>
        </w:tc>
      </w:tr>
    </w:tbl>
    <w:p/>
    <w:p>
      <w:pPr>
        <w:pStyle w:val="Heading3"/>
      </w:pPr>
      <w:r>
        <w:t>Locking and governance</w:t>
      </w:r>
    </w:p>
    <w:p>
      <w:pPr/>
      <w:r>
        <w:t>All issue views must use a locked template. No per-view overrides at issue.</w:t>
      </w:r>
    </w:p>
    <w:p>
      <w:pPr/>
      <w:r>
        <w:t>Template names are canonical. Do not duplicate with variant spellings. View, view-template and filter names never contain ":" (Revit rejects it); use " - " as separator and write scales as 1-100 (</w:t>
      </w:r>
      <w:r>
        <w:rPr>
          <w:color w:val="9A7B45"/>
          <w:u w:val="single"/>
        </w:rPr>
        <w:t>O-DEC-143</w:t>
      </w:r>
      <w:r>
        <w:t>).</w:t>
      </w:r>
    </w:p>
    <w:p>
      <w:pPr/>
      <w:r>
        <w:t>Changes to office templates are proposed by the BIM Manager and approved by the office director (O-DEC-012); project-local template changes are approved by the Information Manager. Log in 1.1 and archive in 04-ARCHIVE/01-STANDARD-UPDATES.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43"/>
        <w:gridCol w:w="2559"/>
        <w:gridCol w:w="1343"/>
        <w:gridCol w:w="3221"/>
      </w:tblGrid>
      <w:tr>
        <w:trPr>
          <w:cantSplit/>
          <w:tblHeader/>
        </w:trPr>
        <w:tc>
          <w:tcPr>
            <w:tcW w:type="dxa" w:w="3343"/>
            <w:shd w:val="clear" w:color="auto" w:fill="111113"/>
          </w:tcPr>
          <w:p>
            <w:r>
              <w:rPr>
                <w:b/>
                <w:color w:val="FFFFFF"/>
                <w:sz w:val="17"/>
              </w:rPr>
            </w:r>
            <w:r>
              <w:rPr>
                <w:b/>
                <w:color w:val="FFFFFF"/>
                <w:sz w:val="17"/>
              </w:rPr>
              <w:t>Acceptance criteria</w:t>
            </w:r>
          </w:p>
        </w:tc>
        <w:tc>
          <w:tcPr>
            <w:tcW w:type="dxa" w:w="2559"/>
            <w:shd w:val="clear" w:color="auto" w:fill="111113"/>
          </w:tcPr>
          <w:p>
            <w:r>
              <w:rPr>
                <w:b/>
                <w:color w:val="FFFFFF"/>
                <w:sz w:val="17"/>
              </w:rPr>
            </w:r>
            <w:r>
              <w:rPr>
                <w:b/>
                <w:color w:val="FFFFFF"/>
                <w:sz w:val="17"/>
              </w:rPr>
              <w:t>Quality checks</w:t>
            </w:r>
          </w:p>
        </w:tc>
        <w:tc>
          <w:tcPr>
            <w:tcW w:type="dxa" w:w="1343"/>
            <w:shd w:val="clear" w:color="auto" w:fill="111113"/>
          </w:tcPr>
          <w:p>
            <w:r>
              <w:rPr>
                <w:b/>
                <w:color w:val="FFFFFF"/>
                <w:sz w:val="17"/>
              </w:rPr>
            </w:r>
            <w:r>
              <w:rPr>
                <w:b/>
                <w:color w:val="FFFFFF"/>
                <w:sz w:val="17"/>
              </w:rPr>
              <w:t>Owner</w:t>
            </w:r>
          </w:p>
        </w:tc>
        <w:tc>
          <w:tcPr>
            <w:tcW w:type="dxa" w:w="3221"/>
            <w:shd w:val="clear" w:color="auto" w:fill="111113"/>
          </w:tcPr>
          <w:p>
            <w:r>
              <w:rPr>
                <w:b/>
                <w:color w:val="FFFFFF"/>
                <w:sz w:val="17"/>
              </w:rPr>
            </w:r>
            <w:r>
              <w:rPr>
                <w:b/>
                <w:color w:val="FFFFFF"/>
                <w:sz w:val="17"/>
              </w:rPr>
              <w:t>Edit criteria</w:t>
            </w:r>
          </w:p>
        </w:tc>
      </w:tr>
      <w:tr>
        <w:trPr>
          <w:cantSplit/>
        </w:trPr>
        <w:tc>
          <w:tcPr>
            <w:tcW w:type="dxa" w:w="3343"/>
          </w:tcPr>
          <w:p>
            <w:r>
              <w:rPr>
                <w:sz w:val="17"/>
              </w:rPr>
            </w:r>
            <w:r>
              <w:rPr>
                <w:sz w:val="17"/>
              </w:rPr>
              <w:t>100% of issued views report a valid template</w:t>
            </w:r>
          </w:p>
        </w:tc>
        <w:tc>
          <w:tcPr>
            <w:tcW w:type="dxa" w:w="2559"/>
          </w:tcPr>
          <w:p>
            <w:r>
              <w:rPr>
                <w:sz w:val="17"/>
              </w:rPr>
            </w:r>
            <w:r>
              <w:rPr>
                <w:sz w:val="17"/>
              </w:rPr>
              <w:t>Template usage audit by view list</w:t>
            </w:r>
          </w:p>
        </w:tc>
        <w:tc>
          <w:tcPr>
            <w:tcW w:type="dxa" w:w="1343"/>
          </w:tcPr>
          <w:p>
            <w:r>
              <w:rPr>
                <w:sz w:val="17"/>
              </w:rPr>
            </w:r>
            <w:r>
              <w:rPr>
                <w:sz w:val="17"/>
              </w:rPr>
              <w:t>BIM Coordinator</w:t>
            </w:r>
          </w:p>
        </w:tc>
        <w:tc>
          <w:tcPr>
            <w:tcW w:type="dxa" w:w="3221"/>
          </w:tcPr>
          <w:p>
            <w:r>
              <w:rPr>
                <w:sz w:val="17"/>
              </w:rPr>
            </w:r>
            <w:r>
              <w:rPr>
                <w:sz w:val="17"/>
              </w:rPr>
              <w:t>Fix misassigned views before issue</w:t>
            </w:r>
          </w:p>
        </w:tc>
      </w:tr>
      <w:tr>
        <w:trPr>
          <w:cantSplit/>
        </w:trPr>
        <w:tc>
          <w:tcPr>
            <w:tcW w:type="dxa" w:w="3343"/>
          </w:tcPr>
          <w:p>
            <w:r>
              <w:rPr>
                <w:sz w:val="17"/>
              </w:rPr>
            </w:r>
            <w:r>
              <w:rPr>
                <w:sz w:val="17"/>
              </w:rPr>
              <w:t>No per-view graphic overrides at issue</w:t>
            </w:r>
          </w:p>
        </w:tc>
        <w:tc>
          <w:tcPr>
            <w:tcW w:type="dxa" w:w="2559"/>
          </w:tcPr>
          <w:p>
            <w:r>
              <w:rPr>
                <w:sz w:val="17"/>
              </w:rPr>
            </w:r>
            <w:r>
              <w:rPr>
                <w:sz w:val="17"/>
              </w:rPr>
              <w:t>Override scan on issued views</w:t>
            </w:r>
          </w:p>
        </w:tc>
        <w:tc>
          <w:tcPr>
            <w:tcW w:type="dxa" w:w="1343"/>
          </w:tcPr>
          <w:p>
            <w:r>
              <w:rPr>
                <w:sz w:val="17"/>
              </w:rPr>
            </w:r>
            <w:r>
              <w:rPr>
                <w:sz w:val="17"/>
              </w:rPr>
              <w:t>QA-QC Lead</w:t>
            </w:r>
          </w:p>
        </w:tc>
        <w:tc>
          <w:tcPr>
            <w:tcW w:type="dxa" w:w="3221"/>
          </w:tcPr>
          <w:p>
            <w:r>
              <w:rPr>
                <w:sz w:val="17"/>
              </w:rPr>
            </w:r>
            <w:r>
              <w:rPr>
                <w:sz w:val="17"/>
              </w:rPr>
              <w:t>Normalize in template; purge overrides</w:t>
            </w:r>
          </w:p>
        </w:tc>
      </w:tr>
      <w:tr>
        <w:trPr>
          <w:cantSplit/>
        </w:trPr>
        <w:tc>
          <w:tcPr>
            <w:tcW w:type="dxa" w:w="3343"/>
          </w:tcPr>
          <w:p>
            <w:r>
              <w:rPr>
                <w:sz w:val="17"/>
              </w:rPr>
            </w:r>
            <w:r>
              <w:rPr>
                <w:sz w:val="17"/>
              </w:rPr>
              <w:t>Template names match the table above exactly</w:t>
            </w:r>
          </w:p>
        </w:tc>
        <w:tc>
          <w:tcPr>
            <w:tcW w:type="dxa" w:w="2559"/>
          </w:tcPr>
          <w:p>
            <w:r>
              <w:rPr>
                <w:sz w:val="17"/>
              </w:rPr>
            </w:r>
            <w:r>
              <w:rPr>
                <w:sz w:val="17"/>
              </w:rPr>
              <w:t>Name lint against canonical list</w:t>
            </w:r>
          </w:p>
        </w:tc>
        <w:tc>
          <w:tcPr>
            <w:tcW w:type="dxa" w:w="1343"/>
          </w:tcPr>
          <w:p>
            <w:r>
              <w:rPr>
                <w:sz w:val="17"/>
              </w:rPr>
            </w:r>
            <w:r>
              <w:rPr>
                <w:sz w:val="17"/>
              </w:rPr>
              <w:t>Information Manager</w:t>
            </w:r>
          </w:p>
        </w:tc>
        <w:tc>
          <w:tcPr>
            <w:tcW w:type="dxa" w:w="3221"/>
          </w:tcPr>
          <w:p>
            <w:r>
              <w:rPr>
                <w:sz w:val="17"/>
              </w:rPr>
            </w:r>
            <w:r>
              <w:rPr>
                <w:sz w:val="17"/>
              </w:rPr>
              <w:t>Rename or consolidate variants; update references</w:t>
            </w:r>
          </w:p>
        </w:tc>
      </w:tr>
    </w:tbl>
    <w:p/>
    <w:p>
      <w:pPr>
        <w:pStyle w:val="Heading2"/>
      </w:pPr>
      <w:r>
        <w:t>4.13 FILTERS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13"/>
        <w:gridCol w:w="1210"/>
        <w:gridCol w:w="3013"/>
        <w:gridCol w:w="3229"/>
      </w:tblGrid>
      <w:tr>
        <w:trPr>
          <w:cantSplit/>
          <w:tblHeader/>
        </w:trPr>
        <w:tc>
          <w:tcPr>
            <w:tcW w:type="dxa" w:w="3013"/>
            <w:shd w:val="clear" w:color="auto" w:fill="111113"/>
          </w:tcPr>
          <w:p>
            <w:r>
              <w:rPr>
                <w:b/>
                <w:color w:val="FFFFFF"/>
                <w:sz w:val="17"/>
              </w:rPr>
            </w:r>
            <w:r>
              <w:rPr>
                <w:b/>
                <w:color w:val="FFFFFF"/>
                <w:sz w:val="17"/>
              </w:rPr>
              <w:t>FILTER NAME</w:t>
            </w:r>
          </w:p>
        </w:tc>
        <w:tc>
          <w:tcPr>
            <w:tcW w:type="dxa" w:w="1210"/>
            <w:shd w:val="clear" w:color="auto" w:fill="111113"/>
          </w:tcPr>
          <w:p>
            <w:r>
              <w:rPr>
                <w:b/>
                <w:color w:val="FFFFFF"/>
                <w:sz w:val="17"/>
              </w:rPr>
            </w:r>
            <w:r>
              <w:rPr>
                <w:b/>
                <w:color w:val="FFFFFF"/>
                <w:sz w:val="17"/>
              </w:rPr>
              <w:t>SCOPE</w:t>
            </w:r>
          </w:p>
        </w:tc>
        <w:tc>
          <w:tcPr>
            <w:tcW w:type="dxa" w:w="3013"/>
            <w:shd w:val="clear" w:color="auto" w:fill="111113"/>
          </w:tcPr>
          <w:p>
            <w:r>
              <w:rPr>
                <w:b/>
                <w:color w:val="FFFFFF"/>
                <w:sz w:val="17"/>
              </w:rPr>
            </w:r>
            <w:r>
              <w:rPr>
                <w:b/>
                <w:color w:val="FFFFFF"/>
                <w:sz w:val="17"/>
              </w:rPr>
              <w:t>RULES (EXAMPLE)</w:t>
            </w:r>
          </w:p>
        </w:tc>
        <w:tc>
          <w:tcPr>
            <w:tcW w:type="dxa" w:w="3229"/>
            <w:shd w:val="clear" w:color="auto" w:fill="111113"/>
          </w:tcPr>
          <w:p>
            <w:r>
              <w:rPr>
                <w:b/>
                <w:color w:val="FFFFFF"/>
                <w:sz w:val="17"/>
              </w:rPr>
            </w:r>
            <w:r>
              <w:rPr>
                <w:b/>
                <w:color w:val="FFFFFF"/>
                <w:sz w:val="17"/>
              </w:rPr>
              <w:t>PURPOSE</w:t>
            </w:r>
          </w:p>
        </w:tc>
      </w:tr>
      <w:tr>
        <w:trPr>
          <w:cantSplit/>
        </w:trPr>
        <w:tc>
          <w:tcPr>
            <w:tcW w:type="dxa" w:w="3013"/>
          </w:tcPr>
          <w:p>
            <w:r>
              <w:rPr>
                <w:sz w:val="17"/>
              </w:rPr>
            </w:r>
            <w:r>
              <w:rPr>
                <w:sz w:val="17"/>
              </w:rPr>
              <w:t>QA - Workset1 Only</w:t>
            </w:r>
          </w:p>
        </w:tc>
        <w:tc>
          <w:tcPr>
            <w:tcW w:type="dxa" w:w="1210"/>
          </w:tcPr>
          <w:p>
            <w:r>
              <w:rPr>
                <w:sz w:val="17"/>
              </w:rPr>
            </w:r>
            <w:r>
              <w:rPr>
                <w:sz w:val="17"/>
              </w:rPr>
              <w:t>All views</w:t>
            </w:r>
          </w:p>
        </w:tc>
        <w:tc>
          <w:tcPr>
            <w:tcW w:type="dxa" w:w="3013"/>
          </w:tcPr>
          <w:p>
            <w:r>
              <w:rPr>
                <w:sz w:val="17"/>
              </w:rPr>
            </w:r>
            <w:r>
              <w:rPr>
                <w:sz w:val="17"/>
              </w:rPr>
              <w:t>Workset = Workset1</w:t>
            </w:r>
          </w:p>
        </w:tc>
        <w:tc>
          <w:tcPr>
            <w:tcW w:type="dxa" w:w="3229"/>
          </w:tcPr>
          <w:p>
            <w:r>
              <w:rPr>
                <w:sz w:val="17"/>
              </w:rPr>
            </w:r>
            <w:r>
              <w:rPr>
                <w:sz w:val="17"/>
              </w:rPr>
              <w:t>Detect stray elements before issue</w:t>
            </w:r>
          </w:p>
        </w:tc>
      </w:tr>
      <w:tr>
        <w:trPr>
          <w:cantSplit/>
        </w:trPr>
        <w:tc>
          <w:tcPr>
            <w:tcW w:type="dxa" w:w="3013"/>
          </w:tcPr>
          <w:p>
            <w:r>
              <w:rPr>
                <w:sz w:val="17"/>
              </w:rPr>
            </w:r>
            <w:r>
              <w:rPr>
                <w:sz w:val="17"/>
              </w:rPr>
              <w:t>DOC - Hide Links</w:t>
            </w:r>
          </w:p>
        </w:tc>
        <w:tc>
          <w:tcPr>
            <w:tcW w:type="dxa" w:w="1210"/>
          </w:tcPr>
          <w:p>
            <w:r>
              <w:rPr>
                <w:sz w:val="17"/>
              </w:rPr>
            </w:r>
            <w:r>
              <w:rPr>
                <w:sz w:val="17"/>
              </w:rPr>
              <w:t>DOC parents</w:t>
            </w:r>
          </w:p>
        </w:tc>
        <w:tc>
          <w:tcPr>
            <w:tcW w:type="dxa" w:w="3013"/>
          </w:tcPr>
          <w:p>
            <w:r>
              <w:rPr>
                <w:sz w:val="17"/>
              </w:rPr>
            </w:r>
            <w:r>
              <w:rPr>
                <w:sz w:val="17"/>
              </w:rPr>
              <w:t>Category = Revit Links → Off</w:t>
            </w:r>
          </w:p>
        </w:tc>
        <w:tc>
          <w:tcPr>
            <w:tcW w:type="dxa" w:w="3229"/>
          </w:tcPr>
          <w:p>
            <w:r>
              <w:rPr>
                <w:sz w:val="17"/>
              </w:rPr>
            </w:r>
            <w:r>
              <w:rPr>
                <w:sz w:val="17"/>
              </w:rPr>
              <w:t>Sheet graphics clarity where links are not needed</w:t>
            </w:r>
          </w:p>
        </w:tc>
      </w:tr>
      <w:tr>
        <w:trPr>
          <w:cantSplit/>
        </w:trPr>
        <w:tc>
          <w:tcPr>
            <w:tcW w:type="dxa" w:w="3013"/>
          </w:tcPr>
          <w:p>
            <w:r>
              <w:rPr>
                <w:sz w:val="17"/>
              </w:rPr>
            </w:r>
            <w:r>
              <w:rPr>
                <w:sz w:val="17"/>
              </w:rPr>
              <w:t>COORD - Discipline Isolation</w:t>
            </w:r>
          </w:p>
        </w:tc>
        <w:tc>
          <w:tcPr>
            <w:tcW w:type="dxa" w:w="1210"/>
          </w:tcPr>
          <w:p>
            <w:r>
              <w:rPr>
                <w:sz w:val="17"/>
              </w:rPr>
            </w:r>
            <w:r>
              <w:rPr>
                <w:sz w:val="17"/>
              </w:rPr>
              <w:t>COORD views</w:t>
            </w:r>
          </w:p>
        </w:tc>
        <w:tc>
          <w:tcPr>
            <w:tcW w:type="dxa" w:w="3013"/>
          </w:tcPr>
          <w:p>
            <w:r>
              <w:rPr>
                <w:sz w:val="17"/>
              </w:rPr>
            </w:r>
            <w:r>
              <w:rPr>
                <w:sz w:val="17"/>
              </w:rPr>
              <w:t>Category = Non-discipline categories → Off</w:t>
            </w:r>
          </w:p>
        </w:tc>
        <w:tc>
          <w:tcPr>
            <w:tcW w:type="dxa" w:w="3229"/>
          </w:tcPr>
          <w:p>
            <w:r>
              <w:rPr>
                <w:sz w:val="17"/>
              </w:rPr>
            </w:r>
            <w:r>
              <w:rPr>
                <w:sz w:val="17"/>
              </w:rPr>
              <w:t>Focus by active discipline during coordination</w:t>
            </w:r>
          </w:p>
        </w:tc>
      </w:tr>
      <w:tr>
        <w:trPr>
          <w:cantSplit/>
        </w:trPr>
        <w:tc>
          <w:tcPr>
            <w:tcW w:type="dxa" w:w="3013"/>
          </w:tcPr>
          <w:p>
            <w:r>
              <w:rPr>
                <w:sz w:val="17"/>
              </w:rPr>
            </w:r>
            <w:r>
              <w:rPr>
                <w:sz w:val="17"/>
              </w:rPr>
              <w:t>QA - Elements Without Classification_Code</w:t>
            </w:r>
          </w:p>
        </w:tc>
        <w:tc>
          <w:tcPr>
            <w:tcW w:type="dxa" w:w="1210"/>
          </w:tcPr>
          <w:p>
            <w:r>
              <w:rPr>
                <w:sz w:val="17"/>
              </w:rPr>
            </w:r>
            <w:r>
              <w:rPr>
                <w:sz w:val="17"/>
              </w:rPr>
              <w:t>DOC parents</w:t>
            </w:r>
          </w:p>
        </w:tc>
        <w:tc>
          <w:tcPr>
            <w:tcW w:type="dxa" w:w="3013"/>
          </w:tcPr>
          <w:p>
            <w:r>
              <w:rPr>
                <w:sz w:val="17"/>
              </w:rPr>
            </w:r>
            <w:r>
              <w:rPr>
                <w:sz w:val="17"/>
              </w:rPr>
              <w:t>Classification_Code = Empty</w:t>
            </w:r>
          </w:p>
        </w:tc>
        <w:tc>
          <w:tcPr>
            <w:tcW w:type="dxa" w:w="3229"/>
          </w:tcPr>
          <w:p>
            <w:r>
              <w:rPr>
                <w:sz w:val="17"/>
              </w:rPr>
            </w:r>
            <w:r>
              <w:rPr>
                <w:sz w:val="17"/>
              </w:rPr>
              <w:t>Check classification coverage per 3.2</w:t>
            </w:r>
          </w:p>
        </w:tc>
      </w:tr>
      <w:tr>
        <w:trPr>
          <w:cantSplit/>
        </w:trPr>
        <w:tc>
          <w:tcPr>
            <w:tcW w:type="dxa" w:w="3013"/>
          </w:tcPr>
          <w:p>
            <w:r>
              <w:rPr>
                <w:sz w:val="17"/>
              </w:rPr>
            </w:r>
            <w:r>
              <w:rPr>
                <w:sz w:val="17"/>
              </w:rPr>
              <w:t>QA - Elements Without Keynote</w:t>
            </w:r>
          </w:p>
        </w:tc>
        <w:tc>
          <w:tcPr>
            <w:tcW w:type="dxa" w:w="1210"/>
          </w:tcPr>
          <w:p>
            <w:r>
              <w:rPr>
                <w:sz w:val="17"/>
              </w:rPr>
            </w:r>
            <w:r>
              <w:rPr>
                <w:sz w:val="17"/>
              </w:rPr>
              <w:t>DOC parents</w:t>
            </w:r>
          </w:p>
        </w:tc>
        <w:tc>
          <w:tcPr>
            <w:tcW w:type="dxa" w:w="3013"/>
          </w:tcPr>
          <w:p>
            <w:r>
              <w:rPr>
                <w:sz w:val="17"/>
              </w:rPr>
            </w:r>
            <w:r>
              <w:rPr>
                <w:sz w:val="17"/>
              </w:rPr>
              <w:t>Keynote = Empty</w:t>
            </w:r>
          </w:p>
        </w:tc>
        <w:tc>
          <w:tcPr>
            <w:tcW w:type="dxa" w:w="3229"/>
          </w:tcPr>
          <w:p>
            <w:r>
              <w:rPr>
                <w:sz w:val="17"/>
              </w:rPr>
            </w:r>
            <w:r>
              <w:rPr>
                <w:sz w:val="17"/>
              </w:rPr>
              <w:t>Check keynote coverage per 4.8</w:t>
            </w:r>
          </w:p>
        </w:tc>
      </w:tr>
      <w:tr>
        <w:trPr>
          <w:cantSplit/>
        </w:trPr>
        <w:tc>
          <w:tcPr>
            <w:tcW w:type="dxa" w:w="3013"/>
          </w:tcPr>
          <w:p>
            <w:r>
              <w:rPr>
                <w:sz w:val="17"/>
              </w:rPr>
            </w:r>
            <w:r>
              <w:rPr>
                <w:sz w:val="17"/>
              </w:rPr>
              <w:t>DOC - Phasing - Existing Halftone</w:t>
            </w:r>
          </w:p>
        </w:tc>
        <w:tc>
          <w:tcPr>
            <w:tcW w:type="dxa" w:w="1210"/>
          </w:tcPr>
          <w:p>
            <w:r>
              <w:rPr>
                <w:sz w:val="17"/>
              </w:rPr>
            </w:r>
            <w:r>
              <w:rPr>
                <w:sz w:val="17"/>
              </w:rPr>
              <w:t>Sheeted views</w:t>
            </w:r>
          </w:p>
        </w:tc>
        <w:tc>
          <w:tcPr>
            <w:tcW w:type="dxa" w:w="3013"/>
          </w:tcPr>
          <w:p>
            <w:r>
              <w:rPr>
                <w:sz w:val="17"/>
              </w:rPr>
            </w:r>
            <w:r>
              <w:rPr>
                <w:sz w:val="17"/>
              </w:rPr>
              <w:t>Phase = Existing → Halftone + Thin lines</w:t>
            </w:r>
          </w:p>
        </w:tc>
        <w:tc>
          <w:tcPr>
            <w:tcW w:type="dxa" w:w="3229"/>
          </w:tcPr>
          <w:p>
            <w:r>
              <w:rPr>
                <w:sz w:val="17"/>
              </w:rPr>
            </w:r>
            <w:r>
              <w:rPr>
                <w:sz w:val="17"/>
              </w:rPr>
              <w:t>Consistent phasing convention</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41"/>
        <w:gridCol w:w="3100"/>
        <w:gridCol w:w="1366"/>
        <w:gridCol w:w="3060"/>
      </w:tblGrid>
      <w:tr>
        <w:trPr>
          <w:cantSplit/>
          <w:tblHeader/>
        </w:trPr>
        <w:tc>
          <w:tcPr>
            <w:tcW w:type="dxa" w:w="2941"/>
            <w:shd w:val="clear" w:color="auto" w:fill="111113"/>
          </w:tcPr>
          <w:p>
            <w:r>
              <w:rPr>
                <w:b/>
                <w:color w:val="FFFFFF"/>
                <w:sz w:val="17"/>
              </w:rPr>
            </w:r>
            <w:r>
              <w:rPr>
                <w:b/>
                <w:color w:val="FFFFFF"/>
                <w:sz w:val="17"/>
              </w:rPr>
              <w:t>Acceptance criteria</w:t>
            </w:r>
          </w:p>
        </w:tc>
        <w:tc>
          <w:tcPr>
            <w:tcW w:type="dxa" w:w="3100"/>
            <w:shd w:val="clear" w:color="auto" w:fill="111113"/>
          </w:tcPr>
          <w:p>
            <w:r>
              <w:rPr>
                <w:b/>
                <w:color w:val="FFFFFF"/>
                <w:sz w:val="17"/>
              </w:rPr>
            </w:r>
            <w:r>
              <w:rPr>
                <w:b/>
                <w:color w:val="FFFFFF"/>
                <w:sz w:val="17"/>
              </w:rPr>
              <w:t>Quality checks</w:t>
            </w:r>
          </w:p>
        </w:tc>
        <w:tc>
          <w:tcPr>
            <w:tcW w:type="dxa" w:w="1366"/>
            <w:shd w:val="clear" w:color="auto" w:fill="111113"/>
          </w:tcPr>
          <w:p>
            <w:r>
              <w:rPr>
                <w:b/>
                <w:color w:val="FFFFFF"/>
                <w:sz w:val="17"/>
              </w:rPr>
            </w:r>
            <w:r>
              <w:rPr>
                <w:b/>
                <w:color w:val="FFFFFF"/>
                <w:sz w:val="17"/>
              </w:rPr>
              <w:t>Owner</w:t>
            </w:r>
          </w:p>
        </w:tc>
        <w:tc>
          <w:tcPr>
            <w:tcW w:type="dxa" w:w="3060"/>
            <w:shd w:val="clear" w:color="auto" w:fill="111113"/>
          </w:tcPr>
          <w:p>
            <w:r>
              <w:rPr>
                <w:b/>
                <w:color w:val="FFFFFF"/>
                <w:sz w:val="17"/>
              </w:rPr>
            </w:r>
            <w:r>
              <w:rPr>
                <w:b/>
                <w:color w:val="FFFFFF"/>
                <w:sz w:val="17"/>
              </w:rPr>
              <w:t>Edit criteria</w:t>
            </w:r>
          </w:p>
        </w:tc>
      </w:tr>
      <w:tr>
        <w:trPr>
          <w:cantSplit/>
        </w:trPr>
        <w:tc>
          <w:tcPr>
            <w:tcW w:type="dxa" w:w="2941"/>
          </w:tcPr>
          <w:p>
            <w:r>
              <w:rPr>
                <w:sz w:val="17"/>
              </w:rPr>
            </w:r>
            <w:r>
              <w:rPr>
                <w:sz w:val="17"/>
              </w:rPr>
              <w:t>Only approved filters in issued views</w:t>
            </w:r>
          </w:p>
        </w:tc>
        <w:tc>
          <w:tcPr>
            <w:tcW w:type="dxa" w:w="3100"/>
          </w:tcPr>
          <w:p>
            <w:r>
              <w:rPr>
                <w:sz w:val="17"/>
              </w:rPr>
            </w:r>
            <w:r>
              <w:rPr>
                <w:sz w:val="17"/>
              </w:rPr>
              <w:t>Filter-name lint against table above</w:t>
            </w:r>
          </w:p>
        </w:tc>
        <w:tc>
          <w:tcPr>
            <w:tcW w:type="dxa" w:w="1366"/>
          </w:tcPr>
          <w:p>
            <w:r>
              <w:rPr>
                <w:sz w:val="17"/>
              </w:rPr>
            </w:r>
            <w:r>
              <w:rPr>
                <w:sz w:val="17"/>
              </w:rPr>
              <w:t>QA-QC Lead</w:t>
            </w:r>
          </w:p>
        </w:tc>
        <w:tc>
          <w:tcPr>
            <w:tcW w:type="dxa" w:w="3060"/>
          </w:tcPr>
          <w:p>
            <w:r>
              <w:rPr>
                <w:sz w:val="17"/>
              </w:rPr>
            </w:r>
            <w:r>
              <w:rPr>
                <w:sz w:val="17"/>
              </w:rPr>
              <w:t>Consolidate variants; update templates</w:t>
            </w:r>
          </w:p>
        </w:tc>
      </w:tr>
      <w:tr>
        <w:trPr>
          <w:cantSplit/>
        </w:trPr>
        <w:tc>
          <w:tcPr>
            <w:tcW w:type="dxa" w:w="2941"/>
          </w:tcPr>
          <w:p>
            <w:r>
              <w:rPr>
                <w:sz w:val="17"/>
              </w:rPr>
            </w:r>
            <w:r>
              <w:rPr>
                <w:sz w:val="17"/>
              </w:rPr>
              <w:t>QA filters present in QA views</w:t>
            </w:r>
          </w:p>
        </w:tc>
        <w:tc>
          <w:tcPr>
            <w:tcW w:type="dxa" w:w="3100"/>
          </w:tcPr>
          <w:p>
            <w:r>
              <w:rPr>
                <w:sz w:val="17"/>
              </w:rPr>
            </w:r>
            <w:r>
              <w:rPr>
                <w:sz w:val="17"/>
              </w:rPr>
              <w:t>Spot-check QA view templates</w:t>
            </w:r>
          </w:p>
        </w:tc>
        <w:tc>
          <w:tcPr>
            <w:tcW w:type="dxa" w:w="1366"/>
          </w:tcPr>
          <w:p>
            <w:r>
              <w:rPr>
                <w:sz w:val="17"/>
              </w:rPr>
            </w:r>
            <w:r>
              <w:rPr>
                <w:sz w:val="17"/>
              </w:rPr>
              <w:t>BIM Coordinator</w:t>
            </w:r>
          </w:p>
        </w:tc>
        <w:tc>
          <w:tcPr>
            <w:tcW w:type="dxa" w:w="3060"/>
          </w:tcPr>
          <w:p>
            <w:r>
              <w:rPr>
                <w:sz w:val="17"/>
              </w:rPr>
            </w:r>
            <w:r>
              <w:rPr>
                <w:sz w:val="17"/>
              </w:rPr>
              <w:t>Add to template; do not per-view tweak</w:t>
            </w:r>
          </w:p>
        </w:tc>
      </w:tr>
      <w:tr>
        <w:trPr>
          <w:cantSplit/>
        </w:trPr>
        <w:tc>
          <w:tcPr>
            <w:tcW w:type="dxa" w:w="2941"/>
          </w:tcPr>
          <w:p>
            <w:r>
              <w:rPr>
                <w:sz w:val="17"/>
              </w:rPr>
            </w:r>
            <w:r>
              <w:rPr>
                <w:sz w:val="17"/>
              </w:rPr>
              <w:t>Phasing and keynote checks pass prior to issue</w:t>
            </w:r>
          </w:p>
        </w:tc>
        <w:tc>
          <w:tcPr>
            <w:tcW w:type="dxa" w:w="3100"/>
          </w:tcPr>
          <w:p>
            <w:r>
              <w:rPr>
                <w:sz w:val="17"/>
              </w:rPr>
            </w:r>
            <w:r>
              <w:rPr>
                <w:sz w:val="17"/>
              </w:rPr>
              <w:t>Pre-issue report exported and filed in 2.3 evidence</w:t>
            </w:r>
          </w:p>
        </w:tc>
        <w:tc>
          <w:tcPr>
            <w:tcW w:type="dxa" w:w="1366"/>
          </w:tcPr>
          <w:p>
            <w:r>
              <w:rPr>
                <w:sz w:val="17"/>
              </w:rPr>
            </w:r>
            <w:r>
              <w:rPr>
                <w:sz w:val="17"/>
              </w:rPr>
              <w:t>Discipline Lead</w:t>
            </w:r>
          </w:p>
        </w:tc>
        <w:tc>
          <w:tcPr>
            <w:tcW w:type="dxa" w:w="3060"/>
          </w:tcPr>
          <w:p>
            <w:r>
              <w:rPr>
                <w:sz w:val="17"/>
              </w:rPr>
            </w:r>
            <w:r>
              <w:rPr>
                <w:sz w:val="17"/>
              </w:rPr>
              <w:t>Fix underlying data, not filters</w:t>
            </w:r>
          </w:p>
        </w:tc>
      </w:tr>
    </w:tbl>
    <w:p/>
    <w:p>
      <w:pPr>
        <w:pStyle w:val="Heading2"/>
      </w:pPr>
      <w:r>
        <w:t>4.14 LEGENDS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72"/>
        <w:gridCol w:w="1472"/>
        <w:gridCol w:w="3359"/>
        <w:gridCol w:w="3663"/>
      </w:tblGrid>
      <w:tr>
        <w:trPr>
          <w:cantSplit/>
          <w:tblHeader/>
        </w:trPr>
        <w:tc>
          <w:tcPr>
            <w:tcW w:type="dxa" w:w="1972"/>
            <w:shd w:val="clear" w:color="auto" w:fill="111113"/>
          </w:tcPr>
          <w:p>
            <w:r>
              <w:rPr>
                <w:b/>
                <w:color w:val="FFFFFF"/>
                <w:sz w:val="17"/>
              </w:rPr>
            </w:r>
            <w:r>
              <w:rPr>
                <w:b/>
                <w:color w:val="FFFFFF"/>
                <w:sz w:val="17"/>
              </w:rPr>
              <w:t>LEGEND NAME</w:t>
            </w:r>
          </w:p>
        </w:tc>
        <w:tc>
          <w:tcPr>
            <w:tcW w:type="dxa" w:w="1472"/>
            <w:shd w:val="clear" w:color="auto" w:fill="111113"/>
          </w:tcPr>
          <w:p>
            <w:r>
              <w:rPr>
                <w:b/>
                <w:color w:val="FFFFFF"/>
                <w:sz w:val="17"/>
              </w:rPr>
            </w:r>
            <w:r>
              <w:rPr>
                <w:b/>
                <w:color w:val="FFFFFF"/>
                <w:sz w:val="17"/>
              </w:rPr>
              <w:t>APPLIES TO</w:t>
            </w:r>
          </w:p>
        </w:tc>
        <w:tc>
          <w:tcPr>
            <w:tcW w:type="dxa" w:w="3359"/>
            <w:shd w:val="clear" w:color="auto" w:fill="111113"/>
          </w:tcPr>
          <w:p>
            <w:r>
              <w:rPr>
                <w:b/>
                <w:color w:val="FFFFFF"/>
                <w:sz w:val="17"/>
              </w:rPr>
            </w:r>
            <w:r>
              <w:rPr>
                <w:b/>
                <w:color w:val="FFFFFF"/>
                <w:sz w:val="17"/>
              </w:rPr>
              <w:t>REQUIRED FIELDS</w:t>
            </w:r>
          </w:p>
        </w:tc>
        <w:tc>
          <w:tcPr>
            <w:tcW w:type="dxa" w:w="3663"/>
            <w:shd w:val="clear" w:color="auto" w:fill="111113"/>
          </w:tcPr>
          <w:p>
            <w:r>
              <w:rPr>
                <w:b/>
                <w:color w:val="FFFFFF"/>
                <w:sz w:val="17"/>
              </w:rPr>
            </w:r>
            <w:r>
              <w:rPr>
                <w:b/>
                <w:color w:val="FFFFFF"/>
                <w:sz w:val="17"/>
              </w:rPr>
              <w:t>NOTES</w:t>
            </w:r>
          </w:p>
        </w:tc>
      </w:tr>
      <w:tr>
        <w:trPr>
          <w:cantSplit/>
        </w:trPr>
        <w:tc>
          <w:tcPr>
            <w:tcW w:type="dxa" w:w="1972"/>
          </w:tcPr>
          <w:p>
            <w:r>
              <w:rPr>
                <w:sz w:val="17"/>
              </w:rPr>
            </w:r>
            <w:r>
              <w:rPr>
                <w:sz w:val="17"/>
              </w:rPr>
              <w:t>Legend — Symbols</w:t>
            </w:r>
          </w:p>
        </w:tc>
        <w:tc>
          <w:tcPr>
            <w:tcW w:type="dxa" w:w="1472"/>
          </w:tcPr>
          <w:p>
            <w:r>
              <w:rPr>
                <w:sz w:val="17"/>
              </w:rPr>
            </w:r>
            <w:r>
              <w:rPr>
                <w:sz w:val="17"/>
              </w:rPr>
              <w:t>All sheets</w:t>
            </w:r>
          </w:p>
        </w:tc>
        <w:tc>
          <w:tcPr>
            <w:tcW w:type="dxa" w:w="3359"/>
          </w:tcPr>
          <w:p>
            <w:r>
              <w:rPr>
                <w:sz w:val="17"/>
              </w:rPr>
            </w:r>
            <w:r>
              <w:rPr>
                <w:sz w:val="17"/>
              </w:rPr>
              <w:t>Approved annotation symbols per 4.7</w:t>
            </w:r>
          </w:p>
        </w:tc>
        <w:tc>
          <w:tcPr>
            <w:tcW w:type="dxa" w:w="3663"/>
          </w:tcPr>
          <w:p>
            <w:r>
              <w:rPr>
                <w:sz w:val="17"/>
              </w:rPr>
            </w:r>
            <w:r>
              <w:rPr>
                <w:sz w:val="17"/>
              </w:rPr>
              <w:t>Place on first plan sheet of each discipline set</w:t>
            </w:r>
          </w:p>
        </w:tc>
      </w:tr>
      <w:tr>
        <w:trPr>
          <w:cantSplit/>
        </w:trPr>
        <w:tc>
          <w:tcPr>
            <w:tcW w:type="dxa" w:w="1972"/>
          </w:tcPr>
          <w:p>
            <w:r>
              <w:rPr>
                <w:sz w:val="17"/>
              </w:rPr>
            </w:r>
            <w:r>
              <w:rPr>
                <w:sz w:val="17"/>
              </w:rPr>
              <w:t>Legend — Line Types</w:t>
            </w:r>
          </w:p>
        </w:tc>
        <w:tc>
          <w:tcPr>
            <w:tcW w:type="dxa" w:w="1472"/>
          </w:tcPr>
          <w:p>
            <w:r>
              <w:rPr>
                <w:sz w:val="17"/>
              </w:rPr>
            </w:r>
            <w:r>
              <w:rPr>
                <w:sz w:val="17"/>
              </w:rPr>
              <w:t>Plans, Sections</w:t>
            </w:r>
          </w:p>
        </w:tc>
        <w:tc>
          <w:tcPr>
            <w:tcW w:type="dxa" w:w="3359"/>
          </w:tcPr>
          <w:p>
            <w:r>
              <w:rPr>
                <w:sz w:val="17"/>
              </w:rPr>
            </w:r>
            <w:r>
              <w:rPr>
                <w:sz w:val="17"/>
              </w:rPr>
              <w:t>Line pattern, weight, color tokens</w:t>
            </w:r>
          </w:p>
        </w:tc>
        <w:tc>
          <w:tcPr>
            <w:tcW w:type="dxa" w:w="3663"/>
          </w:tcPr>
          <w:p>
            <w:r>
              <w:rPr>
                <w:sz w:val="17"/>
              </w:rPr>
            </w:r>
            <w:r>
              <w:rPr>
                <w:sz w:val="17"/>
              </w:rPr>
              <w:t>Must reflect 4.1 /​ 4.2 tables exactly</w:t>
            </w:r>
          </w:p>
        </w:tc>
      </w:tr>
      <w:tr>
        <w:trPr>
          <w:cantSplit/>
        </w:trPr>
        <w:tc>
          <w:tcPr>
            <w:tcW w:type="dxa" w:w="1972"/>
          </w:tcPr>
          <w:p>
            <w:r>
              <w:rPr>
                <w:sz w:val="17"/>
              </w:rPr>
            </w:r>
            <w:r>
              <w:rPr>
                <w:sz w:val="17"/>
              </w:rPr>
              <w:t>Legend — Hatches</w:t>
            </w:r>
          </w:p>
        </w:tc>
        <w:tc>
          <w:tcPr>
            <w:tcW w:type="dxa" w:w="1472"/>
          </w:tcPr>
          <w:p>
            <w:r>
              <w:rPr>
                <w:sz w:val="17"/>
              </w:rPr>
            </w:r>
            <w:r>
              <w:rPr>
                <w:sz w:val="17"/>
              </w:rPr>
              <w:t>Sections, Details</w:t>
            </w:r>
          </w:p>
        </w:tc>
        <w:tc>
          <w:tcPr>
            <w:tcW w:type="dxa" w:w="3359"/>
          </w:tcPr>
          <w:p>
            <w:r>
              <w:rPr>
                <w:sz w:val="17"/>
              </w:rPr>
            </w:r>
            <w:r>
              <w:rPr>
                <w:sz w:val="17"/>
              </w:rPr>
              <w:t>Pattern name, type (Drafting/​Model), scale</w:t>
            </w:r>
          </w:p>
        </w:tc>
        <w:tc>
          <w:tcPr>
            <w:tcW w:type="dxa" w:w="3663"/>
          </w:tcPr>
          <w:p>
            <w:r>
              <w:rPr>
                <w:sz w:val="17"/>
              </w:rPr>
            </w:r>
            <w:r>
              <w:rPr>
                <w:sz w:val="17"/>
              </w:rPr>
              <w:t>Matches 4.5 Fill Patterns; no per-view scaling</w:t>
            </w:r>
          </w:p>
        </w:tc>
      </w:tr>
      <w:tr>
        <w:trPr>
          <w:cantSplit/>
        </w:trPr>
        <w:tc>
          <w:tcPr>
            <w:tcW w:type="dxa" w:w="1972"/>
          </w:tcPr>
          <w:p>
            <w:r>
              <w:rPr>
                <w:sz w:val="17"/>
              </w:rPr>
            </w:r>
            <w:r>
              <w:rPr>
                <w:sz w:val="17"/>
              </w:rPr>
              <w:t>Legend — Key Plan</w:t>
            </w:r>
          </w:p>
        </w:tc>
        <w:tc>
          <w:tcPr>
            <w:tcW w:type="dxa" w:w="1472"/>
          </w:tcPr>
          <w:p>
            <w:r>
              <w:rPr>
                <w:sz w:val="17"/>
              </w:rPr>
            </w:r>
            <w:r>
              <w:rPr>
                <w:sz w:val="17"/>
              </w:rPr>
              <w:t>Plans, Elevations</w:t>
            </w:r>
          </w:p>
        </w:tc>
        <w:tc>
          <w:tcPr>
            <w:tcW w:type="dxa" w:w="3359"/>
          </w:tcPr>
          <w:p>
            <w:r>
              <w:rPr>
                <w:sz w:val="17"/>
              </w:rPr>
            </w:r>
            <w:r>
              <w:rPr>
                <w:sz w:val="17"/>
              </w:rPr>
              <w:t>Zone and level markers, sheet highlight</w:t>
            </w:r>
          </w:p>
        </w:tc>
        <w:tc>
          <w:tcPr>
            <w:tcW w:type="dxa" w:w="3663"/>
          </w:tcPr>
          <w:p>
            <w:r>
              <w:rPr>
                <w:sz w:val="17"/>
              </w:rPr>
            </w:r>
            <w:r>
              <w:rPr>
                <w:sz w:val="17"/>
              </w:rPr>
              <w:t>Consistent location and size across sheets</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38"/>
        <w:gridCol w:w="1984"/>
        <w:gridCol w:w="1426"/>
        <w:gridCol w:w="3319"/>
      </w:tblGrid>
      <w:tr>
        <w:trPr>
          <w:cantSplit/>
          <w:tblHeader/>
        </w:trPr>
        <w:tc>
          <w:tcPr>
            <w:tcW w:type="dxa" w:w="3738"/>
            <w:shd w:val="clear" w:color="auto" w:fill="111113"/>
          </w:tcPr>
          <w:p>
            <w:r>
              <w:rPr>
                <w:b/>
                <w:color w:val="FFFFFF"/>
                <w:sz w:val="17"/>
              </w:rPr>
            </w:r>
            <w:r>
              <w:rPr>
                <w:b/>
                <w:color w:val="FFFFFF"/>
                <w:sz w:val="17"/>
              </w:rPr>
              <w:t>Acceptance criteria</w:t>
            </w:r>
          </w:p>
        </w:tc>
        <w:tc>
          <w:tcPr>
            <w:tcW w:type="dxa" w:w="1984"/>
            <w:shd w:val="clear" w:color="auto" w:fill="111113"/>
          </w:tcPr>
          <w:p>
            <w:r>
              <w:rPr>
                <w:b/>
                <w:color w:val="FFFFFF"/>
                <w:sz w:val="17"/>
              </w:rPr>
            </w:r>
            <w:r>
              <w:rPr>
                <w:b/>
                <w:color w:val="FFFFFF"/>
                <w:sz w:val="17"/>
              </w:rPr>
              <w:t>Quality checks</w:t>
            </w:r>
          </w:p>
        </w:tc>
        <w:tc>
          <w:tcPr>
            <w:tcW w:type="dxa" w:w="1426"/>
            <w:shd w:val="clear" w:color="auto" w:fill="111113"/>
          </w:tcPr>
          <w:p>
            <w:r>
              <w:rPr>
                <w:b/>
                <w:color w:val="FFFFFF"/>
                <w:sz w:val="17"/>
              </w:rPr>
            </w:r>
            <w:r>
              <w:rPr>
                <w:b/>
                <w:color w:val="FFFFFF"/>
                <w:sz w:val="17"/>
              </w:rPr>
              <w:t>Owner</w:t>
            </w:r>
          </w:p>
        </w:tc>
        <w:tc>
          <w:tcPr>
            <w:tcW w:type="dxa" w:w="3319"/>
            <w:shd w:val="clear" w:color="auto" w:fill="111113"/>
          </w:tcPr>
          <w:p>
            <w:r>
              <w:rPr>
                <w:b/>
                <w:color w:val="FFFFFF"/>
                <w:sz w:val="17"/>
              </w:rPr>
            </w:r>
            <w:r>
              <w:rPr>
                <w:b/>
                <w:color w:val="FFFFFF"/>
                <w:sz w:val="17"/>
              </w:rPr>
              <w:t>Edit criteria</w:t>
            </w:r>
          </w:p>
        </w:tc>
      </w:tr>
      <w:tr>
        <w:trPr>
          <w:cantSplit/>
        </w:trPr>
        <w:tc>
          <w:tcPr>
            <w:tcW w:type="dxa" w:w="3738"/>
          </w:tcPr>
          <w:p>
            <w:r>
              <w:rPr>
                <w:sz w:val="17"/>
              </w:rPr>
            </w:r>
            <w:r>
              <w:rPr>
                <w:sz w:val="17"/>
              </w:rPr>
              <w:t>Legend names match canonical list</w:t>
            </w:r>
          </w:p>
        </w:tc>
        <w:tc>
          <w:tcPr>
            <w:tcW w:type="dxa" w:w="1984"/>
          </w:tcPr>
          <w:p>
            <w:r>
              <w:rPr>
                <w:sz w:val="17"/>
              </w:rPr>
            </w:r>
            <w:r>
              <w:rPr>
                <w:sz w:val="17"/>
              </w:rPr>
              <w:t>Name lint against table above</w:t>
            </w:r>
          </w:p>
        </w:tc>
        <w:tc>
          <w:tcPr>
            <w:tcW w:type="dxa" w:w="1426"/>
          </w:tcPr>
          <w:p>
            <w:r>
              <w:rPr>
                <w:sz w:val="17"/>
              </w:rPr>
            </w:r>
            <w:r>
              <w:rPr>
                <w:sz w:val="17"/>
              </w:rPr>
              <w:t>Information Manager</w:t>
            </w:r>
          </w:p>
        </w:tc>
        <w:tc>
          <w:tcPr>
            <w:tcW w:type="dxa" w:w="3319"/>
          </w:tcPr>
          <w:p>
            <w:r>
              <w:rPr>
                <w:sz w:val="17"/>
              </w:rPr>
            </w:r>
            <w:r>
              <w:rPr>
                <w:sz w:val="17"/>
              </w:rPr>
              <w:t>Rename variants; update templates</w:t>
            </w:r>
          </w:p>
        </w:tc>
      </w:tr>
      <w:tr>
        <w:trPr>
          <w:cantSplit/>
        </w:trPr>
        <w:tc>
          <w:tcPr>
            <w:tcW w:type="dxa" w:w="3738"/>
          </w:tcPr>
          <w:p>
            <w:r>
              <w:rPr>
                <w:sz w:val="17"/>
              </w:rPr>
            </w:r>
            <w:r>
              <w:rPr>
                <w:sz w:val="17"/>
              </w:rPr>
              <w:t>Only one instance of each legend per sheet</w:t>
            </w:r>
          </w:p>
        </w:tc>
        <w:tc>
          <w:tcPr>
            <w:tcW w:type="dxa" w:w="1984"/>
          </w:tcPr>
          <w:p>
            <w:r>
              <w:rPr>
                <w:sz w:val="17"/>
              </w:rPr>
            </w:r>
            <w:r>
              <w:rPr>
                <w:sz w:val="17"/>
              </w:rPr>
              <w:t>Duplicate legend scan</w:t>
            </w:r>
          </w:p>
        </w:tc>
        <w:tc>
          <w:tcPr>
            <w:tcW w:type="dxa" w:w="1426"/>
          </w:tcPr>
          <w:p>
            <w:r>
              <w:rPr>
                <w:sz w:val="17"/>
              </w:rPr>
            </w:r>
            <w:r>
              <w:rPr>
                <w:sz w:val="17"/>
              </w:rPr>
              <w:t>QA-QC Lead</w:t>
            </w:r>
          </w:p>
        </w:tc>
        <w:tc>
          <w:tcPr>
            <w:tcW w:type="dxa" w:w="3319"/>
          </w:tcPr>
          <w:p>
            <w:r>
              <w:rPr>
                <w:sz w:val="17"/>
              </w:rPr>
            </w:r>
            <w:r>
              <w:rPr>
                <w:sz w:val="17"/>
              </w:rPr>
              <w:t>Consolidate; remove duplicates</w:t>
            </w:r>
          </w:p>
        </w:tc>
      </w:tr>
      <w:tr>
        <w:trPr>
          <w:cantSplit/>
        </w:trPr>
        <w:tc>
          <w:tcPr>
            <w:tcW w:type="dxa" w:w="3738"/>
          </w:tcPr>
          <w:p>
            <w:r>
              <w:rPr>
                <w:sz w:val="17"/>
              </w:rPr>
            </w:r>
            <w:r>
              <w:rPr>
                <w:sz w:val="17"/>
              </w:rPr>
              <w:t>Legend scales and symbols plot to standard size</w:t>
            </w:r>
          </w:p>
        </w:tc>
        <w:tc>
          <w:tcPr>
            <w:tcW w:type="dxa" w:w="1984"/>
          </w:tcPr>
          <w:p>
            <w:r>
              <w:rPr>
                <w:sz w:val="17"/>
              </w:rPr>
            </w:r>
            <w:r>
              <w:rPr>
                <w:sz w:val="17"/>
              </w:rPr>
              <w:t>Print preview spot-check</w:t>
            </w:r>
          </w:p>
        </w:tc>
        <w:tc>
          <w:tcPr>
            <w:tcW w:type="dxa" w:w="1426"/>
          </w:tcPr>
          <w:p>
            <w:r>
              <w:rPr>
                <w:sz w:val="17"/>
              </w:rPr>
            </w:r>
            <w:r>
              <w:rPr>
                <w:sz w:val="17"/>
              </w:rPr>
              <w:t>Discipline Lead</w:t>
            </w:r>
          </w:p>
        </w:tc>
        <w:tc>
          <w:tcPr>
            <w:tcW w:type="dxa" w:w="3319"/>
          </w:tcPr>
          <w:p>
            <w:r>
              <w:rPr>
                <w:sz w:val="17"/>
              </w:rPr>
            </w:r>
            <w:r>
              <w:rPr>
                <w:sz w:val="17"/>
              </w:rPr>
              <w:t>Adjust in template; avoid per-sheet tweaks</w:t>
            </w:r>
          </w:p>
        </w:tc>
      </w:tr>
    </w:tbl>
    <w:p/>
    <w:p>
      <w:pPr>
        <w:pStyle w:val="Heading2"/>
      </w:pPr>
      <w:r>
        <w:t>4.15 NOTES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22"/>
        <w:gridCol w:w="1342"/>
        <w:gridCol w:w="4049"/>
        <w:gridCol w:w="3653"/>
      </w:tblGrid>
      <w:tr>
        <w:trPr>
          <w:cantSplit/>
          <w:tblHeader/>
        </w:trPr>
        <w:tc>
          <w:tcPr>
            <w:tcW w:type="dxa" w:w="1422"/>
            <w:shd w:val="clear" w:color="auto" w:fill="111113"/>
          </w:tcPr>
          <w:p>
            <w:r>
              <w:rPr>
                <w:b/>
                <w:color w:val="FFFFFF"/>
                <w:sz w:val="17"/>
              </w:rPr>
            </w:r>
            <w:r>
              <w:rPr>
                <w:b/>
                <w:color w:val="FFFFFF"/>
                <w:sz w:val="17"/>
              </w:rPr>
              <w:t>NOTES BLOCK</w:t>
            </w:r>
          </w:p>
        </w:tc>
        <w:tc>
          <w:tcPr>
            <w:tcW w:type="dxa" w:w="1342"/>
            <w:shd w:val="clear" w:color="auto" w:fill="111113"/>
          </w:tcPr>
          <w:p>
            <w:r>
              <w:rPr>
                <w:b/>
                <w:color w:val="FFFFFF"/>
                <w:sz w:val="17"/>
              </w:rPr>
            </w:r>
            <w:r>
              <w:rPr>
                <w:b/>
                <w:color w:val="FFFFFF"/>
                <w:sz w:val="17"/>
              </w:rPr>
              <w:t>APPLIES TO</w:t>
            </w:r>
          </w:p>
        </w:tc>
        <w:tc>
          <w:tcPr>
            <w:tcW w:type="dxa" w:w="4049"/>
            <w:shd w:val="clear" w:color="auto" w:fill="111113"/>
          </w:tcPr>
          <w:p>
            <w:r>
              <w:rPr>
                <w:b/>
                <w:color w:val="FFFFFF"/>
                <w:sz w:val="17"/>
              </w:rPr>
            </w:r>
            <w:r>
              <w:rPr>
                <w:b/>
                <w:color w:val="FFFFFF"/>
                <w:sz w:val="17"/>
              </w:rPr>
              <w:t>CONTENT RULES</w:t>
            </w:r>
          </w:p>
        </w:tc>
        <w:tc>
          <w:tcPr>
            <w:tcW w:type="dxa" w:w="3653"/>
            <w:shd w:val="clear" w:color="auto" w:fill="111113"/>
          </w:tcPr>
          <w:p>
            <w:r>
              <w:rPr>
                <w:b/>
                <w:color w:val="FFFFFF"/>
                <w:sz w:val="17"/>
              </w:rPr>
            </w:r>
            <w:r>
              <w:rPr>
                <w:b/>
                <w:color w:val="FFFFFF"/>
                <w:sz w:val="17"/>
              </w:rPr>
              <w:t>GOVERNANCE</w:t>
            </w:r>
          </w:p>
        </w:tc>
      </w:tr>
      <w:tr>
        <w:trPr>
          <w:cantSplit/>
        </w:trPr>
        <w:tc>
          <w:tcPr>
            <w:tcW w:type="dxa" w:w="1422"/>
          </w:tcPr>
          <w:p>
            <w:r>
              <w:rPr>
                <w:sz w:val="17"/>
              </w:rPr>
            </w:r>
            <w:r>
              <w:rPr>
                <w:sz w:val="17"/>
              </w:rPr>
              <w:t>General Notes — Discipline</w:t>
            </w:r>
          </w:p>
        </w:tc>
        <w:tc>
          <w:tcPr>
            <w:tcW w:type="dxa" w:w="1342"/>
          </w:tcPr>
          <w:p>
            <w:r>
              <w:rPr>
                <w:sz w:val="17"/>
              </w:rPr>
            </w:r>
            <w:r>
              <w:rPr>
                <w:sz w:val="17"/>
              </w:rPr>
              <w:t>Discipline front sheets</w:t>
            </w:r>
          </w:p>
        </w:tc>
        <w:tc>
          <w:tcPr>
            <w:tcW w:type="dxa" w:w="4049"/>
          </w:tcPr>
          <w:p>
            <w:r>
              <w:rPr>
                <w:sz w:val="17"/>
              </w:rPr>
            </w:r>
            <w:r>
              <w:rPr>
                <w:sz w:val="17"/>
              </w:rPr>
              <w:t>Numbered list. Sentence case. No inline overrides. Use approved symbols per 4.7</w:t>
            </w:r>
          </w:p>
        </w:tc>
        <w:tc>
          <w:tcPr>
            <w:tcW w:type="dxa" w:w="3653"/>
          </w:tcPr>
          <w:p>
            <w:r>
              <w:rPr>
                <w:sz w:val="17"/>
              </w:rPr>
            </w:r>
            <w:r>
              <w:rPr>
                <w:sz w:val="17"/>
              </w:rPr>
              <w:t>Owned by Discipline Lead. Changes logged in 04-ARCHIVE/​01-STANDARD-UPDATES</w:t>
            </w:r>
          </w:p>
        </w:tc>
      </w:tr>
      <w:tr>
        <w:trPr>
          <w:cantSplit/>
        </w:trPr>
        <w:tc>
          <w:tcPr>
            <w:tcW w:type="dxa" w:w="1422"/>
          </w:tcPr>
          <w:p>
            <w:r>
              <w:rPr>
                <w:sz w:val="17"/>
              </w:rPr>
            </w:r>
            <w:r>
              <w:rPr>
                <w:sz w:val="17"/>
              </w:rPr>
              <w:t>Abbreviations</w:t>
            </w:r>
          </w:p>
        </w:tc>
        <w:tc>
          <w:tcPr>
            <w:tcW w:type="dxa" w:w="1342"/>
          </w:tcPr>
          <w:p>
            <w:r>
              <w:rPr>
                <w:sz w:val="17"/>
              </w:rPr>
            </w:r>
            <w:r>
              <w:rPr>
                <w:sz w:val="17"/>
              </w:rPr>
              <w:t>First sheet of each set</w:t>
            </w:r>
          </w:p>
        </w:tc>
        <w:tc>
          <w:tcPr>
            <w:tcW w:type="dxa" w:w="4049"/>
          </w:tcPr>
          <w:p>
            <w:r>
              <w:rPr>
                <w:sz w:val="17"/>
              </w:rPr>
            </w:r>
            <w:r>
              <w:rPr>
                <w:sz w:val="17"/>
              </w:rPr>
              <w:t>Two-column table: Term, Definition. Aligns with central glossary in 13</w:t>
            </w:r>
          </w:p>
        </w:tc>
        <w:tc>
          <w:tcPr>
            <w:tcW w:type="dxa" w:w="3653"/>
          </w:tcPr>
          <w:p>
            <w:r>
              <w:rPr>
                <w:sz w:val="17"/>
              </w:rPr>
            </w:r>
            <w:r>
              <w:rPr>
                <w:sz w:val="17"/>
              </w:rPr>
              <w:t>Information Manager maintains canonical list; deltas mirrored to 13</w:t>
            </w:r>
          </w:p>
        </w:tc>
      </w:tr>
      <w:tr>
        <w:trPr>
          <w:cantSplit/>
        </w:trPr>
        <w:tc>
          <w:tcPr>
            <w:tcW w:type="dxa" w:w="1422"/>
          </w:tcPr>
          <w:p>
            <w:r>
              <w:rPr>
                <w:sz w:val="17"/>
              </w:rPr>
            </w:r>
            <w:r>
              <w:rPr>
                <w:sz w:val="17"/>
              </w:rPr>
              <w:t>Keynote Index</w:t>
            </w:r>
          </w:p>
        </w:tc>
        <w:tc>
          <w:tcPr>
            <w:tcW w:type="dxa" w:w="1342"/>
          </w:tcPr>
          <w:p>
            <w:r>
              <w:rPr>
                <w:sz w:val="17"/>
              </w:rPr>
            </w:r>
            <w:r>
              <w:rPr>
                <w:sz w:val="17"/>
              </w:rPr>
              <w:t>As required</w:t>
            </w:r>
          </w:p>
        </w:tc>
        <w:tc>
          <w:tcPr>
            <w:tcW w:type="dxa" w:w="4049"/>
          </w:tcPr>
          <w:p>
            <w:r>
              <w:rPr>
                <w:sz w:val="17"/>
              </w:rPr>
            </w:r>
            <w:r>
              <w:rPr>
                <w:sz w:val="17"/>
              </w:rPr>
              <w:t>Auto-generated from Keynotes.txt. No free-text edits</w:t>
            </w:r>
          </w:p>
        </w:tc>
        <w:tc>
          <w:tcPr>
            <w:tcW w:type="dxa" w:w="3653"/>
          </w:tcPr>
          <w:p>
            <w:r>
              <w:rPr>
                <w:sz w:val="17"/>
              </w:rPr>
            </w:r>
            <w:r>
              <w:rPr>
                <w:sz w:val="17"/>
              </w:rPr>
              <w:t>QA-QC Lead validates against 4.8 before issue</w:t>
            </w:r>
          </w:p>
        </w:tc>
      </w:tr>
      <w:tr>
        <w:trPr>
          <w:cantSplit/>
        </w:trPr>
        <w:tc>
          <w:tcPr>
            <w:tcW w:type="dxa" w:w="1422"/>
          </w:tcPr>
          <w:p>
            <w:r>
              <w:rPr>
                <w:sz w:val="17"/>
              </w:rPr>
            </w:r>
            <w:r>
              <w:rPr>
                <w:sz w:val="17"/>
              </w:rPr>
              <w:t>Revisions and Issue Notes</w:t>
            </w:r>
          </w:p>
        </w:tc>
        <w:tc>
          <w:tcPr>
            <w:tcW w:type="dxa" w:w="1342"/>
          </w:tcPr>
          <w:p>
            <w:r>
              <w:rPr>
                <w:sz w:val="17"/>
              </w:rPr>
            </w:r>
            <w:r>
              <w:rPr>
                <w:sz w:val="17"/>
              </w:rPr>
              <w:t>All sheets</w:t>
            </w:r>
          </w:p>
        </w:tc>
        <w:tc>
          <w:tcPr>
            <w:tcW w:type="dxa" w:w="4049"/>
          </w:tcPr>
          <w:p>
            <w:r>
              <w:rPr>
                <w:sz w:val="17"/>
              </w:rPr>
            </w:r>
            <w:r>
              <w:rPr>
                <w:sz w:val="17"/>
              </w:rPr>
              <w:t>Rnn format, per sheet; increases only on change, never recycled (O-DEC-113). No manual backdating</w:t>
            </w:r>
          </w:p>
        </w:tc>
        <w:tc>
          <w:tcPr>
            <w:tcW w:type="dxa" w:w="3653"/>
          </w:tcPr>
          <w:p>
            <w:r>
              <w:rPr>
                <w:sz w:val="17"/>
              </w:rPr>
            </w:r>
            <w:r>
              <w:rPr>
                <w:sz w:val="17"/>
              </w:rPr>
              <w:t>Information Manager compares with sheet index during pack build</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34"/>
        <w:gridCol w:w="2337"/>
        <w:gridCol w:w="1582"/>
        <w:gridCol w:w="3413"/>
      </w:tblGrid>
      <w:tr>
        <w:trPr>
          <w:cantSplit/>
          <w:tblHeader/>
        </w:trPr>
        <w:tc>
          <w:tcPr>
            <w:tcW w:type="dxa" w:w="3134"/>
            <w:shd w:val="clear" w:color="auto" w:fill="111113"/>
          </w:tcPr>
          <w:p>
            <w:r>
              <w:rPr>
                <w:b/>
                <w:color w:val="FFFFFF"/>
                <w:sz w:val="17"/>
              </w:rPr>
            </w:r>
            <w:r>
              <w:rPr>
                <w:b/>
                <w:color w:val="FFFFFF"/>
                <w:sz w:val="17"/>
              </w:rPr>
              <w:t>Acceptance criteria</w:t>
            </w:r>
          </w:p>
        </w:tc>
        <w:tc>
          <w:tcPr>
            <w:tcW w:type="dxa" w:w="2337"/>
            <w:shd w:val="clear" w:color="auto" w:fill="111113"/>
          </w:tcPr>
          <w:p>
            <w:r>
              <w:rPr>
                <w:b/>
                <w:color w:val="FFFFFF"/>
                <w:sz w:val="17"/>
              </w:rPr>
            </w:r>
            <w:r>
              <w:rPr>
                <w:b/>
                <w:color w:val="FFFFFF"/>
                <w:sz w:val="17"/>
              </w:rPr>
              <w:t>Quality checks</w:t>
            </w:r>
          </w:p>
        </w:tc>
        <w:tc>
          <w:tcPr>
            <w:tcW w:type="dxa" w:w="1582"/>
            <w:shd w:val="clear" w:color="auto" w:fill="111113"/>
          </w:tcPr>
          <w:p>
            <w:r>
              <w:rPr>
                <w:b/>
                <w:color w:val="FFFFFF"/>
                <w:sz w:val="17"/>
              </w:rPr>
            </w:r>
            <w:r>
              <w:rPr>
                <w:b/>
                <w:color w:val="FFFFFF"/>
                <w:sz w:val="17"/>
              </w:rPr>
              <w:t>Owner</w:t>
            </w:r>
          </w:p>
        </w:tc>
        <w:tc>
          <w:tcPr>
            <w:tcW w:type="dxa" w:w="3413"/>
            <w:shd w:val="clear" w:color="auto" w:fill="111113"/>
          </w:tcPr>
          <w:p>
            <w:r>
              <w:rPr>
                <w:b/>
                <w:color w:val="FFFFFF"/>
                <w:sz w:val="17"/>
              </w:rPr>
            </w:r>
            <w:r>
              <w:rPr>
                <w:b/>
                <w:color w:val="FFFFFF"/>
                <w:sz w:val="17"/>
              </w:rPr>
              <w:t>Edit criteria</w:t>
            </w:r>
          </w:p>
        </w:tc>
      </w:tr>
      <w:tr>
        <w:trPr>
          <w:cantSplit/>
        </w:trPr>
        <w:tc>
          <w:tcPr>
            <w:tcW w:type="dxa" w:w="3134"/>
          </w:tcPr>
          <w:p>
            <w:r>
              <w:rPr>
                <w:sz w:val="17"/>
              </w:rPr>
            </w:r>
            <w:r>
              <w:rPr>
                <w:sz w:val="17"/>
              </w:rPr>
              <w:t>No mixed fonts or manual overrides in notes</w:t>
            </w:r>
          </w:p>
        </w:tc>
        <w:tc>
          <w:tcPr>
            <w:tcW w:type="dxa" w:w="2337"/>
          </w:tcPr>
          <w:p>
            <w:r>
              <w:rPr>
                <w:sz w:val="17"/>
              </w:rPr>
            </w:r>
            <w:r>
              <w:rPr>
                <w:sz w:val="17"/>
              </w:rPr>
              <w:t>Style scan per 4.3 Text</w:t>
            </w:r>
          </w:p>
        </w:tc>
        <w:tc>
          <w:tcPr>
            <w:tcW w:type="dxa" w:w="1582"/>
          </w:tcPr>
          <w:p>
            <w:r>
              <w:rPr>
                <w:sz w:val="17"/>
              </w:rPr>
            </w:r>
            <w:r>
              <w:rPr>
                <w:sz w:val="17"/>
              </w:rPr>
              <w:t>QA-QC Lead</w:t>
            </w:r>
          </w:p>
        </w:tc>
        <w:tc>
          <w:tcPr>
            <w:tcW w:type="dxa" w:w="3413"/>
          </w:tcPr>
          <w:p>
            <w:r>
              <w:rPr>
                <w:sz w:val="17"/>
              </w:rPr>
            </w:r>
            <w:r>
              <w:rPr>
                <w:sz w:val="17"/>
              </w:rPr>
              <w:t>Normalize via templates; remove direct formatting</w:t>
            </w:r>
          </w:p>
        </w:tc>
      </w:tr>
      <w:tr>
        <w:trPr>
          <w:cantSplit/>
        </w:trPr>
        <w:tc>
          <w:tcPr>
            <w:tcW w:type="dxa" w:w="3134"/>
          </w:tcPr>
          <w:p>
            <w:r>
              <w:rPr>
                <w:sz w:val="17"/>
              </w:rPr>
            </w:r>
            <w:r>
              <w:rPr>
                <w:sz w:val="17"/>
              </w:rPr>
              <w:t>Abbreviations match glossary</w:t>
            </w:r>
          </w:p>
        </w:tc>
        <w:tc>
          <w:tcPr>
            <w:tcW w:type="dxa" w:w="2337"/>
          </w:tcPr>
          <w:p>
            <w:r>
              <w:rPr>
                <w:sz w:val="17"/>
              </w:rPr>
            </w:r>
            <w:r>
              <w:rPr>
                <w:sz w:val="17"/>
              </w:rPr>
              <w:t>Diff abbreviations vs 13 Glossary</w:t>
            </w:r>
          </w:p>
        </w:tc>
        <w:tc>
          <w:tcPr>
            <w:tcW w:type="dxa" w:w="1582"/>
          </w:tcPr>
          <w:p>
            <w:r>
              <w:rPr>
                <w:sz w:val="17"/>
              </w:rPr>
            </w:r>
            <w:r>
              <w:rPr>
                <w:sz w:val="17"/>
              </w:rPr>
              <w:t>Information Manager</w:t>
            </w:r>
          </w:p>
        </w:tc>
        <w:tc>
          <w:tcPr>
            <w:tcW w:type="dxa" w:w="3413"/>
          </w:tcPr>
          <w:p>
            <w:r>
              <w:rPr>
                <w:sz w:val="17"/>
              </w:rPr>
            </w:r>
            <w:r>
              <w:rPr>
                <w:sz w:val="17"/>
              </w:rPr>
              <w:t>Update glossary or notes, then re-publish</w:t>
            </w:r>
          </w:p>
        </w:tc>
      </w:tr>
      <w:tr>
        <w:trPr>
          <w:cantSplit/>
        </w:trPr>
        <w:tc>
          <w:tcPr>
            <w:tcW w:type="dxa" w:w="3134"/>
          </w:tcPr>
          <w:p>
            <w:r>
              <w:rPr>
                <w:sz w:val="17"/>
              </w:rPr>
            </w:r>
            <w:r>
              <w:rPr>
                <w:sz w:val="17"/>
              </w:rPr>
              <w:t>Revisions table matches title block and index</w:t>
            </w:r>
          </w:p>
        </w:tc>
        <w:tc>
          <w:tcPr>
            <w:tcW w:type="dxa" w:w="2337"/>
          </w:tcPr>
          <w:p>
            <w:r>
              <w:rPr>
                <w:sz w:val="17"/>
              </w:rPr>
            </w:r>
            <w:r>
              <w:rPr>
                <w:sz w:val="17"/>
              </w:rPr>
              <w:t>Automated pack comparison</w:t>
            </w:r>
          </w:p>
        </w:tc>
        <w:tc>
          <w:tcPr>
            <w:tcW w:type="dxa" w:w="1582"/>
          </w:tcPr>
          <w:p>
            <w:r>
              <w:rPr>
                <w:sz w:val="17"/>
              </w:rPr>
            </w:r>
            <w:r>
              <w:rPr>
                <w:sz w:val="17"/>
              </w:rPr>
              <w:t>Information Manager</w:t>
            </w:r>
          </w:p>
        </w:tc>
        <w:tc>
          <w:tcPr>
            <w:tcW w:type="dxa" w:w="3413"/>
          </w:tcPr>
          <w:p>
            <w:r>
              <w:rPr>
                <w:sz w:val="17"/>
              </w:rPr>
            </w:r>
            <w:r>
              <w:rPr>
                <w:sz w:val="17"/>
              </w:rPr>
              <w:t>Fix via issue workflow only</w:t>
            </w:r>
          </w:p>
        </w:tc>
      </w:tr>
    </w:tbl>
    <w:p/>
    <w:p>
      <w:pPr>
        <w:pStyle w:val="Heading1"/>
      </w:pPr>
      <w:r>
        <w:t>5 CAD STANDARD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95"/>
        <w:gridCol w:w="1618"/>
        <w:gridCol w:w="5172"/>
        <w:gridCol w:w="2482"/>
      </w:tblGrid>
      <w:tr>
        <w:trPr>
          <w:cantSplit/>
          <w:tblHeader/>
        </w:trPr>
        <w:tc>
          <w:tcPr>
            <w:tcW w:type="dxa" w:w="1195"/>
            <w:shd w:val="clear" w:color="auto" w:fill="111113"/>
          </w:tcPr>
          <w:p>
            <w:r>
              <w:rPr>
                <w:b/>
                <w:color w:val="FFFFFF"/>
                <w:sz w:val="17"/>
              </w:rPr>
            </w:r>
            <w:r>
              <w:rPr>
                <w:b/>
                <w:color w:val="FFFFFF"/>
                <w:sz w:val="17"/>
              </w:rPr>
              <w:t>TOPIC</w:t>
            </w:r>
          </w:p>
        </w:tc>
        <w:tc>
          <w:tcPr>
            <w:tcW w:type="dxa" w:w="1618"/>
            <w:shd w:val="clear" w:color="auto" w:fill="111113"/>
          </w:tcPr>
          <w:p>
            <w:r>
              <w:rPr>
                <w:b/>
                <w:color w:val="FFFFFF"/>
                <w:sz w:val="17"/>
              </w:rPr>
            </w:r>
            <w:r>
              <w:rPr>
                <w:b/>
                <w:color w:val="FFFFFF"/>
                <w:sz w:val="17"/>
              </w:rPr>
              <w:t>STANDARD</w:t>
            </w:r>
          </w:p>
        </w:tc>
        <w:tc>
          <w:tcPr>
            <w:tcW w:type="dxa" w:w="5172"/>
            <w:shd w:val="clear" w:color="auto" w:fill="111113"/>
          </w:tcPr>
          <w:p>
            <w:r>
              <w:rPr>
                <w:b/>
                <w:color w:val="FFFFFF"/>
                <w:sz w:val="17"/>
              </w:rPr>
            </w:r>
            <w:r>
              <w:rPr>
                <w:b/>
                <w:color w:val="FFFFFF"/>
                <w:sz w:val="17"/>
              </w:rPr>
              <w:t>SETTING /​ MAP</w:t>
            </w:r>
          </w:p>
        </w:tc>
        <w:tc>
          <w:tcPr>
            <w:tcW w:type="dxa" w:w="2482"/>
            <w:shd w:val="clear" w:color="auto" w:fill="111113"/>
          </w:tcPr>
          <w:p>
            <w:r>
              <w:rPr>
                <w:b/>
                <w:color w:val="FFFFFF"/>
                <w:sz w:val="17"/>
              </w:rPr>
            </w:r>
            <w:r>
              <w:rPr>
                <w:b/>
                <w:color w:val="FFFFFF"/>
                <w:sz w:val="17"/>
              </w:rPr>
              <w:t>NOTES</w:t>
            </w:r>
          </w:p>
        </w:tc>
      </w:tr>
      <w:tr>
        <w:trPr>
          <w:cantSplit/>
        </w:trPr>
        <w:tc>
          <w:tcPr>
            <w:tcW w:type="dxa" w:w="1195"/>
          </w:tcPr>
          <w:p>
            <w:r>
              <w:rPr>
                <w:sz w:val="17"/>
              </w:rPr>
            </w:r>
            <w:r>
              <w:rPr>
                <w:sz w:val="17"/>
              </w:rPr>
              <w:t>Units</w:t>
            </w:r>
          </w:p>
        </w:tc>
        <w:tc>
          <w:tcPr>
            <w:tcW w:type="dxa" w:w="1618"/>
          </w:tcPr>
          <w:p>
            <w:r>
              <w:rPr>
                <w:sz w:val="17"/>
              </w:rPr>
            </w:r>
            <w:r>
              <w:rPr>
                <w:sz w:val="17"/>
              </w:rPr>
              <w:t>Metric (mm)</w:t>
            </w:r>
          </w:p>
        </w:tc>
        <w:tc>
          <w:tcPr>
            <w:tcW w:type="dxa" w:w="5172"/>
          </w:tcPr>
          <w:p>
            <w:r>
              <w:rPr>
                <w:sz w:val="17"/>
              </w:rPr>
            </w:r>
            <w:r>
              <w:rPr>
                <w:sz w:val="17"/>
              </w:rPr>
              <w:t>Project Units: Length = mm, Angle = degrees</w:t>
            </w:r>
          </w:p>
        </w:tc>
        <w:tc>
          <w:tcPr>
            <w:tcW w:type="dxa" w:w="2482"/>
          </w:tcPr>
          <w:p>
            <w:r>
              <w:rPr>
                <w:sz w:val="17"/>
              </w:rPr>
            </w:r>
            <w:r>
              <w:rPr>
                <w:sz w:val="17"/>
              </w:rPr>
              <w:t>No mixed units on sheets; see 4.4 Dimensions</w:t>
            </w:r>
          </w:p>
        </w:tc>
      </w:tr>
      <w:tr>
        <w:trPr/>
        <w:tc>
          <w:tcPr>
            <w:tcW w:type="dxa" w:w="1195"/>
          </w:tcPr>
          <w:p>
            <w:r>
              <w:rPr>
                <w:sz w:val="17"/>
              </w:rPr>
            </w:r>
            <w:r>
              <w:rPr>
                <w:sz w:val="17"/>
              </w:rPr>
              <w:t>Coordinates</w:t>
            </w:r>
          </w:p>
        </w:tc>
        <w:tc>
          <w:tcPr>
            <w:tcW w:type="dxa" w:w="1618"/>
          </w:tcPr>
          <w:p>
            <w:r>
              <w:rPr>
                <w:sz w:val="17"/>
              </w:rPr>
            </w:r>
            <w:r>
              <w:rPr>
                <w:sz w:val="17"/>
              </w:rPr>
              <w:t>Shared Coordinates; project CRS = authority CRS by EPSG code</w:t>
            </w:r>
          </w:p>
        </w:tc>
        <w:tc>
          <w:tcPr>
            <w:tcW w:type="dxa" w:w="5172"/>
          </w:tcPr>
          <w:p>
            <w:r>
              <w:rPr>
                <w:sz w:val="17"/>
              </w:rPr>
            </w:r>
            <w:r>
              <w:rPr>
                <w:sz w:val="17"/>
              </w:rPr>
              <w:t>Dubai (BBM-STD-86 key CRS-DXB): DLTM, EPSG:3997, vertical datum DMD (no EPSG code). Abu Dhabi (key CRS-AUH): the CRS stated in the ADM/​DMT survey and CAD/​BIM submission guideline for the plot, vertical datum Ras Ghumays. Record vertical datum, units m/​mm, rotation, survey control points (≥3, O-DEC-106) and the transform to the local origin in BEP §8.2 /​ BBM-STD-86 before the RIBA 2 exchange; never hard-code a CRS</w:t>
            </w:r>
          </w:p>
        </w:tc>
        <w:tc>
          <w:tcPr>
            <w:tcW w:type="dxa" w:w="2482"/>
          </w:tcPr>
          <w:p>
            <w:r>
              <w:rPr>
                <w:sz w:val="17"/>
              </w:rPr>
            </w:r>
            <w:r>
              <w:rPr>
                <w:sz w:val="17"/>
              </w:rPr>
              <w:t>“Model Origin OK?” parameter ticked at RIBA 2 (3.2)</w:t>
            </w:r>
          </w:p>
        </w:tc>
      </w:tr>
      <w:tr>
        <w:trPr>
          <w:cantSplit/>
        </w:trPr>
        <w:tc>
          <w:tcPr>
            <w:tcW w:type="dxa" w:w="1195"/>
          </w:tcPr>
          <w:p>
            <w:r>
              <w:rPr>
                <w:sz w:val="17"/>
              </w:rPr>
            </w:r>
            <w:r>
              <w:rPr>
                <w:sz w:val="17"/>
              </w:rPr>
              <w:t>Layer naming</w:t>
            </w:r>
          </w:p>
        </w:tc>
        <w:tc>
          <w:tcPr>
            <w:tcW w:type="dxa" w:w="1618"/>
          </w:tcPr>
          <w:p>
            <w:r>
              <w:rPr>
                <w:sz w:val="17"/>
              </w:rPr>
            </w:r>
            <w:r>
              <w:rPr>
                <w:sz w:val="17"/>
              </w:rPr>
              <w:t>ISO 13567-1/​-2:2017 profile defined in BBM-STD-66</w:t>
            </w:r>
          </w:p>
        </w:tc>
        <w:tc>
          <w:tcPr>
            <w:tcW w:type="dxa" w:w="5172"/>
          </w:tcPr>
          <w:p>
            <w:r>
              <w:rPr>
                <w:sz w:val="17"/>
              </w:rPr>
            </w:r>
            <w:r>
              <w:rPr>
                <w:sz w:val="17"/>
              </w:rPr>
              <w:t>Mandatory fields agent /​ element /​ presentation</w:t>
            </w:r>
          </w:p>
        </w:tc>
        <w:tc>
          <w:tcPr>
            <w:tcW w:type="dxa" w:w="2482"/>
          </w:tcPr>
          <w:p>
            <w:r>
              <w:rPr>
                <w:sz w:val="17"/>
              </w:rPr>
            </w:r>
            <w:r>
              <w:rPr>
                <w:sz w:val="17"/>
              </w:rPr>
              <w:t>BBM-STD-66 governs DWG work; this section governs Revit import/​export only</w:t>
            </w:r>
          </w:p>
        </w:tc>
      </w:tr>
      <w:tr>
        <w:trPr>
          <w:cantSplit/>
        </w:trPr>
        <w:tc>
          <w:tcPr>
            <w:tcW w:type="dxa" w:w="1195"/>
          </w:tcPr>
          <w:p>
            <w:r>
              <w:rPr>
                <w:sz w:val="17"/>
              </w:rPr>
            </w:r>
            <w:r>
              <w:rPr>
                <w:sz w:val="17"/>
              </w:rPr>
              <w:t>Drawing conventions</w:t>
            </w:r>
          </w:p>
        </w:tc>
        <w:tc>
          <w:tcPr>
            <w:tcW w:type="dxa" w:w="1618"/>
          </w:tcPr>
          <w:p>
            <w:r>
              <w:rPr>
                <w:sz w:val="17"/>
              </w:rPr>
            </w:r>
            <w:r>
              <w:rPr>
                <w:sz w:val="17"/>
              </w:rPr>
              <w:t>ISO 128-1:2020 via BBM-STD-66 /​ BBM-STD-67</w:t>
            </w:r>
          </w:p>
        </w:tc>
        <w:tc>
          <w:tcPr>
            <w:tcW w:type="dxa" w:w="5172"/>
          </w:tcPr>
          <w:p>
            <w:r>
              <w:rPr>
                <w:sz w:val="17"/>
              </w:rPr>
            </w:r>
            <w:r>
              <w:rPr>
                <w:sz w:val="17"/>
              </w:rPr>
              <w:t>Line widths per 4.1.1</w:t>
            </w:r>
          </w:p>
        </w:tc>
        <w:tc>
          <w:tcPr>
            <w:tcW w:type="dxa" w:w="2482"/>
          </w:tcPr>
          <w:p>
            <w:r>
              <w:rPr>
                <w:sz w:val="17"/>
              </w:rPr>
            </w:r>
            <w:r>
              <w:rPr>
                <w:sz w:val="17"/>
              </w:rPr>
              <w:t>—</w:t>
            </w:r>
          </w:p>
        </w:tc>
      </w:tr>
      <w:tr>
        <w:trPr>
          <w:cantSplit/>
        </w:trPr>
        <w:tc>
          <w:tcPr>
            <w:tcW w:type="dxa" w:w="1195"/>
          </w:tcPr>
          <w:p>
            <w:r>
              <w:rPr>
                <w:sz w:val="17"/>
              </w:rPr>
            </w:r>
            <w:r>
              <w:rPr>
                <w:sz w:val="17"/>
              </w:rPr>
              <w:t>DWG Import</w:t>
            </w:r>
          </w:p>
        </w:tc>
        <w:tc>
          <w:tcPr>
            <w:tcW w:type="dxa" w:w="1618"/>
          </w:tcPr>
          <w:p>
            <w:r>
              <w:rPr>
                <w:sz w:val="17"/>
              </w:rPr>
            </w:r>
            <w:r>
              <w:rPr>
                <w:sz w:val="17"/>
              </w:rPr>
              <w:t>ByLayer mapping</w:t>
            </w:r>
          </w:p>
        </w:tc>
        <w:tc>
          <w:tcPr>
            <w:tcW w:type="dxa" w:w="5172"/>
          </w:tcPr>
          <w:p>
            <w:r>
              <w:rPr>
                <w:sz w:val="17"/>
              </w:rPr>
            </w:r>
            <w:r>
              <w:rPr>
                <w:sz w:val="17"/>
              </w:rPr>
              <w:t>Layers → Categories map v2.0 (BBM-STD-66 grammar; v1.0 legacy for projects already using it) stored in 02-SHARED/​05-DOCUMENTS/​02-STANDARDS</w:t>
            </w:r>
          </w:p>
        </w:tc>
        <w:tc>
          <w:tcPr>
            <w:tcW w:type="dxa" w:w="2482"/>
          </w:tcPr>
          <w:p>
            <w:r>
              <w:rPr>
                <w:sz w:val="17"/>
              </w:rPr>
            </w:r>
            <w:r>
              <w:rPr>
                <w:sz w:val="17"/>
              </w:rPr>
              <w:t>Imports placed on Imports workset; purge before issue</w:t>
            </w:r>
          </w:p>
        </w:tc>
      </w:tr>
      <w:tr>
        <w:trPr>
          <w:cantSplit/>
        </w:trPr>
        <w:tc>
          <w:tcPr>
            <w:tcW w:type="dxa" w:w="1195"/>
          </w:tcPr>
          <w:p>
            <w:r>
              <w:rPr>
                <w:sz w:val="17"/>
              </w:rPr>
            </w:r>
            <w:r>
              <w:rPr>
                <w:sz w:val="17"/>
              </w:rPr>
              <w:t>DWG Export</w:t>
            </w:r>
          </w:p>
        </w:tc>
        <w:tc>
          <w:tcPr>
            <w:tcW w:type="dxa" w:w="1618"/>
          </w:tcPr>
          <w:p>
            <w:r>
              <w:rPr>
                <w:sz w:val="17"/>
              </w:rPr>
            </w:r>
            <w:r>
              <w:rPr>
                <w:sz w:val="17"/>
              </w:rPr>
              <w:t>Custom export setup</w:t>
            </w:r>
          </w:p>
        </w:tc>
        <w:tc>
          <w:tcPr>
            <w:tcW w:type="dxa" w:w="5172"/>
          </w:tcPr>
          <w:p>
            <w:r>
              <w:rPr>
                <w:sz w:val="17"/>
              </w:rPr>
            </w:r>
            <w:r>
              <w:rPr>
                <w:sz w:val="17"/>
              </w:rPr>
              <w:t>ExportTable-DWG-v2.0.txt (v1.0 legacy, BBM-STD-66)</w:t>
            </w:r>
          </w:p>
        </w:tc>
        <w:tc>
          <w:tcPr>
            <w:tcW w:type="dxa" w:w="2482"/>
          </w:tcPr>
          <w:p>
            <w:r>
              <w:rPr>
                <w:sz w:val="17"/>
              </w:rPr>
            </w:r>
            <w:r>
              <w:rPr>
                <w:sz w:val="17"/>
              </w:rPr>
              <w:t>Lineweights and colors align to 4.1/​4.2</w:t>
            </w:r>
          </w:p>
        </w:tc>
      </w:tr>
      <w:tr>
        <w:trPr>
          <w:cantSplit/>
        </w:trPr>
        <w:tc>
          <w:tcPr>
            <w:tcW w:type="dxa" w:w="1195"/>
          </w:tcPr>
          <w:p>
            <w:r>
              <w:rPr>
                <w:sz w:val="17"/>
              </w:rPr>
            </w:r>
            <w:r>
              <w:rPr>
                <w:sz w:val="17"/>
              </w:rPr>
              <w:t>Line types</w:t>
            </w:r>
          </w:p>
        </w:tc>
        <w:tc>
          <w:tcPr>
            <w:tcW w:type="dxa" w:w="1618"/>
          </w:tcPr>
          <w:p>
            <w:r>
              <w:rPr>
                <w:sz w:val="17"/>
              </w:rPr>
            </w:r>
            <w:r>
              <w:rPr>
                <w:sz w:val="17"/>
              </w:rPr>
              <w:t>Per 4.1/​4.2</w:t>
            </w:r>
          </w:p>
        </w:tc>
        <w:tc>
          <w:tcPr>
            <w:tcW w:type="dxa" w:w="5172"/>
          </w:tcPr>
          <w:p>
            <w:r>
              <w:rPr>
                <w:sz w:val="17"/>
              </w:rPr>
            </w:r>
            <w:r>
              <w:rPr>
                <w:sz w:val="17"/>
              </w:rPr>
              <w:t>Matchline = Dash-Dot-Dot, wt=6</w:t>
            </w:r>
          </w:p>
        </w:tc>
        <w:tc>
          <w:tcPr>
            <w:tcW w:type="dxa" w:w="2482"/>
          </w:tcPr>
          <w:p>
            <w:r>
              <w:rPr>
                <w:sz w:val="17"/>
              </w:rPr>
            </w:r>
            <w:r>
              <w:rPr>
                <w:sz w:val="17"/>
              </w:rPr>
              <w:t>No ByElement overrides</w:t>
            </w:r>
          </w:p>
        </w:tc>
      </w:tr>
      <w:tr>
        <w:trPr>
          <w:cantSplit/>
        </w:trPr>
        <w:tc>
          <w:tcPr>
            <w:tcW w:type="dxa" w:w="1195"/>
          </w:tcPr>
          <w:p>
            <w:r>
              <w:rPr>
                <w:sz w:val="17"/>
              </w:rPr>
            </w:r>
            <w:r>
              <w:rPr>
                <w:sz w:val="17"/>
              </w:rPr>
              <w:t>Fonts</w:t>
            </w:r>
          </w:p>
        </w:tc>
        <w:tc>
          <w:tcPr>
            <w:tcW w:type="dxa" w:w="1618"/>
          </w:tcPr>
          <w:p>
            <w:r>
              <w:rPr>
                <w:sz w:val="17"/>
              </w:rPr>
            </w:r>
            <w:r>
              <w:rPr>
                <w:sz w:val="17"/>
              </w:rPr>
              <w:t>Per 4.3 Text</w:t>
            </w:r>
          </w:p>
        </w:tc>
        <w:tc>
          <w:tcPr>
            <w:tcW w:type="dxa" w:w="5172"/>
          </w:tcPr>
          <w:p>
            <w:r>
              <w:rPr>
                <w:sz w:val="17"/>
              </w:rPr>
            </w:r>
            <w:r>
              <w:rPr>
                <w:sz w:val="17"/>
              </w:rPr>
              <w:t>Single project font family</w:t>
            </w:r>
          </w:p>
        </w:tc>
        <w:tc>
          <w:tcPr>
            <w:tcW w:type="dxa" w:w="2482"/>
          </w:tcPr>
          <w:p>
            <w:r>
              <w:rPr>
                <w:sz w:val="17"/>
              </w:rPr>
            </w:r>
            <w:r>
              <w:rPr>
                <w:sz w:val="17"/>
              </w:rPr>
              <w:t>No mixed fonts on issue</w:t>
            </w:r>
          </w:p>
        </w:tc>
      </w:tr>
      <w:tr>
        <w:trPr>
          <w:cantSplit/>
        </w:trPr>
        <w:tc>
          <w:tcPr>
            <w:tcW w:type="dxa" w:w="1195"/>
          </w:tcPr>
          <w:p>
            <w:r>
              <w:rPr>
                <w:sz w:val="17"/>
              </w:rPr>
            </w:r>
            <w:r>
              <w:rPr>
                <w:sz w:val="17"/>
              </w:rPr>
              <w:t>Titleblocks</w:t>
            </w:r>
          </w:p>
        </w:tc>
        <w:tc>
          <w:tcPr>
            <w:tcW w:type="dxa" w:w="1618"/>
          </w:tcPr>
          <w:p>
            <w:r>
              <w:rPr>
                <w:sz w:val="17"/>
              </w:rPr>
            </w:r>
            <w:r>
              <w:rPr>
                <w:sz w:val="17"/>
              </w:rPr>
              <w:t>Per 4.10</w:t>
            </w:r>
          </w:p>
        </w:tc>
        <w:tc>
          <w:tcPr>
            <w:tcW w:type="dxa" w:w="5172"/>
          </w:tcPr>
          <w:p>
            <w:r>
              <w:rPr>
                <w:sz w:val="17"/>
              </w:rPr>
            </w:r>
            <w:r>
              <w:rPr>
                <w:sz w:val="17"/>
              </w:rPr>
              <w:t>BBM-G-TTB-A0/​A1/​A2/​A3 (O-DEC-144)</w:t>
            </w:r>
          </w:p>
        </w:tc>
        <w:tc>
          <w:tcPr>
            <w:tcW w:type="dxa" w:w="2482"/>
          </w:tcPr>
          <w:p>
            <w:r>
              <w:rPr>
                <w:sz w:val="17"/>
              </w:rPr>
            </w:r>
            <w:r>
              <w:rPr>
                <w:sz w:val="17"/>
              </w:rPr>
              <w:t>No geometry edits; parameters mandatory</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96"/>
        <w:gridCol w:w="2905"/>
        <w:gridCol w:w="1141"/>
        <w:gridCol w:w="3324"/>
      </w:tblGrid>
      <w:tr>
        <w:trPr>
          <w:cantSplit/>
          <w:tblHeader/>
        </w:trPr>
        <w:tc>
          <w:tcPr>
            <w:tcW w:type="dxa" w:w="3096"/>
            <w:shd w:val="clear" w:color="auto" w:fill="111113"/>
          </w:tcPr>
          <w:p>
            <w:r>
              <w:rPr>
                <w:b/>
                <w:color w:val="FFFFFF"/>
                <w:sz w:val="17"/>
              </w:rPr>
            </w:r>
            <w:r>
              <w:rPr>
                <w:b/>
                <w:color w:val="FFFFFF"/>
                <w:sz w:val="17"/>
              </w:rPr>
              <w:t>Acceptance criteria</w:t>
            </w:r>
          </w:p>
        </w:tc>
        <w:tc>
          <w:tcPr>
            <w:tcW w:type="dxa" w:w="2905"/>
            <w:shd w:val="clear" w:color="auto" w:fill="111113"/>
          </w:tcPr>
          <w:p>
            <w:r>
              <w:rPr>
                <w:b/>
                <w:color w:val="FFFFFF"/>
                <w:sz w:val="17"/>
              </w:rPr>
            </w:r>
            <w:r>
              <w:rPr>
                <w:b/>
                <w:color w:val="FFFFFF"/>
                <w:sz w:val="17"/>
              </w:rPr>
              <w:t>Quality checks</w:t>
            </w:r>
          </w:p>
        </w:tc>
        <w:tc>
          <w:tcPr>
            <w:tcW w:type="dxa" w:w="1141"/>
            <w:shd w:val="clear" w:color="auto" w:fill="111113"/>
          </w:tcPr>
          <w:p>
            <w:r>
              <w:rPr>
                <w:b/>
                <w:color w:val="FFFFFF"/>
                <w:sz w:val="17"/>
              </w:rPr>
            </w:r>
            <w:r>
              <w:rPr>
                <w:b/>
                <w:color w:val="FFFFFF"/>
                <w:sz w:val="17"/>
              </w:rPr>
              <w:t>Owner</w:t>
            </w:r>
          </w:p>
        </w:tc>
        <w:tc>
          <w:tcPr>
            <w:tcW w:type="dxa" w:w="3324"/>
            <w:shd w:val="clear" w:color="auto" w:fill="111113"/>
          </w:tcPr>
          <w:p>
            <w:r>
              <w:rPr>
                <w:b/>
                <w:color w:val="FFFFFF"/>
                <w:sz w:val="17"/>
              </w:rPr>
            </w:r>
            <w:r>
              <w:rPr>
                <w:b/>
                <w:color w:val="FFFFFF"/>
                <w:sz w:val="17"/>
              </w:rPr>
              <w:t>Edit criteria</w:t>
            </w:r>
          </w:p>
        </w:tc>
      </w:tr>
      <w:tr>
        <w:trPr>
          <w:cantSplit/>
        </w:trPr>
        <w:tc>
          <w:tcPr>
            <w:tcW w:type="dxa" w:w="3096"/>
          </w:tcPr>
          <w:p>
            <w:r>
              <w:rPr>
                <w:sz w:val="17"/>
              </w:rPr>
            </w:r>
            <w:r>
              <w:rPr>
                <w:sz w:val="17"/>
              </w:rPr>
              <w:t>All DWG imports isolated on Imports workset</w:t>
            </w:r>
          </w:p>
        </w:tc>
        <w:tc>
          <w:tcPr>
            <w:tcW w:type="dxa" w:w="2905"/>
          </w:tcPr>
          <w:p>
            <w:r>
              <w:rPr>
                <w:sz w:val="17"/>
              </w:rPr>
            </w:r>
            <w:r>
              <w:rPr>
                <w:sz w:val="17"/>
              </w:rPr>
              <w:t>Category + workset scan</w:t>
            </w:r>
          </w:p>
        </w:tc>
        <w:tc>
          <w:tcPr>
            <w:tcW w:type="dxa" w:w="1141"/>
          </w:tcPr>
          <w:p>
            <w:r>
              <w:rPr>
                <w:sz w:val="17"/>
              </w:rPr>
            </w:r>
            <w:r>
              <w:rPr>
                <w:sz w:val="17"/>
              </w:rPr>
              <w:t>Discipline Lead</w:t>
            </w:r>
          </w:p>
        </w:tc>
        <w:tc>
          <w:tcPr>
            <w:tcW w:type="dxa" w:w="3324"/>
          </w:tcPr>
          <w:p>
            <w:r>
              <w:rPr>
                <w:sz w:val="17"/>
              </w:rPr>
            </w:r>
            <w:r>
              <w:rPr>
                <w:sz w:val="17"/>
              </w:rPr>
              <w:t>Purge unused; unload before issue</w:t>
            </w:r>
          </w:p>
        </w:tc>
      </w:tr>
      <w:tr>
        <w:trPr>
          <w:cantSplit/>
        </w:trPr>
        <w:tc>
          <w:tcPr>
            <w:tcW w:type="dxa" w:w="3096"/>
          </w:tcPr>
          <w:p>
            <w:r>
              <w:rPr>
                <w:sz w:val="17"/>
              </w:rPr>
            </w:r>
            <w:r>
              <w:rPr>
                <w:sz w:val="17"/>
              </w:rPr>
              <w:t>Export uses approved DWG map</w:t>
            </w:r>
          </w:p>
        </w:tc>
        <w:tc>
          <w:tcPr>
            <w:tcW w:type="dxa" w:w="2905"/>
          </w:tcPr>
          <w:p>
            <w:r>
              <w:rPr>
                <w:sz w:val="17"/>
              </w:rPr>
            </w:r>
            <w:r>
              <w:rPr>
                <w:sz w:val="17"/>
              </w:rPr>
              <w:t>Export preset name check</w:t>
            </w:r>
          </w:p>
        </w:tc>
        <w:tc>
          <w:tcPr>
            <w:tcW w:type="dxa" w:w="1141"/>
          </w:tcPr>
          <w:p>
            <w:r>
              <w:rPr>
                <w:sz w:val="17"/>
              </w:rPr>
            </w:r>
            <w:r>
              <w:rPr>
                <w:sz w:val="17"/>
              </w:rPr>
              <w:t>BIM Coordinator</w:t>
            </w:r>
          </w:p>
        </w:tc>
        <w:tc>
          <w:tcPr>
            <w:tcW w:type="dxa" w:w="3324"/>
          </w:tcPr>
          <w:p>
            <w:r>
              <w:rPr>
                <w:sz w:val="17"/>
              </w:rPr>
            </w:r>
            <w:r>
              <w:rPr>
                <w:sz w:val="17"/>
              </w:rPr>
              <w:t>Update preset in template; do not per-model tweak</w:t>
            </w:r>
          </w:p>
        </w:tc>
      </w:tr>
      <w:tr>
        <w:trPr>
          <w:cantSplit/>
        </w:trPr>
        <w:tc>
          <w:tcPr>
            <w:tcW w:type="dxa" w:w="3096"/>
          </w:tcPr>
          <w:p>
            <w:r>
              <w:rPr>
                <w:sz w:val="17"/>
              </w:rPr>
            </w:r>
            <w:r>
              <w:rPr>
                <w:sz w:val="17"/>
              </w:rPr>
              <w:t>Coordinates validated at initiation</w:t>
            </w:r>
          </w:p>
        </w:tc>
        <w:tc>
          <w:tcPr>
            <w:tcW w:type="dxa" w:w="2905"/>
          </w:tcPr>
          <w:p>
            <w:r>
              <w:rPr>
                <w:sz w:val="17"/>
              </w:rPr>
            </w:r>
            <w:r>
              <w:rPr>
                <w:sz w:val="17"/>
              </w:rPr>
              <w:t>Start View audit panel screenshot</w:t>
            </w:r>
          </w:p>
        </w:tc>
        <w:tc>
          <w:tcPr>
            <w:tcW w:type="dxa" w:w="1141"/>
          </w:tcPr>
          <w:p>
            <w:r>
              <w:rPr>
                <w:sz w:val="17"/>
              </w:rPr>
            </w:r>
            <w:r>
              <w:rPr>
                <w:sz w:val="17"/>
              </w:rPr>
              <w:t>QA-QC Lead</w:t>
            </w:r>
          </w:p>
        </w:tc>
        <w:tc>
          <w:tcPr>
            <w:tcW w:type="dxa" w:w="3324"/>
          </w:tcPr>
          <w:p>
            <w:r>
              <w:rPr>
                <w:sz w:val="17"/>
              </w:rPr>
            </w:r>
            <w:r>
              <w:rPr>
                <w:sz w:val="17"/>
              </w:rPr>
              <w:t>Record in 2.3 evidence pack</w:t>
            </w:r>
          </w:p>
        </w:tc>
      </w:tr>
    </w:tbl>
    <w:p/>
    <w:p>
      <w:pPr>
        <w:pStyle w:val="Heading1"/>
      </w:pPr>
      <w:r>
        <w:t>6 LIBRARIES</w:t>
      </w:r>
    </w:p>
    <w:p>
      <w:pPr>
        <w:pStyle w:val="Heading2"/>
      </w:pPr>
      <w:r>
        <w:t>6.1 CONTENT LIBRARIES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1"/>
        <w:gridCol w:w="2388"/>
        <w:gridCol w:w="3142"/>
        <w:gridCol w:w="3656"/>
      </w:tblGrid>
      <w:tr>
        <w:trPr>
          <w:cantSplit/>
          <w:tblHeader/>
        </w:trPr>
        <w:tc>
          <w:tcPr>
            <w:tcW w:type="dxa" w:w="1281"/>
            <w:shd w:val="clear" w:color="auto" w:fill="111113"/>
          </w:tcPr>
          <w:p>
            <w:r>
              <w:rPr>
                <w:b/>
                <w:color w:val="FFFFFF"/>
                <w:sz w:val="17"/>
              </w:rPr>
            </w:r>
            <w:r>
              <w:rPr>
                <w:b/>
                <w:color w:val="FFFFFF"/>
                <w:sz w:val="17"/>
              </w:rPr>
              <w:t>TOPIC</w:t>
            </w:r>
          </w:p>
        </w:tc>
        <w:tc>
          <w:tcPr>
            <w:tcW w:type="dxa" w:w="2388"/>
            <w:shd w:val="clear" w:color="auto" w:fill="111113"/>
          </w:tcPr>
          <w:p>
            <w:r>
              <w:rPr>
                <w:b/>
                <w:color w:val="FFFFFF"/>
                <w:sz w:val="17"/>
              </w:rPr>
            </w:r>
            <w:r>
              <w:rPr>
                <w:b/>
                <w:color w:val="FFFFFF"/>
                <w:sz w:val="17"/>
              </w:rPr>
              <w:t>STANDARD</w:t>
            </w:r>
          </w:p>
        </w:tc>
        <w:tc>
          <w:tcPr>
            <w:tcW w:type="dxa" w:w="3142"/>
            <w:shd w:val="clear" w:color="auto" w:fill="111113"/>
          </w:tcPr>
          <w:p>
            <w:r>
              <w:rPr>
                <w:b/>
                <w:color w:val="FFFFFF"/>
                <w:sz w:val="17"/>
              </w:rPr>
            </w:r>
            <w:r>
              <w:rPr>
                <w:b/>
                <w:color w:val="FFFFFF"/>
                <w:sz w:val="17"/>
              </w:rPr>
              <w:t>SETTING /​ FIELD</w:t>
            </w:r>
          </w:p>
        </w:tc>
        <w:tc>
          <w:tcPr>
            <w:tcW w:type="dxa" w:w="3656"/>
            <w:shd w:val="clear" w:color="auto" w:fill="111113"/>
          </w:tcPr>
          <w:p>
            <w:r>
              <w:rPr>
                <w:b/>
                <w:color w:val="FFFFFF"/>
                <w:sz w:val="17"/>
              </w:rPr>
            </w:r>
            <w:r>
              <w:rPr>
                <w:b/>
                <w:color w:val="FFFFFF"/>
                <w:sz w:val="17"/>
              </w:rPr>
              <w:t>NOTES</w:t>
            </w:r>
          </w:p>
        </w:tc>
      </w:tr>
      <w:tr>
        <w:trPr>
          <w:cantSplit/>
        </w:trPr>
        <w:tc>
          <w:tcPr>
            <w:tcW w:type="dxa" w:w="1281"/>
          </w:tcPr>
          <w:p>
            <w:r>
              <w:rPr>
                <w:sz w:val="17"/>
              </w:rPr>
            </w:r>
            <w:r>
              <w:rPr>
                <w:sz w:val="17"/>
              </w:rPr>
              <w:t>Naming</w:t>
            </w:r>
          </w:p>
        </w:tc>
        <w:tc>
          <w:tcPr>
            <w:tcW w:type="dxa" w:w="2388"/>
          </w:tcPr>
          <w:p>
            <w:r>
              <w:rPr>
                <w:sz w:val="17"/>
              </w:rPr>
            </w:r>
            <w:r>
              <w:rPr>
                <w:sz w:val="17"/>
              </w:rPr>
              <w:t>ORG-DISC-CAT-TYPE-DESC-vNN</w:t>
            </w:r>
          </w:p>
        </w:tc>
        <w:tc>
          <w:tcPr>
            <w:tcW w:type="dxa" w:w="3142"/>
          </w:tcPr>
          <w:p>
            <w:r>
              <w:rPr>
                <w:sz w:val="17"/>
              </w:rPr>
            </w:r>
            <w:r>
              <w:rPr>
                <w:sz w:val="17"/>
              </w:rPr>
              <w:t>Family Name, Type Name</w:t>
            </w:r>
          </w:p>
        </w:tc>
        <w:tc>
          <w:tcPr>
            <w:tcW w:type="dxa" w:w="3656"/>
          </w:tcPr>
          <w:p>
            <w:r>
              <w:rPr>
                <w:sz w:val="17"/>
              </w:rPr>
            </w:r>
            <w:r>
              <w:rPr>
                <w:sz w:val="17"/>
              </w:rPr>
              <w:t>Tokens align to 3.1 and 12.3; no spaces around dashes</w:t>
            </w:r>
          </w:p>
        </w:tc>
      </w:tr>
      <w:tr>
        <w:trPr>
          <w:cantSplit/>
        </w:trPr>
        <w:tc>
          <w:tcPr>
            <w:tcW w:type="dxa" w:w="1281"/>
          </w:tcPr>
          <w:p>
            <w:r>
              <w:rPr>
                <w:sz w:val="17"/>
              </w:rPr>
            </w:r>
            <w:r>
              <w:rPr>
                <w:sz w:val="17"/>
              </w:rPr>
              <w:t>Classification</w:t>
            </w:r>
          </w:p>
        </w:tc>
        <w:tc>
          <w:tcPr>
            <w:tcW w:type="dxa" w:w="2388"/>
          </w:tcPr>
          <w:p>
            <w:r>
              <w:rPr>
                <w:sz w:val="17"/>
              </w:rPr>
            </w:r>
            <w:r>
              <w:rPr>
                <w:sz w:val="17"/>
              </w:rPr>
              <w:t>Uniclass</w:t>
            </w:r>
          </w:p>
        </w:tc>
        <w:tc>
          <w:tcPr>
            <w:tcW w:type="dxa" w:w="3142"/>
          </w:tcPr>
          <w:p>
            <w:r>
              <w:rPr>
                <w:sz w:val="17"/>
              </w:rPr>
            </w:r>
            <w:r>
              <w:rPr>
                <w:sz w:val="17"/>
              </w:rPr>
              <w:t>Parameter: Classification_Code (+ Table/​Title/​Release)</w:t>
            </w:r>
          </w:p>
        </w:tc>
        <w:tc>
          <w:tcPr>
            <w:tcW w:type="dxa" w:w="3656"/>
          </w:tcPr>
          <w:p>
            <w:r>
              <w:rPr>
                <w:sz w:val="17"/>
              </w:rPr>
            </w:r>
            <w:r>
              <w:rPr>
                <w:sz w:val="17"/>
              </w:rPr>
              <w:t>Required per the LOIN worksheet of the exchange</w:t>
            </w:r>
          </w:p>
        </w:tc>
      </w:tr>
      <w:tr>
        <w:trPr>
          <w:cantSplit/>
        </w:trPr>
        <w:tc>
          <w:tcPr>
            <w:tcW w:type="dxa" w:w="1281"/>
          </w:tcPr>
          <w:p>
            <w:r>
              <w:rPr>
                <w:sz w:val="17"/>
              </w:rPr>
            </w:r>
            <w:r>
              <w:rPr>
                <w:sz w:val="17"/>
              </w:rPr>
              <w:t>Parameters — Core</w:t>
            </w:r>
          </w:p>
        </w:tc>
        <w:tc>
          <w:tcPr>
            <w:tcW w:type="dxa" w:w="2388"/>
          </w:tcPr>
          <w:p>
            <w:r>
              <w:rPr>
                <w:sz w:val="17"/>
              </w:rPr>
            </w:r>
            <w:r>
              <w:rPr>
                <w:sz w:val="17"/>
              </w:rPr>
              <w:t>Per 3.2</w:t>
            </w:r>
          </w:p>
        </w:tc>
        <w:tc>
          <w:tcPr>
            <w:tcW w:type="dxa" w:w="3142"/>
          </w:tcPr>
          <w:p>
            <w:r>
              <w:rPr>
                <w:sz w:val="17"/>
              </w:rPr>
            </w:r>
            <w:r>
              <w:rPr>
                <w:sz w:val="17"/>
              </w:rPr>
              <w:t>Classification_Code, System, Zone, Level, Export Exclude</w:t>
            </w:r>
          </w:p>
        </w:tc>
        <w:tc>
          <w:tcPr>
            <w:tcW w:type="dxa" w:w="3656"/>
          </w:tcPr>
          <w:p>
            <w:r>
              <w:rPr>
                <w:sz w:val="17"/>
              </w:rPr>
            </w:r>
            <w:r>
              <w:rPr>
                <w:sz w:val="17"/>
              </w:rPr>
              <w:t>Bound at instance or type as specified in 3.2</w:t>
            </w:r>
          </w:p>
        </w:tc>
      </w:tr>
      <w:tr>
        <w:trPr>
          <w:cantSplit/>
        </w:trPr>
        <w:tc>
          <w:tcPr>
            <w:tcW w:type="dxa" w:w="1281"/>
          </w:tcPr>
          <w:p>
            <w:r>
              <w:rPr>
                <w:sz w:val="17"/>
              </w:rPr>
            </w:r>
            <w:r>
              <w:rPr>
                <w:sz w:val="17"/>
              </w:rPr>
              <w:t>Information need</w:t>
            </w:r>
          </w:p>
        </w:tc>
        <w:tc>
          <w:tcPr>
            <w:tcW w:type="dxa" w:w="2388"/>
          </w:tcPr>
          <w:p>
            <w:r>
              <w:rPr>
                <w:sz w:val="17"/>
              </w:rPr>
            </w:r>
            <w:r>
              <w:rPr>
                <w:sz w:val="17"/>
              </w:rPr>
              <w:t>Per BBM-STD-54 LOIN worksheet for the exchange</w:t>
            </w:r>
          </w:p>
        </w:tc>
        <w:tc>
          <w:tcPr>
            <w:tcW w:type="dxa" w:w="3142"/>
          </w:tcPr>
          <w:p>
            <w:r>
              <w:rPr>
                <w:sz w:val="17"/>
              </w:rPr>
            </w:r>
            <w:r>
              <w:rPr>
                <w:sz w:val="17"/>
              </w:rPr>
              <w:t>Geometry, alphanumeric, documentation</w:t>
            </w:r>
          </w:p>
        </w:tc>
        <w:tc>
          <w:tcPr>
            <w:tcW w:type="dxa" w:w="3656"/>
          </w:tcPr>
          <w:p>
            <w:r>
              <w:rPr>
                <w:sz w:val="17"/>
              </w:rPr>
            </w:r>
            <w:r>
              <w:rPr>
                <w:sz w:val="17"/>
              </w:rPr>
              <w:t>No over-modeling; maintain lightweight symbols</w:t>
            </w:r>
          </w:p>
        </w:tc>
      </w:tr>
      <w:tr>
        <w:trPr>
          <w:cantSplit/>
        </w:trPr>
        <w:tc>
          <w:tcPr>
            <w:tcW w:type="dxa" w:w="1281"/>
          </w:tcPr>
          <w:p>
            <w:r>
              <w:rPr>
                <w:sz w:val="17"/>
              </w:rPr>
            </w:r>
            <w:r>
              <w:rPr>
                <w:sz w:val="17"/>
              </w:rPr>
              <w:t>Materials</w:t>
            </w:r>
          </w:p>
        </w:tc>
        <w:tc>
          <w:tcPr>
            <w:tcW w:type="dxa" w:w="2388"/>
          </w:tcPr>
          <w:p>
            <w:r>
              <w:rPr>
                <w:sz w:val="17"/>
              </w:rPr>
            </w:r>
            <w:r>
              <w:rPr>
                <w:sz w:val="17"/>
              </w:rPr>
              <w:t>Approved set only</w:t>
            </w:r>
          </w:p>
        </w:tc>
        <w:tc>
          <w:tcPr>
            <w:tcW w:type="dxa" w:w="3142"/>
          </w:tcPr>
          <w:p>
            <w:r>
              <w:rPr>
                <w:sz w:val="17"/>
              </w:rPr>
            </w:r>
            <w:r>
              <w:rPr>
                <w:sz w:val="17"/>
              </w:rPr>
              <w:t>Material Name, Appearance</w:t>
            </w:r>
          </w:p>
        </w:tc>
        <w:tc>
          <w:tcPr>
            <w:tcW w:type="dxa" w:w="3656"/>
          </w:tcPr>
          <w:p>
            <w:r>
              <w:rPr>
                <w:sz w:val="17"/>
              </w:rPr>
            </w:r>
            <w:r>
              <w:rPr>
                <w:sz w:val="17"/>
              </w:rPr>
              <w:t>No project-specific ad-hoc materials in library families</w:t>
            </w:r>
          </w:p>
        </w:tc>
      </w:tr>
      <w:tr>
        <w:trPr>
          <w:cantSplit/>
        </w:trPr>
        <w:tc>
          <w:tcPr>
            <w:tcW w:type="dxa" w:w="1281"/>
          </w:tcPr>
          <w:p>
            <w:r>
              <w:rPr>
                <w:sz w:val="17"/>
              </w:rPr>
            </w:r>
            <w:r>
              <w:rPr>
                <w:sz w:val="17"/>
              </w:rPr>
              <w:t>Connectors</w:t>
            </w:r>
          </w:p>
        </w:tc>
        <w:tc>
          <w:tcPr>
            <w:tcW w:type="dxa" w:w="2388"/>
          </w:tcPr>
          <w:p>
            <w:r>
              <w:rPr>
                <w:sz w:val="17"/>
              </w:rPr>
            </w:r>
            <w:r>
              <w:rPr>
                <w:sz w:val="17"/>
              </w:rPr>
              <w:t>Discipline rules</w:t>
            </w:r>
          </w:p>
        </w:tc>
        <w:tc>
          <w:tcPr>
            <w:tcW w:type="dxa" w:w="3142"/>
          </w:tcPr>
          <w:p>
            <w:r>
              <w:rPr>
                <w:sz w:val="17"/>
              </w:rPr>
            </w:r>
            <w:r>
              <w:rPr>
                <w:sz w:val="17"/>
              </w:rPr>
              <w:t>MEP connectors typed</w:t>
            </w:r>
          </w:p>
        </w:tc>
        <w:tc>
          <w:tcPr>
            <w:tcW w:type="dxa" w:w="3656"/>
          </w:tcPr>
          <w:p>
            <w:r>
              <w:rPr>
                <w:sz w:val="17"/>
              </w:rPr>
            </w:r>
            <w:r>
              <w:rPr>
                <w:sz w:val="17"/>
              </w:rPr>
              <w:t>Systems, units, and directions validated</w:t>
            </w:r>
          </w:p>
        </w:tc>
      </w:tr>
      <w:tr>
        <w:trPr>
          <w:cantSplit/>
        </w:trPr>
        <w:tc>
          <w:tcPr>
            <w:tcW w:type="dxa" w:w="1281"/>
          </w:tcPr>
          <w:p>
            <w:r>
              <w:rPr>
                <w:sz w:val="17"/>
              </w:rPr>
            </w:r>
            <w:r>
              <w:rPr>
                <w:sz w:val="17"/>
              </w:rPr>
              <w:t>Visibility</w:t>
            </w:r>
          </w:p>
        </w:tc>
        <w:tc>
          <w:tcPr>
            <w:tcW w:type="dxa" w:w="2388"/>
          </w:tcPr>
          <w:p>
            <w:r>
              <w:rPr>
                <w:sz w:val="17"/>
              </w:rPr>
            </w:r>
            <w:r>
              <w:rPr>
                <w:sz w:val="17"/>
              </w:rPr>
              <w:t>View discipline aware</w:t>
            </w:r>
          </w:p>
        </w:tc>
        <w:tc>
          <w:tcPr>
            <w:tcW w:type="dxa" w:w="3142"/>
          </w:tcPr>
          <w:p>
            <w:r>
              <w:rPr>
                <w:sz w:val="17"/>
              </w:rPr>
            </w:r>
            <w:r>
              <w:rPr>
                <w:sz w:val="17"/>
              </w:rPr>
              <w:t>Subcat + visibility states</w:t>
            </w:r>
          </w:p>
        </w:tc>
        <w:tc>
          <w:tcPr>
            <w:tcW w:type="dxa" w:w="3656"/>
          </w:tcPr>
          <w:p>
            <w:r>
              <w:rPr>
                <w:sz w:val="17"/>
              </w:rPr>
            </w:r>
            <w:r>
              <w:rPr>
                <w:sz w:val="17"/>
              </w:rPr>
              <w:t>Sheet graphics match 4.1/​4.2; no masking hacks</w:t>
            </w:r>
          </w:p>
        </w:tc>
      </w:tr>
      <w:tr>
        <w:trPr>
          <w:cantSplit/>
        </w:trPr>
        <w:tc>
          <w:tcPr>
            <w:tcW w:type="dxa" w:w="1281"/>
          </w:tcPr>
          <w:p>
            <w:r>
              <w:rPr>
                <w:sz w:val="17"/>
              </w:rPr>
            </w:r>
            <w:r>
              <w:rPr>
                <w:sz w:val="17"/>
              </w:rPr>
              <w:t>Library structure</w:t>
            </w:r>
          </w:p>
        </w:tc>
        <w:tc>
          <w:tcPr>
            <w:tcW w:type="dxa" w:w="2388"/>
          </w:tcPr>
          <w:p>
            <w:r>
              <w:rPr>
                <w:sz w:val="17"/>
              </w:rPr>
            </w:r>
            <w:r>
              <w:rPr>
                <w:sz w:val="17"/>
              </w:rPr>
              <w:t>02-SHARED/​08-PROJECT-LIBRARY</w:t>
            </w:r>
          </w:p>
        </w:tc>
        <w:tc>
          <w:tcPr>
            <w:tcW w:type="dxa" w:w="3142"/>
          </w:tcPr>
          <w:p>
            <w:r>
              <w:rPr>
                <w:sz w:val="17"/>
              </w:rPr>
            </w:r>
            <w:r>
              <w:rPr>
                <w:sz w:val="17"/>
              </w:rPr>
              <w:t>00-TTB-AND-COVER, 01-GENERAL, 02-ARC …</w:t>
            </w:r>
          </w:p>
        </w:tc>
        <w:tc>
          <w:tcPr>
            <w:tcW w:type="dxa" w:w="3656"/>
          </w:tcPr>
          <w:p>
            <w:r>
              <w:rPr>
                <w:sz w:val="17"/>
              </w:rPr>
            </w:r>
            <w:r>
              <w:rPr>
                <w:sz w:val="17"/>
              </w:rPr>
              <w:t>Per 12.1 tree; read-only except curators</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254"/>
        <w:gridCol w:w="1798"/>
        <w:gridCol w:w="1122"/>
        <w:gridCol w:w="4291"/>
      </w:tblGrid>
      <w:tr>
        <w:trPr>
          <w:cantSplit/>
          <w:tblHeader/>
        </w:trPr>
        <w:tc>
          <w:tcPr>
            <w:tcW w:type="dxa" w:w="3254"/>
            <w:shd w:val="clear" w:color="auto" w:fill="111113"/>
          </w:tcPr>
          <w:p>
            <w:r>
              <w:rPr>
                <w:b/>
                <w:color w:val="FFFFFF"/>
                <w:sz w:val="17"/>
              </w:rPr>
            </w:r>
            <w:r>
              <w:rPr>
                <w:b/>
                <w:color w:val="FFFFFF"/>
                <w:sz w:val="17"/>
              </w:rPr>
              <w:t>Acceptance criteria</w:t>
            </w:r>
          </w:p>
        </w:tc>
        <w:tc>
          <w:tcPr>
            <w:tcW w:type="dxa" w:w="1798"/>
            <w:shd w:val="clear" w:color="auto" w:fill="111113"/>
          </w:tcPr>
          <w:p>
            <w:r>
              <w:rPr>
                <w:b/>
                <w:color w:val="FFFFFF"/>
                <w:sz w:val="17"/>
              </w:rPr>
            </w:r>
            <w:r>
              <w:rPr>
                <w:b/>
                <w:color w:val="FFFFFF"/>
                <w:sz w:val="17"/>
              </w:rPr>
              <w:t>Quality checks</w:t>
            </w:r>
          </w:p>
        </w:tc>
        <w:tc>
          <w:tcPr>
            <w:tcW w:type="dxa" w:w="1122"/>
            <w:shd w:val="clear" w:color="auto" w:fill="111113"/>
          </w:tcPr>
          <w:p>
            <w:r>
              <w:rPr>
                <w:b/>
                <w:color w:val="FFFFFF"/>
                <w:sz w:val="17"/>
              </w:rPr>
            </w:r>
            <w:r>
              <w:rPr>
                <w:b/>
                <w:color w:val="FFFFFF"/>
                <w:sz w:val="17"/>
              </w:rPr>
              <w:t>Owner</w:t>
            </w:r>
          </w:p>
        </w:tc>
        <w:tc>
          <w:tcPr>
            <w:tcW w:type="dxa" w:w="4291"/>
            <w:shd w:val="clear" w:color="auto" w:fill="111113"/>
          </w:tcPr>
          <w:p>
            <w:r>
              <w:rPr>
                <w:b/>
                <w:color w:val="FFFFFF"/>
                <w:sz w:val="17"/>
              </w:rPr>
            </w:r>
            <w:r>
              <w:rPr>
                <w:b/>
                <w:color w:val="FFFFFF"/>
                <w:sz w:val="17"/>
              </w:rPr>
              <w:t>Edit criteria</w:t>
            </w:r>
          </w:p>
        </w:tc>
      </w:tr>
      <w:tr>
        <w:trPr>
          <w:cantSplit/>
        </w:trPr>
        <w:tc>
          <w:tcPr>
            <w:tcW w:type="dxa" w:w="3254"/>
          </w:tcPr>
          <w:p>
            <w:r>
              <w:rPr>
                <w:sz w:val="17"/>
              </w:rPr>
            </w:r>
            <w:r>
              <w:rPr>
                <w:sz w:val="17"/>
              </w:rPr>
              <w:t>100% of issued families include core parameters per 3.2</w:t>
            </w:r>
          </w:p>
        </w:tc>
        <w:tc>
          <w:tcPr>
            <w:tcW w:type="dxa" w:w="1798"/>
          </w:tcPr>
          <w:p>
            <w:r>
              <w:rPr>
                <w:sz w:val="17"/>
              </w:rPr>
            </w:r>
            <w:r>
              <w:rPr>
                <w:sz w:val="17"/>
              </w:rPr>
              <w:t>Parameter presence and type audit</w:t>
            </w:r>
          </w:p>
        </w:tc>
        <w:tc>
          <w:tcPr>
            <w:tcW w:type="dxa" w:w="1122"/>
          </w:tcPr>
          <w:p>
            <w:r>
              <w:rPr>
                <w:sz w:val="17"/>
              </w:rPr>
            </w:r>
            <w:r>
              <w:rPr>
                <w:sz w:val="17"/>
              </w:rPr>
              <w:t>Information Manager</w:t>
            </w:r>
          </w:p>
        </w:tc>
        <w:tc>
          <w:tcPr>
            <w:tcW w:type="dxa" w:w="4291"/>
          </w:tcPr>
          <w:p>
            <w:r>
              <w:rPr>
                <w:sz w:val="17"/>
              </w:rPr>
            </w:r>
            <w:r>
              <w:rPr>
                <w:sz w:val="17"/>
              </w:rPr>
              <w:t>Backfill map; log changes in 01-STANDARD-UPDATES</w:t>
            </w:r>
          </w:p>
        </w:tc>
      </w:tr>
      <w:tr>
        <w:trPr>
          <w:cantSplit/>
        </w:trPr>
        <w:tc>
          <w:tcPr>
            <w:tcW w:type="dxa" w:w="3254"/>
          </w:tcPr>
          <w:p>
            <w:r>
              <w:rPr>
                <w:sz w:val="17"/>
              </w:rPr>
            </w:r>
            <w:r>
              <w:rPr>
                <w:sz w:val="17"/>
              </w:rPr>
              <w:t>Classification_Code populated where the LOIN worksheet requires it</w:t>
            </w:r>
          </w:p>
        </w:tc>
        <w:tc>
          <w:tcPr>
            <w:tcW w:type="dxa" w:w="1798"/>
          </w:tcPr>
          <w:p>
            <w:r>
              <w:rPr>
                <w:sz w:val="17"/>
              </w:rPr>
            </w:r>
            <w:r>
              <w:rPr>
                <w:sz w:val="17"/>
              </w:rPr>
              <w:t>Classification coverage report</w:t>
            </w:r>
          </w:p>
        </w:tc>
        <w:tc>
          <w:tcPr>
            <w:tcW w:type="dxa" w:w="1122"/>
          </w:tcPr>
          <w:p>
            <w:r>
              <w:rPr>
                <w:sz w:val="17"/>
              </w:rPr>
            </w:r>
            <w:r>
              <w:rPr>
                <w:sz w:val="17"/>
              </w:rPr>
              <w:t>Discipline Lead</w:t>
            </w:r>
          </w:p>
        </w:tc>
        <w:tc>
          <w:tcPr>
            <w:tcW w:type="dxa" w:w="4291"/>
          </w:tcPr>
          <w:p>
            <w:r>
              <w:rPr>
                <w:sz w:val="17"/>
              </w:rPr>
            </w:r>
            <w:r>
              <w:rPr>
                <w:sz w:val="17"/>
              </w:rPr>
              <w:t>Update via schedules before issue</w:t>
            </w:r>
          </w:p>
        </w:tc>
      </w:tr>
      <w:tr>
        <w:trPr>
          <w:cantSplit/>
        </w:trPr>
        <w:tc>
          <w:tcPr>
            <w:tcW w:type="dxa" w:w="3254"/>
          </w:tcPr>
          <w:p>
            <w:r>
              <w:rPr>
                <w:sz w:val="17"/>
              </w:rPr>
            </w:r>
            <w:r>
              <w:rPr>
                <w:sz w:val="17"/>
              </w:rPr>
              <w:t>No rogue materials or subcategories</w:t>
            </w:r>
          </w:p>
        </w:tc>
        <w:tc>
          <w:tcPr>
            <w:tcW w:type="dxa" w:w="1798"/>
          </w:tcPr>
          <w:p>
            <w:r>
              <w:rPr>
                <w:sz w:val="17"/>
              </w:rPr>
            </w:r>
            <w:r>
              <w:rPr>
                <w:sz w:val="17"/>
              </w:rPr>
              <w:t>Materials and subcat lint</w:t>
            </w:r>
          </w:p>
        </w:tc>
        <w:tc>
          <w:tcPr>
            <w:tcW w:type="dxa" w:w="1122"/>
          </w:tcPr>
          <w:p>
            <w:r>
              <w:rPr>
                <w:sz w:val="17"/>
              </w:rPr>
            </w:r>
            <w:r>
              <w:rPr>
                <w:sz w:val="17"/>
              </w:rPr>
              <w:t>QA-QC Lead</w:t>
            </w:r>
          </w:p>
        </w:tc>
        <w:tc>
          <w:tcPr>
            <w:tcW w:type="dxa" w:w="4291"/>
          </w:tcPr>
          <w:p>
            <w:r>
              <w:rPr>
                <w:sz w:val="17"/>
              </w:rPr>
            </w:r>
            <w:r>
              <w:rPr>
                <w:sz w:val="17"/>
              </w:rPr>
              <w:t>Normalize to approved set; purge only demonstrably unused, non-required content after a protected-copy comparison</w:t>
            </w:r>
          </w:p>
        </w:tc>
      </w:tr>
    </w:tbl>
    <w:p/>
    <w:p>
      <w:pPr/>
      <w:r>
        <w:t>Examples — naming</w:t>
      </w:r>
    </w:p>
    <w:p>
      <w:pPr/>
      <w:r>
        <w:t>Furniture Chair: ORG-ARC-FUR-CHAIR-Visitor-v01</w:t>
      </w:r>
    </w:p>
    <w:p>
      <w:pPr/>
      <w:r>
        <w:t>Diffuser Square: ORG-MEC-AIR-DIFF-SQ600-v02</w:t>
      </w:r>
    </w:p>
    <w:p>
      <w:pPr>
        <w:pStyle w:val="Heading2"/>
      </w:pPr>
      <w:r>
        <w:t>6.2 DETAIL LIBRARIES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23"/>
        <w:gridCol w:w="2633"/>
        <w:gridCol w:w="3346"/>
        <w:gridCol w:w="3563"/>
      </w:tblGrid>
      <w:tr>
        <w:trPr>
          <w:cantSplit/>
          <w:tblHeader/>
        </w:trPr>
        <w:tc>
          <w:tcPr>
            <w:tcW w:type="dxa" w:w="923"/>
            <w:shd w:val="clear" w:color="auto" w:fill="111113"/>
          </w:tcPr>
          <w:p>
            <w:r>
              <w:rPr>
                <w:b/>
                <w:color w:val="FFFFFF"/>
                <w:sz w:val="17"/>
              </w:rPr>
            </w:r>
            <w:r>
              <w:rPr>
                <w:b/>
                <w:color w:val="FFFFFF"/>
                <w:sz w:val="17"/>
              </w:rPr>
              <w:t>TOPIC</w:t>
            </w:r>
          </w:p>
        </w:tc>
        <w:tc>
          <w:tcPr>
            <w:tcW w:type="dxa" w:w="2633"/>
            <w:shd w:val="clear" w:color="auto" w:fill="111113"/>
          </w:tcPr>
          <w:p>
            <w:r>
              <w:rPr>
                <w:b/>
                <w:color w:val="FFFFFF"/>
                <w:sz w:val="17"/>
              </w:rPr>
            </w:r>
            <w:r>
              <w:rPr>
                <w:b/>
                <w:color w:val="FFFFFF"/>
                <w:sz w:val="17"/>
              </w:rPr>
              <w:t>STANDARD</w:t>
            </w:r>
          </w:p>
        </w:tc>
        <w:tc>
          <w:tcPr>
            <w:tcW w:type="dxa" w:w="3346"/>
            <w:shd w:val="clear" w:color="auto" w:fill="111113"/>
          </w:tcPr>
          <w:p>
            <w:r>
              <w:rPr>
                <w:b/>
                <w:color w:val="FFFFFF"/>
                <w:sz w:val="17"/>
              </w:rPr>
            </w:r>
            <w:r>
              <w:rPr>
                <w:b/>
                <w:color w:val="FFFFFF"/>
                <w:sz w:val="17"/>
              </w:rPr>
              <w:t>SETTING /​ FIELD</w:t>
            </w:r>
          </w:p>
        </w:tc>
        <w:tc>
          <w:tcPr>
            <w:tcW w:type="dxa" w:w="3563"/>
            <w:shd w:val="clear" w:color="auto" w:fill="111113"/>
          </w:tcPr>
          <w:p>
            <w:r>
              <w:rPr>
                <w:b/>
                <w:color w:val="FFFFFF"/>
                <w:sz w:val="17"/>
              </w:rPr>
            </w:r>
            <w:r>
              <w:rPr>
                <w:b/>
                <w:color w:val="FFFFFF"/>
                <w:sz w:val="17"/>
              </w:rPr>
              <w:t>NOTES</w:t>
            </w:r>
          </w:p>
        </w:tc>
      </w:tr>
      <w:tr>
        <w:trPr>
          <w:cantSplit/>
        </w:trPr>
        <w:tc>
          <w:tcPr>
            <w:tcW w:type="dxa" w:w="923"/>
          </w:tcPr>
          <w:p>
            <w:r>
              <w:rPr>
                <w:sz w:val="17"/>
              </w:rPr>
            </w:r>
            <w:r>
              <w:rPr>
                <w:sz w:val="17"/>
              </w:rPr>
              <w:t>Naming</w:t>
            </w:r>
          </w:p>
        </w:tc>
        <w:tc>
          <w:tcPr>
            <w:tcW w:type="dxa" w:w="2633"/>
          </w:tcPr>
          <w:p>
            <w:r>
              <w:rPr>
                <w:sz w:val="17"/>
              </w:rPr>
            </w:r>
            <w:r>
              <w:rPr>
                <w:sz w:val="17"/>
              </w:rPr>
              <w:t>DET-DISC-CAT-INDEX-DESC</w:t>
            </w:r>
          </w:p>
        </w:tc>
        <w:tc>
          <w:tcPr>
            <w:tcW w:type="dxa" w:w="3346"/>
          </w:tcPr>
          <w:p>
            <w:r>
              <w:rPr>
                <w:sz w:val="17"/>
              </w:rPr>
            </w:r>
            <w:r>
              <w:rPr>
                <w:sz w:val="17"/>
              </w:rPr>
              <w:t>View Name, Sheet Ref</w:t>
            </w:r>
          </w:p>
        </w:tc>
        <w:tc>
          <w:tcPr>
            <w:tcW w:type="dxa" w:w="3563"/>
          </w:tcPr>
          <w:p>
            <w:r>
              <w:rPr>
                <w:sz w:val="17"/>
              </w:rPr>
            </w:r>
            <w:r>
              <w:rPr>
                <w:sz w:val="17"/>
              </w:rPr>
              <w:t>Index numeric, e.g., 401, 402 …</w:t>
            </w:r>
          </w:p>
        </w:tc>
      </w:tr>
      <w:tr>
        <w:trPr>
          <w:cantSplit/>
        </w:trPr>
        <w:tc>
          <w:tcPr>
            <w:tcW w:type="dxa" w:w="923"/>
          </w:tcPr>
          <w:p>
            <w:r>
              <w:rPr>
                <w:sz w:val="17"/>
              </w:rPr>
            </w:r>
            <w:r>
              <w:rPr>
                <w:sz w:val="17"/>
              </w:rPr>
              <w:t>Source</w:t>
            </w:r>
          </w:p>
        </w:tc>
        <w:tc>
          <w:tcPr>
            <w:tcW w:type="dxa" w:w="2633"/>
          </w:tcPr>
          <w:p>
            <w:r>
              <w:rPr>
                <w:sz w:val="17"/>
              </w:rPr>
            </w:r>
            <w:r>
              <w:rPr>
                <w:sz w:val="17"/>
              </w:rPr>
              <w:t>Drafting Views</w:t>
            </w:r>
          </w:p>
        </w:tc>
        <w:tc>
          <w:tcPr>
            <w:tcW w:type="dxa" w:w="3346"/>
          </w:tcPr>
          <w:p>
            <w:r>
              <w:rPr>
                <w:sz w:val="17"/>
              </w:rPr>
            </w:r>
            <w:r>
              <w:rPr>
                <w:sz w:val="17"/>
              </w:rPr>
              <w:t>Detail groups curated</w:t>
            </w:r>
          </w:p>
        </w:tc>
        <w:tc>
          <w:tcPr>
            <w:tcW w:type="dxa" w:w="3563"/>
          </w:tcPr>
          <w:p>
            <w:r>
              <w:rPr>
                <w:sz w:val="17"/>
              </w:rPr>
            </w:r>
            <w:r>
              <w:rPr>
                <w:sz w:val="17"/>
              </w:rPr>
              <w:t>No model geometry inside detail views</w:t>
            </w:r>
          </w:p>
        </w:tc>
      </w:tr>
      <w:tr>
        <w:trPr>
          <w:cantSplit/>
        </w:trPr>
        <w:tc>
          <w:tcPr>
            <w:tcW w:type="dxa" w:w="923"/>
          </w:tcPr>
          <w:p>
            <w:r>
              <w:rPr>
                <w:sz w:val="17"/>
              </w:rPr>
            </w:r>
            <w:r>
              <w:rPr>
                <w:sz w:val="17"/>
              </w:rPr>
              <w:t>Hatches</w:t>
            </w:r>
          </w:p>
        </w:tc>
        <w:tc>
          <w:tcPr>
            <w:tcW w:type="dxa" w:w="2633"/>
          </w:tcPr>
          <w:p>
            <w:r>
              <w:rPr>
                <w:sz w:val="17"/>
              </w:rPr>
            </w:r>
            <w:r>
              <w:rPr>
                <w:sz w:val="17"/>
              </w:rPr>
              <w:t>Per 4.5</w:t>
            </w:r>
          </w:p>
        </w:tc>
        <w:tc>
          <w:tcPr>
            <w:tcW w:type="dxa" w:w="3346"/>
          </w:tcPr>
          <w:p>
            <w:r>
              <w:rPr>
                <w:sz w:val="17"/>
              </w:rPr>
            </w:r>
            <w:r>
              <w:rPr>
                <w:sz w:val="17"/>
              </w:rPr>
              <w:t>Drafting patterns only</w:t>
            </w:r>
          </w:p>
        </w:tc>
        <w:tc>
          <w:tcPr>
            <w:tcW w:type="dxa" w:w="3563"/>
          </w:tcPr>
          <w:p>
            <w:r>
              <w:rPr>
                <w:sz w:val="17"/>
              </w:rPr>
            </w:r>
            <w:r>
              <w:rPr>
                <w:sz w:val="17"/>
              </w:rPr>
              <w:t>No per-view scaling</w:t>
            </w:r>
          </w:p>
        </w:tc>
      </w:tr>
      <w:tr>
        <w:trPr>
          <w:cantSplit/>
        </w:trPr>
        <w:tc>
          <w:tcPr>
            <w:tcW w:type="dxa" w:w="923"/>
          </w:tcPr>
          <w:p>
            <w:r>
              <w:rPr>
                <w:sz w:val="17"/>
              </w:rPr>
            </w:r>
            <w:r>
              <w:rPr>
                <w:sz w:val="17"/>
              </w:rPr>
              <w:t>Linework</w:t>
            </w:r>
          </w:p>
        </w:tc>
        <w:tc>
          <w:tcPr>
            <w:tcW w:type="dxa" w:w="2633"/>
          </w:tcPr>
          <w:p>
            <w:r>
              <w:rPr>
                <w:sz w:val="17"/>
              </w:rPr>
            </w:r>
            <w:r>
              <w:rPr>
                <w:sz w:val="17"/>
              </w:rPr>
              <w:t>Per 4.1/​4.2</w:t>
            </w:r>
          </w:p>
        </w:tc>
        <w:tc>
          <w:tcPr>
            <w:tcW w:type="dxa" w:w="3346"/>
          </w:tcPr>
          <w:p>
            <w:r>
              <w:rPr>
                <w:sz w:val="17"/>
              </w:rPr>
            </w:r>
            <w:r>
              <w:rPr>
                <w:sz w:val="17"/>
              </w:rPr>
              <w:t>Categories + subcategories</w:t>
            </w:r>
          </w:p>
        </w:tc>
        <w:tc>
          <w:tcPr>
            <w:tcW w:type="dxa" w:w="3563"/>
          </w:tcPr>
          <w:p>
            <w:r>
              <w:rPr>
                <w:sz w:val="17"/>
              </w:rPr>
            </w:r>
            <w:r>
              <w:rPr>
                <w:sz w:val="17"/>
              </w:rPr>
              <w:t>No ByElement color overrides</w:t>
            </w:r>
          </w:p>
        </w:tc>
      </w:tr>
      <w:tr>
        <w:trPr>
          <w:cantSplit/>
        </w:trPr>
        <w:tc>
          <w:tcPr>
            <w:tcW w:type="dxa" w:w="923"/>
          </w:tcPr>
          <w:p>
            <w:r>
              <w:rPr>
                <w:sz w:val="17"/>
              </w:rPr>
            </w:r>
            <w:r>
              <w:rPr>
                <w:sz w:val="17"/>
              </w:rPr>
              <w:t>Keynotes</w:t>
            </w:r>
          </w:p>
        </w:tc>
        <w:tc>
          <w:tcPr>
            <w:tcW w:type="dxa" w:w="2633"/>
          </w:tcPr>
          <w:p>
            <w:r>
              <w:rPr>
                <w:sz w:val="17"/>
              </w:rPr>
            </w:r>
            <w:r>
              <w:rPr>
                <w:sz w:val="17"/>
              </w:rPr>
              <w:t>User Keynotes allowed</w:t>
            </w:r>
          </w:p>
        </w:tc>
        <w:tc>
          <w:tcPr>
            <w:tcW w:type="dxa" w:w="3346"/>
          </w:tcPr>
          <w:p>
            <w:r>
              <w:rPr>
                <w:sz w:val="17"/>
              </w:rPr>
            </w:r>
            <w:r>
              <w:rPr>
                <w:sz w:val="17"/>
              </w:rPr>
              <w:t>Legacy details only</w:t>
            </w:r>
          </w:p>
        </w:tc>
        <w:tc>
          <w:tcPr>
            <w:tcW w:type="dxa" w:w="3563"/>
          </w:tcPr>
          <w:p>
            <w:r>
              <w:rPr>
                <w:sz w:val="17"/>
              </w:rPr>
            </w:r>
            <w:r>
              <w:rPr>
                <w:sz w:val="17"/>
              </w:rPr>
              <w:t>Prefer Element Keynotes where possible</w:t>
            </w:r>
          </w:p>
        </w:tc>
      </w:tr>
      <w:tr>
        <w:trPr>
          <w:cantSplit/>
        </w:trPr>
        <w:tc>
          <w:tcPr>
            <w:tcW w:type="dxa" w:w="923"/>
          </w:tcPr>
          <w:p>
            <w:r>
              <w:rPr>
                <w:sz w:val="17"/>
              </w:rPr>
            </w:r>
            <w:r>
              <w:rPr>
                <w:sz w:val="17"/>
              </w:rPr>
              <w:t>Location</w:t>
            </w:r>
          </w:p>
        </w:tc>
        <w:tc>
          <w:tcPr>
            <w:tcW w:type="dxa" w:w="2633"/>
          </w:tcPr>
          <w:p>
            <w:r>
              <w:rPr>
                <w:sz w:val="17"/>
              </w:rPr>
            </w:r>
            <w:r>
              <w:rPr>
                <w:sz w:val="17"/>
              </w:rPr>
              <w:t>02-SHARED/​08-PROJECT-LIBRARY</w:t>
            </w:r>
          </w:p>
        </w:tc>
        <w:tc>
          <w:tcPr>
            <w:tcW w:type="dxa" w:w="3346"/>
          </w:tcPr>
          <w:p>
            <w:r>
              <w:rPr>
                <w:sz w:val="17"/>
              </w:rPr>
            </w:r>
            <w:r>
              <w:rPr>
                <w:sz w:val="17"/>
              </w:rPr>
              <w:t>00-TTB-AND-COVER, 01-GENERAL, 02-ARC …</w:t>
            </w:r>
          </w:p>
        </w:tc>
        <w:tc>
          <w:tcPr>
            <w:tcW w:type="dxa" w:w="3563"/>
          </w:tcPr>
          <w:p>
            <w:r>
              <w:rPr>
                <w:sz w:val="17"/>
              </w:rPr>
            </w:r>
            <w:r>
              <w:rPr>
                <w:sz w:val="17"/>
              </w:rPr>
              <w:t>Read-only; curated by Discipline Lead</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26"/>
        <w:gridCol w:w="2285"/>
        <w:gridCol w:w="1602"/>
        <w:gridCol w:w="2853"/>
      </w:tblGrid>
      <w:tr>
        <w:trPr>
          <w:cantSplit/>
          <w:tblHeader/>
        </w:trPr>
        <w:tc>
          <w:tcPr>
            <w:tcW w:type="dxa" w:w="3726"/>
            <w:shd w:val="clear" w:color="auto" w:fill="111113"/>
          </w:tcPr>
          <w:p>
            <w:r>
              <w:rPr>
                <w:b/>
                <w:color w:val="FFFFFF"/>
                <w:sz w:val="17"/>
              </w:rPr>
            </w:r>
            <w:r>
              <w:rPr>
                <w:b/>
                <w:color w:val="FFFFFF"/>
                <w:sz w:val="17"/>
              </w:rPr>
              <w:t>Acceptance criteria</w:t>
            </w:r>
          </w:p>
        </w:tc>
        <w:tc>
          <w:tcPr>
            <w:tcW w:type="dxa" w:w="2285"/>
            <w:shd w:val="clear" w:color="auto" w:fill="111113"/>
          </w:tcPr>
          <w:p>
            <w:r>
              <w:rPr>
                <w:b/>
                <w:color w:val="FFFFFF"/>
                <w:sz w:val="17"/>
              </w:rPr>
            </w:r>
            <w:r>
              <w:rPr>
                <w:b/>
                <w:color w:val="FFFFFF"/>
                <w:sz w:val="17"/>
              </w:rPr>
              <w:t>Quality checks</w:t>
            </w:r>
          </w:p>
        </w:tc>
        <w:tc>
          <w:tcPr>
            <w:tcW w:type="dxa" w:w="1602"/>
            <w:shd w:val="clear" w:color="auto" w:fill="111113"/>
          </w:tcPr>
          <w:p>
            <w:r>
              <w:rPr>
                <w:b/>
                <w:color w:val="FFFFFF"/>
                <w:sz w:val="17"/>
              </w:rPr>
            </w:r>
            <w:r>
              <w:rPr>
                <w:b/>
                <w:color w:val="FFFFFF"/>
                <w:sz w:val="17"/>
              </w:rPr>
              <w:t>Owner</w:t>
            </w:r>
          </w:p>
        </w:tc>
        <w:tc>
          <w:tcPr>
            <w:tcW w:type="dxa" w:w="2853"/>
            <w:shd w:val="clear" w:color="auto" w:fill="111113"/>
          </w:tcPr>
          <w:p>
            <w:r>
              <w:rPr>
                <w:b/>
                <w:color w:val="FFFFFF"/>
                <w:sz w:val="17"/>
              </w:rPr>
            </w:r>
            <w:r>
              <w:rPr>
                <w:b/>
                <w:color w:val="FFFFFF"/>
                <w:sz w:val="17"/>
              </w:rPr>
              <w:t>Edit criteria</w:t>
            </w:r>
          </w:p>
        </w:tc>
      </w:tr>
      <w:tr>
        <w:trPr>
          <w:cantSplit/>
        </w:trPr>
        <w:tc>
          <w:tcPr>
            <w:tcW w:type="dxa" w:w="3726"/>
          </w:tcPr>
          <w:p>
            <w:r>
              <w:rPr>
                <w:sz w:val="17"/>
              </w:rPr>
            </w:r>
            <w:r>
              <w:rPr>
                <w:sz w:val="17"/>
              </w:rPr>
              <w:t>All library details pass 4.1, 4.5 checks</w:t>
            </w:r>
          </w:p>
        </w:tc>
        <w:tc>
          <w:tcPr>
            <w:tcW w:type="dxa" w:w="2285"/>
          </w:tcPr>
          <w:p>
            <w:r>
              <w:rPr>
                <w:sz w:val="17"/>
              </w:rPr>
            </w:r>
            <w:r>
              <w:rPr>
                <w:sz w:val="17"/>
              </w:rPr>
              <w:t>Graphics lint on sample set</w:t>
            </w:r>
          </w:p>
        </w:tc>
        <w:tc>
          <w:tcPr>
            <w:tcW w:type="dxa" w:w="1602"/>
          </w:tcPr>
          <w:p>
            <w:r>
              <w:rPr>
                <w:sz w:val="17"/>
              </w:rPr>
            </w:r>
            <w:r>
              <w:rPr>
                <w:sz w:val="17"/>
              </w:rPr>
              <w:t>QA-QC Lead</w:t>
            </w:r>
          </w:p>
        </w:tc>
        <w:tc>
          <w:tcPr>
            <w:tcW w:type="dxa" w:w="2853"/>
          </w:tcPr>
          <w:p>
            <w:r>
              <w:rPr>
                <w:sz w:val="17"/>
              </w:rPr>
            </w:r>
            <w:r>
              <w:rPr>
                <w:sz w:val="17"/>
              </w:rPr>
              <w:t>Fix in source views; no sheet fixes</w:t>
            </w:r>
          </w:p>
        </w:tc>
      </w:tr>
      <w:tr>
        <w:trPr>
          <w:cantSplit/>
        </w:trPr>
        <w:tc>
          <w:tcPr>
            <w:tcW w:type="dxa" w:w="3726"/>
          </w:tcPr>
          <w:p>
            <w:r>
              <w:rPr>
                <w:sz w:val="17"/>
              </w:rPr>
            </w:r>
            <w:r>
              <w:rPr>
                <w:sz w:val="17"/>
              </w:rPr>
              <w:t>Keynotes resolve to table with no missing entries</w:t>
            </w:r>
          </w:p>
        </w:tc>
        <w:tc>
          <w:tcPr>
            <w:tcW w:type="dxa" w:w="2285"/>
          </w:tcPr>
          <w:p>
            <w:r>
              <w:rPr>
                <w:sz w:val="17"/>
              </w:rPr>
            </w:r>
            <w:r>
              <w:rPr>
                <w:sz w:val="17"/>
              </w:rPr>
              <w:t>Keynote resolution scan</w:t>
            </w:r>
          </w:p>
        </w:tc>
        <w:tc>
          <w:tcPr>
            <w:tcW w:type="dxa" w:w="1602"/>
          </w:tcPr>
          <w:p>
            <w:r>
              <w:rPr>
                <w:sz w:val="17"/>
              </w:rPr>
            </w:r>
            <w:r>
              <w:rPr>
                <w:sz w:val="17"/>
              </w:rPr>
              <w:t>Discipline Lead</w:t>
            </w:r>
          </w:p>
        </w:tc>
        <w:tc>
          <w:tcPr>
            <w:tcW w:type="dxa" w:w="2853"/>
          </w:tcPr>
          <w:p>
            <w:r>
              <w:rPr>
                <w:sz w:val="17"/>
              </w:rPr>
            </w:r>
            <w:r>
              <w:rPr>
                <w:sz w:val="17"/>
              </w:rPr>
              <w:t>Update Keynotes.txt; avoid free-text</w:t>
            </w:r>
          </w:p>
        </w:tc>
      </w:tr>
      <w:tr>
        <w:trPr>
          <w:cantSplit/>
        </w:trPr>
        <w:tc>
          <w:tcPr>
            <w:tcW w:type="dxa" w:w="3726"/>
          </w:tcPr>
          <w:p>
            <w:r>
              <w:rPr>
                <w:sz w:val="17"/>
              </w:rPr>
            </w:r>
            <w:r>
              <w:rPr>
                <w:sz w:val="17"/>
              </w:rPr>
              <w:t>Detail naming pattern consistent</w:t>
            </w:r>
          </w:p>
        </w:tc>
        <w:tc>
          <w:tcPr>
            <w:tcW w:type="dxa" w:w="2285"/>
          </w:tcPr>
          <w:p>
            <w:r>
              <w:rPr>
                <w:sz w:val="17"/>
              </w:rPr>
            </w:r>
            <w:r>
              <w:rPr>
                <w:sz w:val="17"/>
              </w:rPr>
              <w:t>Name lint vs pattern</w:t>
            </w:r>
          </w:p>
        </w:tc>
        <w:tc>
          <w:tcPr>
            <w:tcW w:type="dxa" w:w="1602"/>
          </w:tcPr>
          <w:p>
            <w:r>
              <w:rPr>
                <w:sz w:val="17"/>
              </w:rPr>
            </w:r>
            <w:r>
              <w:rPr>
                <w:sz w:val="17"/>
              </w:rPr>
              <w:t>Information Manager</w:t>
            </w:r>
          </w:p>
        </w:tc>
        <w:tc>
          <w:tcPr>
            <w:tcW w:type="dxa" w:w="2853"/>
          </w:tcPr>
          <w:p>
            <w:r>
              <w:rPr>
                <w:sz w:val="17"/>
              </w:rPr>
            </w:r>
            <w:r>
              <w:rPr>
                <w:sz w:val="17"/>
              </w:rPr>
              <w:t>Rename to standard; update references</w:t>
            </w:r>
          </w:p>
        </w:tc>
      </w:tr>
    </w:tbl>
    <w:p/>
    <w:p>
      <w:pPr>
        <w:pStyle w:val="Heading1"/>
      </w:pPr>
      <w:r>
        <w:t>7 DOCUMENTS</w:t>
      </w:r>
    </w:p>
    <w:p>
      <w:pPr>
        <w:pStyle w:val="Heading2"/>
      </w:pPr>
      <w:r>
        <w:t>7.1 DRAWING SET COMPOSITION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47"/>
        <w:gridCol w:w="3579"/>
        <w:gridCol w:w="3334"/>
        <w:gridCol w:w="2406"/>
      </w:tblGrid>
      <w:tr>
        <w:trPr>
          <w:cantSplit/>
          <w:tblHeader/>
        </w:trPr>
        <w:tc>
          <w:tcPr>
            <w:tcW w:type="dxa" w:w="1147"/>
            <w:shd w:val="clear" w:color="auto" w:fill="111113"/>
          </w:tcPr>
          <w:p>
            <w:r>
              <w:rPr>
                <w:b/>
                <w:color w:val="FFFFFF"/>
                <w:sz w:val="17"/>
              </w:rPr>
            </w:r>
            <w:r>
              <w:rPr>
                <w:b/>
                <w:color w:val="FFFFFF"/>
                <w:sz w:val="17"/>
              </w:rPr>
              <w:t>DISCIPLINE</w:t>
            </w:r>
          </w:p>
        </w:tc>
        <w:tc>
          <w:tcPr>
            <w:tcW w:type="dxa" w:w="3579"/>
            <w:shd w:val="clear" w:color="auto" w:fill="111113"/>
          </w:tcPr>
          <w:p>
            <w:r>
              <w:rPr>
                <w:b/>
                <w:color w:val="FFFFFF"/>
                <w:sz w:val="17"/>
              </w:rPr>
            </w:r>
            <w:r>
              <w:rPr>
                <w:b/>
                <w:color w:val="FFFFFF"/>
                <w:sz w:val="17"/>
              </w:rPr>
              <w:t>MINIMUM SHEETS (STAGE 3)</w:t>
            </w:r>
          </w:p>
        </w:tc>
        <w:tc>
          <w:tcPr>
            <w:tcW w:type="dxa" w:w="3334"/>
            <w:shd w:val="clear" w:color="auto" w:fill="111113"/>
          </w:tcPr>
          <w:p>
            <w:r>
              <w:rPr>
                <w:b/>
                <w:color w:val="FFFFFF"/>
                <w:sz w:val="17"/>
              </w:rPr>
            </w:r>
            <w:r>
              <w:rPr>
                <w:b/>
                <w:color w:val="FFFFFF"/>
                <w:sz w:val="17"/>
              </w:rPr>
              <w:t>MINIMUM SHEETS (STAGE 4)</w:t>
            </w:r>
          </w:p>
        </w:tc>
        <w:tc>
          <w:tcPr>
            <w:tcW w:type="dxa" w:w="2406"/>
            <w:shd w:val="clear" w:color="auto" w:fill="111113"/>
          </w:tcPr>
          <w:p>
            <w:r>
              <w:rPr>
                <w:b/>
                <w:color w:val="FFFFFF"/>
                <w:sz w:val="17"/>
              </w:rPr>
            </w:r>
            <w:r>
              <w:rPr>
                <w:b/>
                <w:color w:val="FFFFFF"/>
                <w:sz w:val="17"/>
              </w:rPr>
              <w:t>NOTES</w:t>
            </w:r>
          </w:p>
        </w:tc>
      </w:tr>
      <w:tr>
        <w:trPr>
          <w:cantSplit/>
        </w:trPr>
        <w:tc>
          <w:tcPr>
            <w:tcW w:type="dxa" w:w="1147"/>
          </w:tcPr>
          <w:p>
            <w:r>
              <w:rPr>
                <w:sz w:val="17"/>
              </w:rPr>
            </w:r>
            <w:r>
              <w:rPr>
                <w:sz w:val="17"/>
              </w:rPr>
              <w:t>ARC</w:t>
            </w:r>
          </w:p>
        </w:tc>
        <w:tc>
          <w:tcPr>
            <w:tcW w:type="dxa" w:w="3579"/>
          </w:tcPr>
          <w:p>
            <w:r>
              <w:rPr>
                <w:sz w:val="17"/>
              </w:rPr>
            </w:r>
            <w:r>
              <w:rPr>
                <w:sz w:val="17"/>
              </w:rPr>
              <w:t>A-10 GA Plans L00–LRF, A-30 Elevations x4, A-20 Key Sections x2</w:t>
            </w:r>
          </w:p>
        </w:tc>
        <w:tc>
          <w:tcPr>
            <w:tcW w:type="dxa" w:w="3334"/>
          </w:tcPr>
          <w:p>
            <w:r>
              <w:rPr>
                <w:sz w:val="17"/>
              </w:rPr>
            </w:r>
            <w:r>
              <w:rPr>
                <w:sz w:val="17"/>
              </w:rPr>
              <w:t>+ A-40 Details x10, A-50 Schedules: Doors, Windows, Finishes</w:t>
            </w:r>
          </w:p>
        </w:tc>
        <w:tc>
          <w:tcPr>
            <w:tcW w:type="dxa" w:w="2406"/>
          </w:tcPr>
          <w:p>
            <w:r>
              <w:rPr>
                <w:sz w:val="17"/>
              </w:rPr>
            </w:r>
            <w:r>
              <w:rPr>
                <w:sz w:val="17"/>
              </w:rPr>
              <w:t>Plans at 1:100 baseline; details 1:5/​1:10</w:t>
            </w:r>
          </w:p>
        </w:tc>
      </w:tr>
      <w:tr>
        <w:trPr>
          <w:cantSplit/>
        </w:trPr>
        <w:tc>
          <w:tcPr>
            <w:tcW w:type="dxa" w:w="1147"/>
          </w:tcPr>
          <w:p>
            <w:r>
              <w:rPr>
                <w:sz w:val="17"/>
              </w:rPr>
            </w:r>
            <w:r>
              <w:rPr>
                <w:sz w:val="17"/>
              </w:rPr>
              <w:t>STR</w:t>
            </w:r>
          </w:p>
        </w:tc>
        <w:tc>
          <w:tcPr>
            <w:tcW w:type="dxa" w:w="3579"/>
          </w:tcPr>
          <w:p>
            <w:r>
              <w:rPr>
                <w:sz w:val="17"/>
              </w:rPr>
            </w:r>
            <w:r>
              <w:rPr>
                <w:sz w:val="17"/>
              </w:rPr>
              <w:t>S-10 Framing Plans key levels, S-20 Sections x2</w:t>
            </w:r>
          </w:p>
        </w:tc>
        <w:tc>
          <w:tcPr>
            <w:tcW w:type="dxa" w:w="3334"/>
          </w:tcPr>
          <w:p>
            <w:r>
              <w:rPr>
                <w:sz w:val="17"/>
              </w:rPr>
            </w:r>
            <w:r>
              <w:rPr>
                <w:sz w:val="17"/>
              </w:rPr>
              <w:t>+ S-40 Typical Details x8, S-50 Rebar Schedules</w:t>
            </w:r>
          </w:p>
        </w:tc>
        <w:tc>
          <w:tcPr>
            <w:tcW w:type="dxa" w:w="2406"/>
          </w:tcPr>
          <w:p>
            <w:r>
              <w:rPr>
                <w:sz w:val="17"/>
              </w:rPr>
            </w:r>
            <w:r>
              <w:rPr>
                <w:sz w:val="17"/>
              </w:rPr>
              <w:t>Coordinates validated vs ARC grids</w:t>
            </w:r>
          </w:p>
        </w:tc>
      </w:tr>
      <w:tr>
        <w:trPr>
          <w:cantSplit/>
        </w:trPr>
        <w:tc>
          <w:tcPr>
            <w:tcW w:type="dxa" w:w="1147"/>
          </w:tcPr>
          <w:p>
            <w:r>
              <w:rPr>
                <w:sz w:val="17"/>
              </w:rPr>
            </w:r>
            <w:r>
              <w:rPr>
                <w:sz w:val="17"/>
              </w:rPr>
              <w:t>MEP</w:t>
            </w:r>
          </w:p>
        </w:tc>
        <w:tc>
          <w:tcPr>
            <w:tcW w:type="dxa" w:w="3579"/>
          </w:tcPr>
          <w:p>
            <w:r>
              <w:rPr>
                <w:sz w:val="17"/>
              </w:rPr>
            </w:r>
            <w:r>
              <w:rPr>
                <w:sz w:val="17"/>
              </w:rPr>
              <w:t>M-10 HVAC GA L00–L02, E-10 Power GA L00–L02</w:t>
            </w:r>
          </w:p>
        </w:tc>
        <w:tc>
          <w:tcPr>
            <w:tcW w:type="dxa" w:w="3334"/>
          </w:tcPr>
          <w:p>
            <w:r>
              <w:rPr>
                <w:sz w:val="17"/>
              </w:rPr>
            </w:r>
            <w:r>
              <w:rPr>
                <w:sz w:val="17"/>
              </w:rPr>
              <w:t>+ M/​E-50 Equipment and Fixture Schedules</w:t>
            </w:r>
          </w:p>
        </w:tc>
        <w:tc>
          <w:tcPr>
            <w:tcW w:type="dxa" w:w="2406"/>
          </w:tcPr>
          <w:p>
            <w:r>
              <w:rPr>
                <w:sz w:val="17"/>
              </w:rPr>
            </w:r>
            <w:r>
              <w:rPr>
                <w:sz w:val="17"/>
              </w:rPr>
              <w:t>System legends placed per 4.14</w:t>
            </w:r>
          </w:p>
        </w:tc>
      </w:tr>
    </w:tbl>
    <w:p/>
    <w:p>
      <w:pPr>
        <w:pStyle w:val="Heading3"/>
      </w:pPr>
      <w:r>
        <w:t>Assembly rules</w:t>
      </w:r>
    </w:p>
    <w:p>
      <w:pPr/>
      <w:r>
        <w:t>Each sheet contains exactly one primary view except schedule-only sheets.</w:t>
      </w:r>
    </w:p>
    <w:p>
      <w:pPr/>
      <w:r>
        <w:t>Sheet numbers and titles follow 4.11.2 and 3.1 token rules.</w:t>
      </w:r>
    </w:p>
    <w:p>
      <w:pPr/>
      <w:r>
        <w:t>Legends: Symbols and Key Plan per 4.14 on first sheet of each set.</w:t>
      </w:r>
    </w:p>
    <w:p>
      <w:pPr/>
      <w:r>
        <w:t>Revisions are per sheet container; each changed sheet gets a new Rnn and unchanged sheets keep theirs (3.1, 4.10; O-DEC-113).</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45"/>
        <w:gridCol w:w="2444"/>
        <w:gridCol w:w="1546"/>
        <w:gridCol w:w="3131"/>
      </w:tblGrid>
      <w:tr>
        <w:trPr>
          <w:cantSplit/>
          <w:tblHeader/>
        </w:trPr>
        <w:tc>
          <w:tcPr>
            <w:tcW w:type="dxa" w:w="3345"/>
            <w:shd w:val="clear" w:color="auto" w:fill="111113"/>
          </w:tcPr>
          <w:p>
            <w:r>
              <w:rPr>
                <w:b/>
                <w:color w:val="FFFFFF"/>
                <w:sz w:val="17"/>
              </w:rPr>
            </w:r>
            <w:r>
              <w:rPr>
                <w:b/>
                <w:color w:val="FFFFFF"/>
                <w:sz w:val="17"/>
              </w:rPr>
              <w:t>Acceptance criteria</w:t>
            </w:r>
          </w:p>
        </w:tc>
        <w:tc>
          <w:tcPr>
            <w:tcW w:type="dxa" w:w="2444"/>
            <w:shd w:val="clear" w:color="auto" w:fill="111113"/>
          </w:tcPr>
          <w:p>
            <w:r>
              <w:rPr>
                <w:b/>
                <w:color w:val="FFFFFF"/>
                <w:sz w:val="17"/>
              </w:rPr>
            </w:r>
            <w:r>
              <w:rPr>
                <w:b/>
                <w:color w:val="FFFFFF"/>
                <w:sz w:val="17"/>
              </w:rPr>
              <w:t>Quality checks</w:t>
            </w:r>
          </w:p>
        </w:tc>
        <w:tc>
          <w:tcPr>
            <w:tcW w:type="dxa" w:w="1546"/>
            <w:shd w:val="clear" w:color="auto" w:fill="111113"/>
          </w:tcPr>
          <w:p>
            <w:r>
              <w:rPr>
                <w:b/>
                <w:color w:val="FFFFFF"/>
                <w:sz w:val="17"/>
              </w:rPr>
            </w:r>
            <w:r>
              <w:rPr>
                <w:b/>
                <w:color w:val="FFFFFF"/>
                <w:sz w:val="17"/>
              </w:rPr>
              <w:t>Owner</w:t>
            </w:r>
          </w:p>
        </w:tc>
        <w:tc>
          <w:tcPr>
            <w:tcW w:type="dxa" w:w="3131"/>
            <w:shd w:val="clear" w:color="auto" w:fill="111113"/>
          </w:tcPr>
          <w:p>
            <w:r>
              <w:rPr>
                <w:b/>
                <w:color w:val="FFFFFF"/>
                <w:sz w:val="17"/>
              </w:rPr>
            </w:r>
            <w:r>
              <w:rPr>
                <w:b/>
                <w:color w:val="FFFFFF"/>
                <w:sz w:val="17"/>
              </w:rPr>
              <w:t>Edit criteria</w:t>
            </w:r>
          </w:p>
        </w:tc>
      </w:tr>
      <w:tr>
        <w:trPr>
          <w:cantSplit/>
        </w:trPr>
        <w:tc>
          <w:tcPr>
            <w:tcW w:type="dxa" w:w="3345"/>
          </w:tcPr>
          <w:p>
            <w:r>
              <w:rPr>
                <w:sz w:val="17"/>
              </w:rPr>
            </w:r>
            <w:r>
              <w:rPr>
                <w:sz w:val="17"/>
              </w:rPr>
              <w:t>Minimum list per stage is present per discipline</w:t>
            </w:r>
          </w:p>
        </w:tc>
        <w:tc>
          <w:tcPr>
            <w:tcW w:type="dxa" w:w="2444"/>
          </w:tcPr>
          <w:p>
            <w:r>
              <w:rPr>
                <w:sz w:val="17"/>
              </w:rPr>
            </w:r>
            <w:r>
              <w:rPr>
                <w:sz w:val="17"/>
              </w:rPr>
              <w:t>Sheet index diff vs stage template</w:t>
            </w:r>
          </w:p>
        </w:tc>
        <w:tc>
          <w:tcPr>
            <w:tcW w:type="dxa" w:w="1546"/>
          </w:tcPr>
          <w:p>
            <w:r>
              <w:rPr>
                <w:sz w:val="17"/>
              </w:rPr>
            </w:r>
            <w:r>
              <w:rPr>
                <w:sz w:val="17"/>
              </w:rPr>
              <w:t>Discipline Lead</w:t>
            </w:r>
          </w:p>
        </w:tc>
        <w:tc>
          <w:tcPr>
            <w:tcW w:type="dxa" w:w="3131"/>
          </w:tcPr>
          <w:p>
            <w:r>
              <w:rPr>
                <w:sz w:val="17"/>
              </w:rPr>
            </w:r>
            <w:r>
              <w:rPr>
                <w:sz w:val="17"/>
              </w:rPr>
              <w:t>Add missing sheets before issue</w:t>
            </w:r>
          </w:p>
        </w:tc>
      </w:tr>
      <w:tr>
        <w:trPr>
          <w:cantSplit/>
        </w:trPr>
        <w:tc>
          <w:tcPr>
            <w:tcW w:type="dxa" w:w="3345"/>
          </w:tcPr>
          <w:p>
            <w:r>
              <w:rPr>
                <w:sz w:val="17"/>
              </w:rPr>
            </w:r>
            <w:r>
              <w:rPr>
                <w:sz w:val="17"/>
              </w:rPr>
              <w:t>Sheet titles and numbers match token patterns</w:t>
            </w:r>
          </w:p>
        </w:tc>
        <w:tc>
          <w:tcPr>
            <w:tcW w:type="dxa" w:w="2444"/>
          </w:tcPr>
          <w:p>
            <w:r>
              <w:rPr>
                <w:sz w:val="17"/>
              </w:rPr>
            </w:r>
            <w:r>
              <w:rPr>
                <w:sz w:val="17"/>
              </w:rPr>
              <w:t>Regex validation per 12.3</w:t>
            </w:r>
          </w:p>
        </w:tc>
        <w:tc>
          <w:tcPr>
            <w:tcW w:type="dxa" w:w="1546"/>
          </w:tcPr>
          <w:p>
            <w:r>
              <w:rPr>
                <w:sz w:val="17"/>
              </w:rPr>
            </w:r>
            <w:r>
              <w:rPr>
                <w:sz w:val="17"/>
              </w:rPr>
              <w:t>Information Manager</w:t>
            </w:r>
          </w:p>
        </w:tc>
        <w:tc>
          <w:tcPr>
            <w:tcW w:type="dxa" w:w="3131"/>
          </w:tcPr>
          <w:p>
            <w:r>
              <w:rPr>
                <w:sz w:val="17"/>
              </w:rPr>
            </w:r>
            <w:r>
              <w:rPr>
                <w:sz w:val="17"/>
              </w:rPr>
              <w:t>Rename via templates; no manual hacks</w:t>
            </w:r>
          </w:p>
        </w:tc>
      </w:tr>
      <w:tr>
        <w:trPr>
          <w:cantSplit/>
        </w:trPr>
        <w:tc>
          <w:tcPr>
            <w:tcW w:type="dxa" w:w="3345"/>
          </w:tcPr>
          <w:p>
            <w:r>
              <w:rPr>
                <w:sz w:val="17"/>
              </w:rPr>
            </w:r>
            <w:r>
              <w:rPr>
                <w:sz w:val="17"/>
              </w:rPr>
              <w:t>Legends placed correctly on required sheets</w:t>
            </w:r>
          </w:p>
        </w:tc>
        <w:tc>
          <w:tcPr>
            <w:tcW w:type="dxa" w:w="2444"/>
          </w:tcPr>
          <w:p>
            <w:r>
              <w:rPr>
                <w:sz w:val="17"/>
              </w:rPr>
            </w:r>
            <w:r>
              <w:rPr>
                <w:sz w:val="17"/>
              </w:rPr>
              <w:t>Legend presence scan</w:t>
            </w:r>
          </w:p>
        </w:tc>
        <w:tc>
          <w:tcPr>
            <w:tcW w:type="dxa" w:w="1546"/>
          </w:tcPr>
          <w:p>
            <w:r>
              <w:rPr>
                <w:sz w:val="17"/>
              </w:rPr>
            </w:r>
            <w:r>
              <w:rPr>
                <w:sz w:val="17"/>
              </w:rPr>
              <w:t>QA-QC Lead</w:t>
            </w:r>
          </w:p>
        </w:tc>
        <w:tc>
          <w:tcPr>
            <w:tcW w:type="dxa" w:w="3131"/>
          </w:tcPr>
          <w:p>
            <w:r>
              <w:rPr>
                <w:sz w:val="17"/>
              </w:rPr>
            </w:r>
            <w:r>
              <w:rPr>
                <w:sz w:val="17"/>
              </w:rPr>
              <w:t>Insert from standard legends; no duplicates</w:t>
            </w:r>
          </w:p>
        </w:tc>
      </w:tr>
    </w:tbl>
    <w:p/>
    <w:p>
      <w:pPr>
        <w:pStyle w:val="Heading2"/>
      </w:pPr>
      <w:r>
        <w:t>7.2 SCHEDULES AND LEGENDS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25"/>
        <w:gridCol w:w="3547"/>
        <w:gridCol w:w="2446"/>
        <w:gridCol w:w="2948"/>
      </w:tblGrid>
      <w:tr>
        <w:trPr>
          <w:cantSplit/>
          <w:tblHeader/>
        </w:trPr>
        <w:tc>
          <w:tcPr>
            <w:tcW w:type="dxa" w:w="1525"/>
            <w:shd w:val="clear" w:color="auto" w:fill="111113"/>
          </w:tcPr>
          <w:p>
            <w:r>
              <w:rPr>
                <w:b/>
                <w:color w:val="FFFFFF"/>
                <w:sz w:val="17"/>
              </w:rPr>
            </w:r>
            <w:r>
              <w:rPr>
                <w:b/>
                <w:color w:val="FFFFFF"/>
                <w:sz w:val="17"/>
              </w:rPr>
              <w:t>SCHEDULE</w:t>
            </w:r>
          </w:p>
        </w:tc>
        <w:tc>
          <w:tcPr>
            <w:tcW w:type="dxa" w:w="3547"/>
            <w:shd w:val="clear" w:color="auto" w:fill="111113"/>
          </w:tcPr>
          <w:p>
            <w:r>
              <w:rPr>
                <w:b/>
                <w:color w:val="FFFFFF"/>
                <w:sz w:val="17"/>
              </w:rPr>
            </w:r>
            <w:r>
              <w:rPr>
                <w:b/>
                <w:color w:val="FFFFFF"/>
                <w:sz w:val="17"/>
              </w:rPr>
              <w:t>REQUIRED FIELDS</w:t>
            </w:r>
          </w:p>
        </w:tc>
        <w:tc>
          <w:tcPr>
            <w:tcW w:type="dxa" w:w="2446"/>
            <w:shd w:val="clear" w:color="auto" w:fill="111113"/>
          </w:tcPr>
          <w:p>
            <w:r>
              <w:rPr>
                <w:b/>
                <w:color w:val="FFFFFF"/>
                <w:sz w:val="17"/>
              </w:rPr>
            </w:r>
            <w:r>
              <w:rPr>
                <w:b/>
                <w:color w:val="FFFFFF"/>
                <w:sz w:val="17"/>
              </w:rPr>
              <w:t>FILTERS /​ GROUPING</w:t>
            </w:r>
          </w:p>
        </w:tc>
        <w:tc>
          <w:tcPr>
            <w:tcW w:type="dxa" w:w="2948"/>
            <w:shd w:val="clear" w:color="auto" w:fill="111113"/>
          </w:tcPr>
          <w:p>
            <w:r>
              <w:rPr>
                <w:b/>
                <w:color w:val="FFFFFF"/>
                <w:sz w:val="17"/>
              </w:rPr>
            </w:r>
            <w:r>
              <w:rPr>
                <w:b/>
                <w:color w:val="FFFFFF"/>
                <w:sz w:val="17"/>
              </w:rPr>
              <w:t>NOTES</w:t>
            </w:r>
          </w:p>
        </w:tc>
      </w:tr>
      <w:tr>
        <w:trPr>
          <w:cantSplit/>
        </w:trPr>
        <w:tc>
          <w:tcPr>
            <w:tcW w:type="dxa" w:w="1525"/>
          </w:tcPr>
          <w:p>
            <w:r>
              <w:rPr>
                <w:sz w:val="17"/>
              </w:rPr>
            </w:r>
            <w:r>
              <w:rPr>
                <w:sz w:val="17"/>
              </w:rPr>
              <w:t>Doors</w:t>
            </w:r>
          </w:p>
        </w:tc>
        <w:tc>
          <w:tcPr>
            <w:tcW w:type="dxa" w:w="3547"/>
          </w:tcPr>
          <w:p>
            <w:r>
              <w:rPr>
                <w:sz w:val="17"/>
              </w:rPr>
            </w:r>
            <w:r>
              <w:rPr>
                <w:sz w:val="17"/>
              </w:rPr>
              <w:t>Mark, Type, Width, Height, Fire_Rating (min), Fire_Rating_Standard, Classification_Code</w:t>
            </w:r>
          </w:p>
        </w:tc>
        <w:tc>
          <w:tcPr>
            <w:tcW w:type="dxa" w:w="2446"/>
          </w:tcPr>
          <w:p>
            <w:r>
              <w:rPr>
                <w:sz w:val="17"/>
              </w:rPr>
            </w:r>
            <w:r>
              <w:rPr>
                <w:sz w:val="17"/>
              </w:rPr>
              <w:t>Only placed elements. Group by Level</w:t>
            </w:r>
          </w:p>
        </w:tc>
        <w:tc>
          <w:tcPr>
            <w:tcW w:type="dxa" w:w="2948"/>
          </w:tcPr>
          <w:p>
            <w:r>
              <w:rPr>
                <w:sz w:val="17"/>
              </w:rPr>
            </w:r>
            <w:r>
              <w:rPr>
                <w:sz w:val="17"/>
              </w:rPr>
              <w:t>Fire_Rating populated when the fire strategy is issued (O-DEC-119)</w:t>
            </w:r>
          </w:p>
        </w:tc>
      </w:tr>
      <w:tr>
        <w:trPr>
          <w:cantSplit/>
        </w:trPr>
        <w:tc>
          <w:tcPr>
            <w:tcW w:type="dxa" w:w="1525"/>
          </w:tcPr>
          <w:p>
            <w:r>
              <w:rPr>
                <w:sz w:val="17"/>
              </w:rPr>
            </w:r>
            <w:r>
              <w:rPr>
                <w:sz w:val="17"/>
              </w:rPr>
              <w:t>Windows</w:t>
            </w:r>
          </w:p>
        </w:tc>
        <w:tc>
          <w:tcPr>
            <w:tcW w:type="dxa" w:w="3547"/>
          </w:tcPr>
          <w:p>
            <w:r>
              <w:rPr>
                <w:sz w:val="17"/>
              </w:rPr>
            </w:r>
            <w:r>
              <w:rPr>
                <w:sz w:val="17"/>
              </w:rPr>
              <w:t>Mark, Type, Width, Height, Glazing, Classification_Code</w:t>
            </w:r>
          </w:p>
        </w:tc>
        <w:tc>
          <w:tcPr>
            <w:tcW w:type="dxa" w:w="2446"/>
          </w:tcPr>
          <w:p>
            <w:r>
              <w:rPr>
                <w:sz w:val="17"/>
              </w:rPr>
            </w:r>
            <w:r>
              <w:rPr>
                <w:sz w:val="17"/>
              </w:rPr>
              <w:t>Only placed elements. Group by Level</w:t>
            </w:r>
          </w:p>
        </w:tc>
        <w:tc>
          <w:tcPr>
            <w:tcW w:type="dxa" w:w="2948"/>
          </w:tcPr>
          <w:p>
            <w:r>
              <w:rPr>
                <w:sz w:val="17"/>
              </w:rPr>
            </w:r>
            <w:r>
              <w:rPr>
                <w:sz w:val="17"/>
              </w:rPr>
              <w:t>Sizes as built-in parameters; no text overrides</w:t>
            </w:r>
          </w:p>
        </w:tc>
      </w:tr>
      <w:tr>
        <w:trPr>
          <w:cantSplit/>
        </w:trPr>
        <w:tc>
          <w:tcPr>
            <w:tcW w:type="dxa" w:w="1525"/>
          </w:tcPr>
          <w:p>
            <w:r>
              <w:rPr>
                <w:sz w:val="17"/>
              </w:rPr>
            </w:r>
            <w:r>
              <w:rPr>
                <w:sz w:val="17"/>
              </w:rPr>
              <w:t>Room/​Space Data</w:t>
            </w:r>
          </w:p>
        </w:tc>
        <w:tc>
          <w:tcPr>
            <w:tcW w:type="dxa" w:w="3547"/>
          </w:tcPr>
          <w:p>
            <w:r>
              <w:rPr>
                <w:sz w:val="17"/>
              </w:rPr>
            </w:r>
            <w:r>
              <w:rPr>
                <w:sz w:val="17"/>
              </w:rPr>
              <w:t>Name, Number, Level, Area, System (MEP), Zone</w:t>
            </w:r>
          </w:p>
        </w:tc>
        <w:tc>
          <w:tcPr>
            <w:tcW w:type="dxa" w:w="2446"/>
          </w:tcPr>
          <w:p>
            <w:r>
              <w:rPr>
                <w:sz w:val="17"/>
              </w:rPr>
            </w:r>
            <w:r>
              <w:rPr>
                <w:sz w:val="17"/>
              </w:rPr>
              <w:t>Exclude not placed. Group by Zone</w:t>
            </w:r>
          </w:p>
        </w:tc>
        <w:tc>
          <w:tcPr>
            <w:tcW w:type="dxa" w:w="2948"/>
          </w:tcPr>
          <w:p>
            <w:r>
              <w:rPr>
                <w:sz w:val="17"/>
              </w:rPr>
            </w:r>
            <w:r>
              <w:rPr>
                <w:sz w:val="17"/>
              </w:rPr>
              <w:t>Zone required at RIBA 3+</w:t>
            </w:r>
          </w:p>
        </w:tc>
      </w:tr>
      <w:tr>
        <w:trPr>
          <w:cantSplit/>
        </w:trPr>
        <w:tc>
          <w:tcPr>
            <w:tcW w:type="dxa" w:w="1525"/>
          </w:tcPr>
          <w:p>
            <w:r>
              <w:rPr>
                <w:sz w:val="17"/>
              </w:rPr>
            </w:r>
            <w:r>
              <w:rPr>
                <w:sz w:val="17"/>
              </w:rPr>
              <w:t>Equipment (MEP)</w:t>
            </w:r>
          </w:p>
        </w:tc>
        <w:tc>
          <w:tcPr>
            <w:tcW w:type="dxa" w:w="3547"/>
          </w:tcPr>
          <w:p>
            <w:r>
              <w:rPr>
                <w:sz w:val="17"/>
              </w:rPr>
            </w:r>
            <w:r>
              <w:rPr>
                <w:sz w:val="17"/>
              </w:rPr>
              <w:t>Mark, Family, Type, System, Level, Classification_Code, Asset_ID</w:t>
            </w:r>
          </w:p>
        </w:tc>
        <w:tc>
          <w:tcPr>
            <w:tcW w:type="dxa" w:w="2446"/>
          </w:tcPr>
          <w:p>
            <w:r>
              <w:rPr>
                <w:sz w:val="17"/>
              </w:rPr>
            </w:r>
            <w:r>
              <w:rPr>
                <w:sz w:val="17"/>
              </w:rPr>
              <w:t>Exclude unplaced. Group by System</w:t>
            </w:r>
          </w:p>
        </w:tc>
        <w:tc>
          <w:tcPr>
            <w:tcW w:type="dxa" w:w="2948"/>
          </w:tcPr>
          <w:p>
            <w:r>
              <w:rPr>
                <w:sz w:val="17"/>
              </w:rPr>
            </w:r>
            <w:r>
              <w:rPr>
                <w:sz w:val="17"/>
              </w:rPr>
              <w:t>Asset_ID required when the client asset register is defined (O-DEC-121)</w:t>
            </w:r>
          </w:p>
        </w:tc>
      </w:tr>
      <w:tr>
        <w:trPr>
          <w:cantSplit/>
        </w:trPr>
        <w:tc>
          <w:tcPr>
            <w:tcW w:type="dxa" w:w="1525"/>
          </w:tcPr>
          <w:p>
            <w:r>
              <w:rPr>
                <w:sz w:val="17"/>
              </w:rPr>
            </w:r>
            <w:r>
              <w:rPr>
                <w:sz w:val="17"/>
              </w:rPr>
              <w:t>Material Takeoff (STR)</w:t>
            </w:r>
          </w:p>
        </w:tc>
        <w:tc>
          <w:tcPr>
            <w:tcW w:type="dxa" w:w="3547"/>
          </w:tcPr>
          <w:p>
            <w:r>
              <w:rPr>
                <w:sz w:val="17"/>
              </w:rPr>
            </w:r>
            <w:r>
              <w:rPr>
                <w:sz w:val="17"/>
              </w:rPr>
              <w:t>Category, Type, Volume/​Area, Level</w:t>
            </w:r>
          </w:p>
        </w:tc>
        <w:tc>
          <w:tcPr>
            <w:tcW w:type="dxa" w:w="2446"/>
          </w:tcPr>
          <w:p>
            <w:r>
              <w:rPr>
                <w:sz w:val="17"/>
              </w:rPr>
            </w:r>
            <w:r>
              <w:rPr>
                <w:sz w:val="17"/>
              </w:rPr>
              <w:t>Exclude demo. Group by Category</w:t>
            </w:r>
          </w:p>
        </w:tc>
        <w:tc>
          <w:tcPr>
            <w:tcW w:type="dxa" w:w="2948"/>
          </w:tcPr>
          <w:p>
            <w:r>
              <w:rPr>
                <w:sz w:val="17"/>
              </w:rPr>
            </w:r>
            <w:r>
              <w:rPr>
                <w:sz w:val="17"/>
              </w:rPr>
              <w:t>Units per 4.4; precision fixed per template</w:t>
            </w:r>
          </w:p>
        </w:tc>
      </w:tr>
    </w:tbl>
    <w:p/>
    <w:p>
      <w:pPr>
        <w:pStyle w:val="Heading3"/>
      </w:pPr>
      <w:r>
        <w:t>Legends linkage</w:t>
      </w:r>
    </w:p>
    <w:p>
      <w:pPr/>
      <w:r>
        <w:t>Legends used by schedules must be sourced from 4.14 canonical legends.</w:t>
      </w:r>
    </w:p>
    <w:p>
      <w:pPr/>
      <w:r>
        <w:t>No schedule-embedded symbol images; use legends for symbology.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288"/>
        <w:gridCol w:w="1869"/>
        <w:gridCol w:w="1613"/>
        <w:gridCol w:w="3697"/>
      </w:tblGrid>
      <w:tr>
        <w:trPr>
          <w:cantSplit/>
          <w:tblHeader/>
        </w:trPr>
        <w:tc>
          <w:tcPr>
            <w:tcW w:type="dxa" w:w="3288"/>
            <w:shd w:val="clear" w:color="auto" w:fill="111113"/>
          </w:tcPr>
          <w:p>
            <w:r>
              <w:rPr>
                <w:b/>
                <w:color w:val="FFFFFF"/>
                <w:sz w:val="17"/>
              </w:rPr>
            </w:r>
            <w:r>
              <w:rPr>
                <w:b/>
                <w:color w:val="FFFFFF"/>
                <w:sz w:val="17"/>
              </w:rPr>
              <w:t>Acceptance criteria</w:t>
            </w:r>
          </w:p>
        </w:tc>
        <w:tc>
          <w:tcPr>
            <w:tcW w:type="dxa" w:w="1869"/>
            <w:shd w:val="clear" w:color="auto" w:fill="111113"/>
          </w:tcPr>
          <w:p>
            <w:r>
              <w:rPr>
                <w:b/>
                <w:color w:val="FFFFFF"/>
                <w:sz w:val="17"/>
              </w:rPr>
            </w:r>
            <w:r>
              <w:rPr>
                <w:b/>
                <w:color w:val="FFFFFF"/>
                <w:sz w:val="17"/>
              </w:rPr>
              <w:t>Quality checks</w:t>
            </w:r>
          </w:p>
        </w:tc>
        <w:tc>
          <w:tcPr>
            <w:tcW w:type="dxa" w:w="1613"/>
            <w:shd w:val="clear" w:color="auto" w:fill="111113"/>
          </w:tcPr>
          <w:p>
            <w:r>
              <w:rPr>
                <w:b/>
                <w:color w:val="FFFFFF"/>
                <w:sz w:val="17"/>
              </w:rPr>
            </w:r>
            <w:r>
              <w:rPr>
                <w:b/>
                <w:color w:val="FFFFFF"/>
                <w:sz w:val="17"/>
              </w:rPr>
              <w:t>Owner</w:t>
            </w:r>
          </w:p>
        </w:tc>
        <w:tc>
          <w:tcPr>
            <w:tcW w:type="dxa" w:w="3697"/>
            <w:shd w:val="clear" w:color="auto" w:fill="111113"/>
          </w:tcPr>
          <w:p>
            <w:r>
              <w:rPr>
                <w:b/>
                <w:color w:val="FFFFFF"/>
                <w:sz w:val="17"/>
              </w:rPr>
            </w:r>
            <w:r>
              <w:rPr>
                <w:b/>
                <w:color w:val="FFFFFF"/>
                <w:sz w:val="17"/>
              </w:rPr>
              <w:t>Edit criteria</w:t>
            </w:r>
          </w:p>
        </w:tc>
      </w:tr>
      <w:tr>
        <w:trPr>
          <w:cantSplit/>
        </w:trPr>
        <w:tc>
          <w:tcPr>
            <w:tcW w:type="dxa" w:w="3288"/>
          </w:tcPr>
          <w:p>
            <w:r>
              <w:rPr>
                <w:sz w:val="17"/>
              </w:rPr>
            </w:r>
            <w:r>
              <w:rPr>
                <w:sz w:val="17"/>
              </w:rPr>
              <w:t>Required fields present with correct data types</w:t>
            </w:r>
          </w:p>
        </w:tc>
        <w:tc>
          <w:tcPr>
            <w:tcW w:type="dxa" w:w="1869"/>
          </w:tcPr>
          <w:p>
            <w:r>
              <w:rPr>
                <w:sz w:val="17"/>
              </w:rPr>
            </w:r>
            <w:r>
              <w:rPr>
                <w:sz w:val="17"/>
              </w:rPr>
              <w:t>Field-schema audit vs 3.2</w:t>
            </w:r>
          </w:p>
        </w:tc>
        <w:tc>
          <w:tcPr>
            <w:tcW w:type="dxa" w:w="1613"/>
          </w:tcPr>
          <w:p>
            <w:r>
              <w:rPr>
                <w:sz w:val="17"/>
              </w:rPr>
            </w:r>
            <w:r>
              <w:rPr>
                <w:sz w:val="17"/>
              </w:rPr>
              <w:t>Information Manager</w:t>
            </w:r>
          </w:p>
        </w:tc>
        <w:tc>
          <w:tcPr>
            <w:tcW w:type="dxa" w:w="3697"/>
          </w:tcPr>
          <w:p>
            <w:r>
              <w:rPr>
                <w:sz w:val="17"/>
              </w:rPr>
            </w:r>
            <w:r>
              <w:rPr>
                <w:sz w:val="17"/>
              </w:rPr>
              <w:t>Adjust in template; backfill data before issue</w:t>
            </w:r>
          </w:p>
        </w:tc>
      </w:tr>
      <w:tr>
        <w:trPr>
          <w:cantSplit/>
        </w:trPr>
        <w:tc>
          <w:tcPr>
            <w:tcW w:type="dxa" w:w="3288"/>
          </w:tcPr>
          <w:p>
            <w:r>
              <w:rPr>
                <w:sz w:val="17"/>
              </w:rPr>
            </w:r>
            <w:r>
              <w:rPr>
                <w:sz w:val="17"/>
              </w:rPr>
              <w:t>No text overrides in schedule cells</w:t>
            </w:r>
          </w:p>
        </w:tc>
        <w:tc>
          <w:tcPr>
            <w:tcW w:type="dxa" w:w="1869"/>
          </w:tcPr>
          <w:p>
            <w:r>
              <w:rPr>
                <w:sz w:val="17"/>
              </w:rPr>
            </w:r>
            <w:r>
              <w:rPr>
                <w:sz w:val="17"/>
              </w:rPr>
              <w:t>Overrides scan</w:t>
            </w:r>
          </w:p>
        </w:tc>
        <w:tc>
          <w:tcPr>
            <w:tcW w:type="dxa" w:w="1613"/>
          </w:tcPr>
          <w:p>
            <w:r>
              <w:rPr>
                <w:sz w:val="17"/>
              </w:rPr>
            </w:r>
            <w:r>
              <w:rPr>
                <w:sz w:val="17"/>
              </w:rPr>
              <w:t>QA-QC Lead</w:t>
            </w:r>
          </w:p>
        </w:tc>
        <w:tc>
          <w:tcPr>
            <w:tcW w:type="dxa" w:w="3697"/>
          </w:tcPr>
          <w:p>
            <w:r>
              <w:rPr>
                <w:sz w:val="17"/>
              </w:rPr>
            </w:r>
            <w:r>
              <w:rPr>
                <w:sz w:val="17"/>
              </w:rPr>
              <w:t>Fix parameters; do not override cells</w:t>
            </w:r>
          </w:p>
        </w:tc>
      </w:tr>
      <w:tr>
        <w:trPr>
          <w:cantSplit/>
        </w:trPr>
        <w:tc>
          <w:tcPr>
            <w:tcW w:type="dxa" w:w="3288"/>
          </w:tcPr>
          <w:p>
            <w:r>
              <w:rPr>
                <w:sz w:val="17"/>
              </w:rPr>
            </w:r>
            <w:r>
              <w:rPr>
                <w:sz w:val="17"/>
              </w:rPr>
              <w:t>Grouping and filters match table above</w:t>
            </w:r>
          </w:p>
        </w:tc>
        <w:tc>
          <w:tcPr>
            <w:tcW w:type="dxa" w:w="1869"/>
          </w:tcPr>
          <w:p>
            <w:r>
              <w:rPr>
                <w:sz w:val="17"/>
              </w:rPr>
            </w:r>
            <w:r>
              <w:rPr>
                <w:sz w:val="17"/>
              </w:rPr>
              <w:t>Preset comparison</w:t>
            </w:r>
          </w:p>
        </w:tc>
        <w:tc>
          <w:tcPr>
            <w:tcW w:type="dxa" w:w="1613"/>
          </w:tcPr>
          <w:p>
            <w:r>
              <w:rPr>
                <w:sz w:val="17"/>
              </w:rPr>
            </w:r>
            <w:r>
              <w:rPr>
                <w:sz w:val="17"/>
              </w:rPr>
              <w:t>Discipline Lead</w:t>
            </w:r>
          </w:p>
        </w:tc>
        <w:tc>
          <w:tcPr>
            <w:tcW w:type="dxa" w:w="3697"/>
          </w:tcPr>
          <w:p>
            <w:r>
              <w:rPr>
                <w:sz w:val="17"/>
              </w:rPr>
            </w:r>
            <w:r>
              <w:rPr>
                <w:sz w:val="17"/>
              </w:rPr>
              <w:t>Update preset only; document change in 1.1</w:t>
            </w:r>
          </w:p>
        </w:tc>
      </w:tr>
    </w:tbl>
    <w:p/>
    <w:p>
      <w:pPr>
        <w:pStyle w:val="Heading2"/>
      </w:pPr>
      <w:r>
        <w:t>7.3 PUBLISHING AND REVISIONS</w:t>
      </w:r>
    </w:p>
    <w:p>
      <w:pPr>
        <w:pStyle w:val="Heading3"/>
      </w:pPr>
      <w:r>
        <w:t>A) Issue pack workflow (from T−3 days to T day)</w:t>
      </w:r>
    </w:p>
    <w:p>
      <w:pPr/>
      <w:r>
        <w:t>T−3 days: Pre-gate mini-drop to SHARED</w:t>
      </w:r>
    </w:p>
    <w:p>
      <w:pPr/>
      <w:r>
        <w:t>LAP announces scope and recipients</w:t>
      </w:r>
    </w:p>
    <w:p>
      <w:pPr/>
      <w:r>
        <w:t>BIM Coordinator runs clash and Start View audits</w:t>
      </w:r>
    </w:p>
    <w:p>
      <w:pPr/>
      <w:r>
        <w:t>Discipline Leads address B/C items from last gate</w:t>
      </w:r>
    </w:p>
    <w:p>
      <w:pPr/>
      <w:r>
        <w:t>T−2 days: Freeze candidates</w:t>
      </w:r>
    </w:p>
    <w:p>
      <w:pPr/>
      <w:r>
        <w:t>DOC parent views reviewed and locked via templates</w:t>
      </w:r>
    </w:p>
    <w:p>
      <w:pPr/>
      <w:r>
        <w:t>Naming and metadata validation (12.3) on prospective pack</w:t>
      </w:r>
    </w:p>
    <w:p>
      <w:pPr/>
      <w:r>
        <w:t>T−1 day: Dry-run build in restricted WIP staging; retain the final container IDs for validation</w:t>
      </w:r>
    </w:p>
    <w:p>
      <w:pPr/>
      <w:r>
        <w:t>Build pack with date folder name: YYYY-MM-DD-DESCRIPTION</w:t>
      </w:r>
    </w:p>
    <w:p>
      <w:pPr/>
      <w:r>
        <w:t>Verify sheet index, title blocks, revisions, legends</w:t>
      </w:r>
    </w:p>
    <w:p>
      <w:pPr/>
      <w:r>
        <w:t>T day 09:00: Final build and transmittal</w:t>
      </w:r>
    </w:p>
    <w:p>
      <w:pPr/>
      <w:r>
        <w:t>Build final pack in its stage folder of 03-PUBLISHED (12.1)</w:t>
      </w:r>
    </w:p>
    <w:p>
      <w:pPr/>
      <w:r>
        <w:t>Generate transmittal and post evidence</w:t>
      </w:r>
    </w:p>
    <w:p>
      <w:pPr>
        <w:pStyle w:val="Heading3"/>
      </w:pPr>
      <w:r>
        <w:t>B) Pack build checklist (minimum)</w:t>
      </w:r>
    </w:p>
    <w:p>
      <w:pPr/>
      <w:r>
        <w:t>Folder</w:t>
      </w:r>
    </w:p>
    <w:p>
      <w:pPr/>
      <w:r>
        <w:t>Name format: YYYY-MM-DD-DESCRIPTION</w:t>
      </w:r>
    </w:p>
    <w:p>
      <w:pPr/>
      <w:r>
        <w:t>Children present: 00-COVERSHEETS, 01-DRAWINGS, 02-MODELS, 03-SCHEDULES, 04-REPORTS, 05-TRANSMITTAL</w:t>
      </w:r>
    </w:p>
    <w:p>
      <w:pPr/>
      <w:r>
        <w:t>Drawings</w:t>
      </w:r>
    </w:p>
    <w:p>
      <w:pPr/>
      <w:r>
        <w:t>Sheet index present and matches placed sheets</w:t>
      </w:r>
    </w:p>
    <w:p>
      <w:pPr/>
      <w:r>
        <w:t>Title blocks: mandatory fields filled; correct family size</w:t>
      </w:r>
    </w:p>
    <w:p>
      <w:pPr/>
      <w:r>
        <w:t>Legends: Symbols and Key Plan placed as required</w:t>
      </w:r>
    </w:p>
    <w:p>
      <w:pPr/>
      <w:r>
        <w:t>Each changed container has a new Rnn; unchanged containers keep theirs; manifest lists actual revisions</w:t>
      </w:r>
    </w:p>
    <w:p>
      <w:pPr/>
      <w:r>
        <w:t>Models</w:t>
      </w:r>
    </w:p>
    <w:p>
      <w:pPr/>
      <w:r>
        <w:t>Federated model current; links pinned; section box states per template</w:t>
      </w:r>
    </w:p>
    <w:p>
      <w:pPr/>
      <w:r>
        <w:t>Start View present and default; audit panel refreshed</w:t>
      </w:r>
    </w:p>
    <w:p>
      <w:pPr/>
      <w:r>
        <w:t>Schedules</w:t>
      </w:r>
    </w:p>
    <w:p>
      <w:pPr/>
      <w:r>
        <w:t>Required schedule fields per 7.2; no text overrides</w:t>
      </w:r>
    </w:p>
    <w:p>
      <w:pPr/>
      <w:r>
        <w:t>Reports</w:t>
      </w:r>
    </w:p>
    <w:p>
      <w:pPr/>
      <w:r>
        <w:t>Model health KPIs and clash report from last 48h</w:t>
      </w:r>
    </w:p>
    <w:p>
      <w:pPr/>
      <w:r>
        <w:t>Data completeness report per discipline</w:t>
      </w:r>
    </w:p>
    <w:p>
      <w:pPr/>
      <w:r>
        <w:t>Transmittal</w:t>
      </w:r>
    </w:p>
    <w:p>
      <w:pPr/>
      <w:r>
        <w:t>Recipient list, purpose, and distribution codes</w:t>
      </w:r>
    </w:p>
    <w:p>
      <w:pPr/>
      <w:r>
        <w:t>File list with immutable CDE versions and sizes; use hashes where the platform allows them, retaining equivalent immutable identity evidence otherwise</w:t>
      </w:r>
    </w:p>
    <w:p>
      <w:pPr>
        <w:pStyle w:val="Heading3"/>
      </w:pPr>
      <w:r>
        <w:t>C) Revision rules</w:t>
      </w:r>
    </w:p>
    <w:p>
      <w:pPr/>
      <w:r>
        <w:t>Legacy internal revision token: Rnn with nn as zero-padded integer; external code list follows 3.1 / BEP 8.3</w:t>
      </w:r>
    </w:p>
    <w:p>
      <w:pPr/>
      <w:r>
        <w:t>Revisions increase monotonically per changed container under the approved register; unchanged containers retain their revision in the issue manifest</w:t>
      </w:r>
    </w:p>
    <w:p>
      <w:pPr/>
      <w:r>
        <w:t>Clouding visibility controlled by template, not per-view</w:t>
      </w:r>
    </w:p>
    <w:p>
      <w:pPr/>
      <w:r>
        <w:t>Sheet title blocks and sheet index must match each sheet's own revision in the pack manifest</w:t>
      </w:r>
    </w:p>
    <w:p>
      <w:pPr/>
      <w:r>
        <w:t>No manual backdating; corrections issued as new revision with change note</w:t>
      </w:r>
    </w:p>
    <w:p>
      <w:pPr>
        <w:pStyle w:val="Heading3"/>
      </w:pPr>
      <w:r>
        <w:t>D) Transmittals</w:t>
      </w:r>
    </w:p>
    <w:p>
      <w:pPr/>
      <w:r>
        <w:t>File: PDF transmittal + optional CSV manifest</w:t>
      </w:r>
    </w:p>
    <w:p>
      <w:pPr/>
      <w:r>
        <w:t>Includes: Project code, pack date, description, recipients, confidentiality, file table</w:t>
      </w:r>
    </w:p>
    <w:p>
      <w:pPr/>
      <w:r>
        <w:t>Location: 05-TRANSMITTAL inside the dated pack folder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2"/>
        <w:gridCol w:w="2471"/>
        <w:gridCol w:w="1350"/>
        <w:gridCol w:w="3022"/>
      </w:tblGrid>
      <w:tr>
        <w:trPr>
          <w:cantSplit/>
          <w:tblHeader/>
        </w:trPr>
        <w:tc>
          <w:tcPr>
            <w:tcW w:type="dxa" w:w="3622"/>
            <w:shd w:val="clear" w:color="auto" w:fill="111113"/>
          </w:tcPr>
          <w:p>
            <w:r>
              <w:rPr>
                <w:b/>
                <w:color w:val="FFFFFF"/>
                <w:sz w:val="17"/>
              </w:rPr>
            </w:r>
            <w:r>
              <w:rPr>
                <w:b/>
                <w:color w:val="FFFFFF"/>
                <w:sz w:val="17"/>
              </w:rPr>
              <w:t>Acceptance criteria</w:t>
            </w:r>
          </w:p>
        </w:tc>
        <w:tc>
          <w:tcPr>
            <w:tcW w:type="dxa" w:w="2471"/>
            <w:shd w:val="clear" w:color="auto" w:fill="111113"/>
          </w:tcPr>
          <w:p>
            <w:r>
              <w:rPr>
                <w:b/>
                <w:color w:val="FFFFFF"/>
                <w:sz w:val="17"/>
              </w:rPr>
            </w:r>
            <w:r>
              <w:rPr>
                <w:b/>
                <w:color w:val="FFFFFF"/>
                <w:sz w:val="17"/>
              </w:rPr>
              <w:t>Quality checks</w:t>
            </w:r>
          </w:p>
        </w:tc>
        <w:tc>
          <w:tcPr>
            <w:tcW w:type="dxa" w:w="1350"/>
            <w:shd w:val="clear" w:color="auto" w:fill="111113"/>
          </w:tcPr>
          <w:p>
            <w:r>
              <w:rPr>
                <w:b/>
                <w:color w:val="FFFFFF"/>
                <w:sz w:val="17"/>
              </w:rPr>
            </w:r>
            <w:r>
              <w:rPr>
                <w:b/>
                <w:color w:val="FFFFFF"/>
                <w:sz w:val="17"/>
              </w:rPr>
              <w:t>Owner</w:t>
            </w:r>
          </w:p>
        </w:tc>
        <w:tc>
          <w:tcPr>
            <w:tcW w:type="dxa" w:w="3022"/>
            <w:shd w:val="clear" w:color="auto" w:fill="111113"/>
          </w:tcPr>
          <w:p>
            <w:r>
              <w:rPr>
                <w:b/>
                <w:color w:val="FFFFFF"/>
                <w:sz w:val="17"/>
              </w:rPr>
            </w:r>
            <w:r>
              <w:rPr>
                <w:b/>
                <w:color w:val="FFFFFF"/>
                <w:sz w:val="17"/>
              </w:rPr>
              <w:t>Edit criteria</w:t>
            </w:r>
          </w:p>
        </w:tc>
      </w:tr>
      <w:tr>
        <w:trPr>
          <w:cantSplit/>
        </w:trPr>
        <w:tc>
          <w:tcPr>
            <w:tcW w:type="dxa" w:w="3622"/>
          </w:tcPr>
          <w:p>
            <w:r>
              <w:rPr>
                <w:sz w:val="17"/>
              </w:rPr>
            </w:r>
            <w:r>
              <w:rPr>
                <w:sz w:val="17"/>
              </w:rPr>
              <w:t>Pack folder name matches YYYY-MM-DD-DESCRIPTION</w:t>
            </w:r>
          </w:p>
        </w:tc>
        <w:tc>
          <w:tcPr>
            <w:tcW w:type="dxa" w:w="2471"/>
          </w:tcPr>
          <w:p>
            <w:r>
              <w:rPr>
                <w:sz w:val="17"/>
              </w:rPr>
            </w:r>
            <w:r>
              <w:rPr>
                <w:sz w:val="17"/>
              </w:rPr>
              <w:t>Regex check on pack root folder name</w:t>
            </w:r>
          </w:p>
        </w:tc>
        <w:tc>
          <w:tcPr>
            <w:tcW w:type="dxa" w:w="1350"/>
          </w:tcPr>
          <w:p>
            <w:r>
              <w:rPr>
                <w:sz w:val="17"/>
              </w:rPr>
            </w:r>
            <w:r>
              <w:rPr>
                <w:sz w:val="17"/>
              </w:rPr>
              <w:t>Information Manager</w:t>
            </w:r>
          </w:p>
        </w:tc>
        <w:tc>
          <w:tcPr>
            <w:tcW w:type="dxa" w:w="3022"/>
          </w:tcPr>
          <w:p>
            <w:r>
              <w:rPr>
                <w:sz w:val="17"/>
              </w:rPr>
            </w:r>
            <w:r>
              <w:rPr>
                <w:sz w:val="17"/>
              </w:rPr>
              <w:t>Rename via CDE action only</w:t>
            </w:r>
          </w:p>
        </w:tc>
      </w:tr>
      <w:tr>
        <w:trPr>
          <w:cantSplit/>
        </w:trPr>
        <w:tc>
          <w:tcPr>
            <w:tcW w:type="dxa" w:w="3622"/>
          </w:tcPr>
          <w:p>
            <w:r>
              <w:rPr>
                <w:sz w:val="17"/>
              </w:rPr>
            </w:r>
            <w:r>
              <w:rPr>
                <w:sz w:val="17"/>
              </w:rPr>
              <w:t>Children 00–05 subfolders exist with required content</w:t>
            </w:r>
          </w:p>
        </w:tc>
        <w:tc>
          <w:tcPr>
            <w:tcW w:type="dxa" w:w="2471"/>
          </w:tcPr>
          <w:p>
            <w:r>
              <w:rPr>
                <w:sz w:val="17"/>
              </w:rPr>
            </w:r>
            <w:r>
              <w:rPr>
                <w:sz w:val="17"/>
              </w:rPr>
              <w:t>Pack structure scan</w:t>
            </w:r>
          </w:p>
        </w:tc>
        <w:tc>
          <w:tcPr>
            <w:tcW w:type="dxa" w:w="1350"/>
          </w:tcPr>
          <w:p>
            <w:r>
              <w:rPr>
                <w:sz w:val="17"/>
              </w:rPr>
            </w:r>
            <w:r>
              <w:rPr>
                <w:sz w:val="17"/>
              </w:rPr>
              <w:t>BIM Coordinator</w:t>
            </w:r>
          </w:p>
        </w:tc>
        <w:tc>
          <w:tcPr>
            <w:tcW w:type="dxa" w:w="3022"/>
          </w:tcPr>
          <w:p>
            <w:r>
              <w:rPr>
                <w:sz w:val="17"/>
              </w:rPr>
            </w:r>
            <w:r>
              <w:rPr>
                <w:sz w:val="17"/>
              </w:rPr>
              <w:t>Add missing folders; re-export as needed</w:t>
            </w:r>
          </w:p>
        </w:tc>
      </w:tr>
      <w:tr>
        <w:trPr>
          <w:cantSplit/>
        </w:trPr>
        <w:tc>
          <w:tcPr>
            <w:tcW w:type="dxa" w:w="3622"/>
          </w:tcPr>
          <w:p>
            <w:r>
              <w:rPr>
                <w:sz w:val="17"/>
              </w:rPr>
            </w:r>
            <w:r>
              <w:rPr>
                <w:sz w:val="17"/>
              </w:rPr>
              <w:t>Title block fields complete; sheet index consistent</w:t>
            </w:r>
          </w:p>
        </w:tc>
        <w:tc>
          <w:tcPr>
            <w:tcW w:type="dxa" w:w="2471"/>
          </w:tcPr>
          <w:p>
            <w:r>
              <w:rPr>
                <w:sz w:val="17"/>
              </w:rPr>
            </w:r>
            <w:r>
              <w:rPr>
                <w:sz w:val="17"/>
              </w:rPr>
              <w:t>Automated title block + index comparison</w:t>
            </w:r>
          </w:p>
        </w:tc>
        <w:tc>
          <w:tcPr>
            <w:tcW w:type="dxa" w:w="1350"/>
          </w:tcPr>
          <w:p>
            <w:r>
              <w:rPr>
                <w:sz w:val="17"/>
              </w:rPr>
            </w:r>
            <w:r>
              <w:rPr>
                <w:sz w:val="17"/>
              </w:rPr>
              <w:t>QA-QC Lead</w:t>
            </w:r>
          </w:p>
        </w:tc>
        <w:tc>
          <w:tcPr>
            <w:tcW w:type="dxa" w:w="3022"/>
          </w:tcPr>
          <w:p>
            <w:r>
              <w:rPr>
                <w:sz w:val="17"/>
              </w:rPr>
            </w:r>
            <w:r>
              <w:rPr>
                <w:sz w:val="17"/>
              </w:rPr>
              <w:t>Fix via template or parameters; no manual text</w:t>
            </w:r>
          </w:p>
        </w:tc>
      </w:tr>
      <w:tr>
        <w:trPr>
          <w:cantSplit/>
        </w:trPr>
        <w:tc>
          <w:tcPr>
            <w:tcW w:type="dxa" w:w="3622"/>
          </w:tcPr>
          <w:p>
            <w:r>
              <w:rPr>
                <w:sz w:val="17"/>
              </w:rPr>
            </w:r>
            <w:r>
              <w:rPr>
                <w:sz w:val="17"/>
              </w:rPr>
              <w:t>Each container's Rnn matches index, title block and manifest</w:t>
            </w:r>
          </w:p>
        </w:tc>
        <w:tc>
          <w:tcPr>
            <w:tcW w:type="dxa" w:w="2471"/>
          </w:tcPr>
          <w:p>
            <w:r>
              <w:rPr>
                <w:sz w:val="17"/>
              </w:rPr>
            </w:r>
            <w:r>
              <w:rPr>
                <w:sz w:val="17"/>
              </w:rPr>
              <w:t>Revision coherence audit</w:t>
            </w:r>
          </w:p>
        </w:tc>
        <w:tc>
          <w:tcPr>
            <w:tcW w:type="dxa" w:w="1350"/>
          </w:tcPr>
          <w:p>
            <w:r>
              <w:rPr>
                <w:sz w:val="17"/>
              </w:rPr>
            </w:r>
            <w:r>
              <w:rPr>
                <w:sz w:val="17"/>
              </w:rPr>
              <w:t>Information Manager</w:t>
            </w:r>
          </w:p>
        </w:tc>
        <w:tc>
          <w:tcPr>
            <w:tcW w:type="dxa" w:w="3022"/>
          </w:tcPr>
          <w:p>
            <w:r>
              <w:rPr>
                <w:sz w:val="17"/>
              </w:rPr>
            </w:r>
            <w:r>
              <w:rPr>
                <w:sz w:val="17"/>
              </w:rPr>
              <w:t>Resolve by reissue as new Rnn; never backdate</w:t>
            </w:r>
          </w:p>
        </w:tc>
      </w:tr>
      <w:tr>
        <w:trPr>
          <w:cantSplit/>
        </w:trPr>
        <w:tc>
          <w:tcPr>
            <w:tcW w:type="dxa" w:w="3622"/>
          </w:tcPr>
          <w:p>
            <w:r>
              <w:rPr>
                <w:sz w:val="17"/>
              </w:rPr>
            </w:r>
            <w:r>
              <w:rPr>
                <w:sz w:val="17"/>
              </w:rPr>
              <w:t>Evidence set posted (health, clash, completeness)</w:t>
            </w:r>
          </w:p>
        </w:tc>
        <w:tc>
          <w:tcPr>
            <w:tcW w:type="dxa" w:w="2471"/>
          </w:tcPr>
          <w:p>
            <w:r>
              <w:rPr>
                <w:sz w:val="17"/>
              </w:rPr>
            </w:r>
            <w:r>
              <w:rPr>
                <w:sz w:val="17"/>
              </w:rPr>
              <w:t>Presence check in 04-REPORTS</w:t>
            </w:r>
          </w:p>
        </w:tc>
        <w:tc>
          <w:tcPr>
            <w:tcW w:type="dxa" w:w="1350"/>
          </w:tcPr>
          <w:p>
            <w:r>
              <w:rPr>
                <w:sz w:val="17"/>
              </w:rPr>
            </w:r>
            <w:r>
              <w:rPr>
                <w:sz w:val="17"/>
              </w:rPr>
              <w:t>BIM Coordinator</w:t>
            </w:r>
          </w:p>
        </w:tc>
        <w:tc>
          <w:tcPr>
            <w:tcW w:type="dxa" w:w="3022"/>
          </w:tcPr>
          <w:p>
            <w:r>
              <w:rPr>
                <w:sz w:val="17"/>
              </w:rPr>
            </w:r>
            <w:r>
              <w:rPr>
                <w:sz w:val="17"/>
              </w:rPr>
              <w:t>Regenerate within 48h window before issue</w:t>
            </w:r>
          </w:p>
        </w:tc>
      </w:tr>
      <w:tr>
        <w:trPr>
          <w:cantSplit/>
        </w:trPr>
        <w:tc>
          <w:tcPr>
            <w:tcW w:type="dxa" w:w="3622"/>
          </w:tcPr>
          <w:p>
            <w:r>
              <w:rPr>
                <w:sz w:val="17"/>
              </w:rPr>
            </w:r>
            <w:r>
              <w:rPr>
                <w:sz w:val="17"/>
              </w:rPr>
              <w:t>Transmittal present with recipients and file list</w:t>
            </w:r>
          </w:p>
        </w:tc>
        <w:tc>
          <w:tcPr>
            <w:tcW w:type="dxa" w:w="2471"/>
          </w:tcPr>
          <w:p>
            <w:r>
              <w:rPr>
                <w:sz w:val="17"/>
              </w:rPr>
            </w:r>
            <w:r>
              <w:rPr>
                <w:sz w:val="17"/>
              </w:rPr>
              <w:t>Transmittal parse for required fields</w:t>
            </w:r>
          </w:p>
        </w:tc>
        <w:tc>
          <w:tcPr>
            <w:tcW w:type="dxa" w:w="1350"/>
          </w:tcPr>
          <w:p>
            <w:r>
              <w:rPr>
                <w:sz w:val="17"/>
              </w:rPr>
            </w:r>
            <w:r>
              <w:rPr>
                <w:sz w:val="17"/>
              </w:rPr>
              <w:t>LAP</w:t>
            </w:r>
          </w:p>
        </w:tc>
        <w:tc>
          <w:tcPr>
            <w:tcW w:type="dxa" w:w="3022"/>
          </w:tcPr>
          <w:p>
            <w:r>
              <w:rPr>
                <w:sz w:val="17"/>
              </w:rPr>
            </w:r>
            <w:r>
              <w:rPr>
                <w:sz w:val="17"/>
              </w:rPr>
              <w:t>Update recipients or description; preserve date</w:t>
            </w:r>
          </w:p>
        </w:tc>
      </w:tr>
    </w:tbl>
    <w:p/>
    <w:p>
      <w:pPr>
        <w:pStyle w:val="Heading1"/>
      </w:pPr>
      <w:r>
        <w:t>8 WORKFLOWS &amp; PROCEDURES</w:t>
      </w:r>
    </w:p>
    <w:p>
      <w:pPr>
        <w:pStyle w:val="Heading2"/>
      </w:pPr>
      <w:r>
        <w:t>8.1 PROTOCOLS</w:t>
      </w:r>
    </w:p>
    <w:p>
      <w:pPr>
        <w:pStyle w:val="Heading3"/>
      </w:pPr>
      <w:r>
        <w:t>8.1.1 PROJECT INITIATION PROTOCOL</w:t>
      </w:r>
    </w:p>
    <w:p>
      <w:pPr/>
      <w:r>
        <w:t>Inputs</w:t>
      </w:r>
    </w:p>
    <w:p>
      <w:pPr/>
      <w:r>
        <w:t>EIR or brief, appointing party contacts</w:t>
      </w:r>
    </w:p>
    <w:p>
      <w:pPr/>
      <w:r>
        <w:t>Project codes and naming tokens (3.1)</w:t>
      </w:r>
    </w:p>
    <w:p>
      <w:pPr/>
      <w:r>
        <w:t>Initial folder tree baseline (12.1)</w:t>
      </w:r>
    </w:p>
    <w:p>
      <w:pPr/>
      <w:r>
        <w:t>Steps (T0 = project kickoff)</w:t>
      </w:r>
    </w:p>
    <w:p>
      <w:pPr/>
      <w:r>
        <w:t>T0−5 to T0−3: Setup and codes</w:t>
      </w:r>
    </w:p>
    <w:p>
      <w:pPr/>
      <w:r>
        <w:t>Information Manager confirms ORG-PROJ codes and naming tokens (3.1)</w:t>
      </w:r>
    </w:p>
    <w:p>
      <w:pPr/>
      <w:r>
        <w:t>Create CDE root skeleton per 12.1 with README placeholders</w:t>
      </w:r>
    </w:p>
    <w:p>
      <w:pPr/>
      <w:r>
        <w:t>T0−3 to T0−2: Coordinates and templates</w:t>
      </w:r>
    </w:p>
    <w:p>
      <w:pPr/>
      <w:r>
        <w:t>Establish Survey Point, Project Base Point, and True North from the project CRS (authority CRS by EPSG code, vertical datum, units, rotation, ≥3 control points, transform to local origin) recorded in BEP §8.2 / BBM-STD-86 (see 5)</w:t>
      </w:r>
    </w:p>
    <w:p>
      <w:pPr/>
      <w:r>
        <w:t>Create and pin Start View; set as default (4.9)</w:t>
      </w:r>
    </w:p>
    <w:p>
      <w:pPr/>
      <w:r>
        <w:t>Load approved templates: View Templates, Title Blocks, Legends (4.10–4.14)</w:t>
      </w:r>
    </w:p>
    <w:p>
      <w:pPr/>
      <w:r>
        <w:t>T0−2 to T0−1: Parameters and worksets</w:t>
      </w:r>
    </w:p>
    <w:p>
      <w:pPr/>
      <w:r>
        <w:t>Bind core parameters per 3.2 across seed models</w:t>
      </w:r>
    </w:p>
    <w:p>
      <w:pPr/>
      <w:r>
        <w:t>Create default worksets per discipline (3.3) and assign owners</w:t>
      </w:r>
    </w:p>
    <w:p>
      <w:pPr/>
      <w:r>
        <w:t>T0: Kickoff and publish "INIT PACK"</w:t>
      </w:r>
    </w:p>
    <w:p>
      <w:pPr/>
      <w:r>
        <w:t>Post kickoff agenda, BEP draft location, and contacts in SHARED/05-DOCUMENTS</w:t>
      </w:r>
    </w:p>
    <w:p>
      <w:pPr/>
      <w:r>
        <w:t>Run initial model audits (warnings, Workset1, links) and screenshot Start View</w:t>
      </w:r>
    </w:p>
    <w:p>
      <w:pPr/>
      <w:r>
        <w:t>T0+5: Validation checkpoint</w:t>
      </w:r>
    </w:p>
    <w:p>
      <w:pPr/>
      <w:r>
        <w:t>QA-QC Lead verifies naming, templates, parameters, and Start View compliance</w:t>
      </w:r>
    </w:p>
    <w:p>
      <w:pPr/>
      <w:r>
        <w:t>Record deltas and actions in 00-PROJECT-LOG and 01-STANDARD-UPDATES if needed</w:t>
      </w:r>
    </w:p>
    <w:p>
      <w:pPr/>
      <w:r>
        <w:t>Deliverables</w:t>
      </w:r>
    </w:p>
    <w:p>
      <w:pPr/>
      <w:r>
        <w:t>Seed models by discipline with Start View, templates, parameters, and worksets</w:t>
      </w:r>
    </w:p>
    <w:p>
      <w:pPr/>
      <w:r>
        <w:t>CDE skeleton per 12.1 with README exceptions placeholders</w:t>
      </w:r>
    </w:p>
    <w:p>
      <w:pPr/>
      <w:r>
        <w:t>INIT PACK notes and initial audits in SHARED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11"/>
        <w:gridCol w:w="2389"/>
        <w:gridCol w:w="1547"/>
        <w:gridCol w:w="3019"/>
      </w:tblGrid>
      <w:tr>
        <w:trPr>
          <w:cantSplit/>
          <w:tblHeader/>
        </w:trPr>
        <w:tc>
          <w:tcPr>
            <w:tcW w:type="dxa" w:w="3511"/>
            <w:shd w:val="clear" w:color="auto" w:fill="111113"/>
          </w:tcPr>
          <w:p>
            <w:r>
              <w:rPr>
                <w:b/>
                <w:color w:val="FFFFFF"/>
                <w:sz w:val="17"/>
              </w:rPr>
            </w:r>
            <w:r>
              <w:rPr>
                <w:b/>
                <w:color w:val="FFFFFF"/>
                <w:sz w:val="17"/>
              </w:rPr>
              <w:t>Acceptance criteria</w:t>
            </w:r>
          </w:p>
        </w:tc>
        <w:tc>
          <w:tcPr>
            <w:tcW w:type="dxa" w:w="2389"/>
            <w:shd w:val="clear" w:color="auto" w:fill="111113"/>
          </w:tcPr>
          <w:p>
            <w:r>
              <w:rPr>
                <w:b/>
                <w:color w:val="FFFFFF"/>
                <w:sz w:val="17"/>
              </w:rPr>
            </w:r>
            <w:r>
              <w:rPr>
                <w:b/>
                <w:color w:val="FFFFFF"/>
                <w:sz w:val="17"/>
              </w:rPr>
              <w:t>Quality checks</w:t>
            </w:r>
          </w:p>
        </w:tc>
        <w:tc>
          <w:tcPr>
            <w:tcW w:type="dxa" w:w="1547"/>
            <w:shd w:val="clear" w:color="auto" w:fill="111113"/>
          </w:tcPr>
          <w:p>
            <w:r>
              <w:rPr>
                <w:b/>
                <w:color w:val="FFFFFF"/>
                <w:sz w:val="17"/>
              </w:rPr>
            </w:r>
            <w:r>
              <w:rPr>
                <w:b/>
                <w:color w:val="FFFFFF"/>
                <w:sz w:val="17"/>
              </w:rPr>
              <w:t>Owner</w:t>
            </w:r>
          </w:p>
        </w:tc>
        <w:tc>
          <w:tcPr>
            <w:tcW w:type="dxa" w:w="3019"/>
            <w:shd w:val="clear" w:color="auto" w:fill="111113"/>
          </w:tcPr>
          <w:p>
            <w:r>
              <w:rPr>
                <w:b/>
                <w:color w:val="FFFFFF"/>
                <w:sz w:val="17"/>
              </w:rPr>
            </w:r>
            <w:r>
              <w:rPr>
                <w:b/>
                <w:color w:val="FFFFFF"/>
                <w:sz w:val="17"/>
              </w:rPr>
              <w:t>Edit criteria</w:t>
            </w:r>
          </w:p>
        </w:tc>
      </w:tr>
      <w:tr>
        <w:trPr>
          <w:cantSplit/>
        </w:trPr>
        <w:tc>
          <w:tcPr>
            <w:tcW w:type="dxa" w:w="3511"/>
          </w:tcPr>
          <w:p>
            <w:r>
              <w:rPr>
                <w:sz w:val="17"/>
              </w:rPr>
            </w:r>
            <w:r>
              <w:rPr>
                <w:sz w:val="17"/>
              </w:rPr>
              <w:t>Survey Point, Base Point, True North set and documented</w:t>
            </w:r>
          </w:p>
        </w:tc>
        <w:tc>
          <w:tcPr>
            <w:tcW w:type="dxa" w:w="2389"/>
          </w:tcPr>
          <w:p>
            <w:r>
              <w:rPr>
                <w:sz w:val="17"/>
              </w:rPr>
            </w:r>
            <w:r>
              <w:rPr>
                <w:sz w:val="17"/>
              </w:rPr>
              <w:t>Start View audit panel screenshot</w:t>
            </w:r>
          </w:p>
        </w:tc>
        <w:tc>
          <w:tcPr>
            <w:tcW w:type="dxa" w:w="1547"/>
          </w:tcPr>
          <w:p>
            <w:r>
              <w:rPr>
                <w:sz w:val="17"/>
              </w:rPr>
            </w:r>
            <w:r>
              <w:rPr>
                <w:sz w:val="17"/>
              </w:rPr>
              <w:t>BIM Coordinator</w:t>
            </w:r>
          </w:p>
        </w:tc>
        <w:tc>
          <w:tcPr>
            <w:tcW w:type="dxa" w:w="3019"/>
          </w:tcPr>
          <w:p>
            <w:r>
              <w:rPr>
                <w:sz w:val="17"/>
              </w:rPr>
            </w:r>
            <w:r>
              <w:rPr>
                <w:sz w:val="17"/>
              </w:rPr>
              <w:t>Adjust via template; capture evidence in SHARED</w:t>
            </w:r>
          </w:p>
        </w:tc>
      </w:tr>
      <w:tr>
        <w:trPr>
          <w:cantSplit/>
        </w:trPr>
        <w:tc>
          <w:tcPr>
            <w:tcW w:type="dxa" w:w="3511"/>
          </w:tcPr>
          <w:p>
            <w:r>
              <w:rPr>
                <w:sz w:val="17"/>
              </w:rPr>
            </w:r>
            <w:r>
              <w:rPr>
                <w:sz w:val="17"/>
              </w:rPr>
              <w:t>Core parameters bound per 3.2</w:t>
            </w:r>
          </w:p>
        </w:tc>
        <w:tc>
          <w:tcPr>
            <w:tcW w:type="dxa" w:w="2389"/>
          </w:tcPr>
          <w:p>
            <w:r>
              <w:rPr>
                <w:sz w:val="17"/>
              </w:rPr>
            </w:r>
            <w:r>
              <w:rPr>
                <w:sz w:val="17"/>
              </w:rPr>
              <w:t>Parameter binding report</w:t>
            </w:r>
          </w:p>
        </w:tc>
        <w:tc>
          <w:tcPr>
            <w:tcW w:type="dxa" w:w="1547"/>
          </w:tcPr>
          <w:p>
            <w:r>
              <w:rPr>
                <w:sz w:val="17"/>
              </w:rPr>
            </w:r>
            <w:r>
              <w:rPr>
                <w:sz w:val="17"/>
              </w:rPr>
              <w:t>Information Manager</w:t>
            </w:r>
          </w:p>
        </w:tc>
        <w:tc>
          <w:tcPr>
            <w:tcW w:type="dxa" w:w="3019"/>
          </w:tcPr>
          <w:p>
            <w:r>
              <w:rPr>
                <w:sz w:val="17"/>
              </w:rPr>
            </w:r>
            <w:r>
              <w:rPr>
                <w:sz w:val="17"/>
              </w:rPr>
              <w:t>Update shared parameter file; log changes</w:t>
            </w:r>
          </w:p>
        </w:tc>
      </w:tr>
      <w:tr>
        <w:trPr>
          <w:cantSplit/>
        </w:trPr>
        <w:tc>
          <w:tcPr>
            <w:tcW w:type="dxa" w:w="3511"/>
          </w:tcPr>
          <w:p>
            <w:r>
              <w:rPr>
                <w:sz w:val="17"/>
              </w:rPr>
            </w:r>
            <w:r>
              <w:rPr>
                <w:sz w:val="17"/>
              </w:rPr>
              <w:t>Default worksets exist and have owners</w:t>
            </w:r>
          </w:p>
        </w:tc>
        <w:tc>
          <w:tcPr>
            <w:tcW w:type="dxa" w:w="2389"/>
          </w:tcPr>
          <w:p>
            <w:r>
              <w:rPr>
                <w:sz w:val="17"/>
              </w:rPr>
            </w:r>
            <w:r>
              <w:rPr>
                <w:sz w:val="17"/>
              </w:rPr>
              <w:t>Workset list and ownership check</w:t>
            </w:r>
          </w:p>
        </w:tc>
        <w:tc>
          <w:tcPr>
            <w:tcW w:type="dxa" w:w="1547"/>
          </w:tcPr>
          <w:p>
            <w:r>
              <w:rPr>
                <w:sz w:val="17"/>
              </w:rPr>
            </w:r>
            <w:r>
              <w:rPr>
                <w:sz w:val="17"/>
              </w:rPr>
              <w:t>Discipline Lead</w:t>
            </w:r>
          </w:p>
        </w:tc>
        <w:tc>
          <w:tcPr>
            <w:tcW w:type="dxa" w:w="3019"/>
          </w:tcPr>
          <w:p>
            <w:r>
              <w:rPr>
                <w:sz w:val="17"/>
              </w:rPr>
            </w:r>
            <w:r>
              <w:rPr>
                <w:sz w:val="17"/>
              </w:rPr>
              <w:t>Align to 3.3; remove redundant worksets</w:t>
            </w:r>
          </w:p>
        </w:tc>
      </w:tr>
      <w:tr>
        <w:trPr>
          <w:cantSplit/>
        </w:trPr>
        <w:tc>
          <w:tcPr>
            <w:tcW w:type="dxa" w:w="3511"/>
          </w:tcPr>
          <w:p>
            <w:r>
              <w:rPr>
                <w:sz w:val="17"/>
              </w:rPr>
            </w:r>
            <w:r>
              <w:rPr>
                <w:sz w:val="17"/>
              </w:rPr>
              <w:t>Templates and legends loaded from approved set</w:t>
            </w:r>
          </w:p>
        </w:tc>
        <w:tc>
          <w:tcPr>
            <w:tcW w:type="dxa" w:w="2389"/>
          </w:tcPr>
          <w:p>
            <w:r>
              <w:rPr>
                <w:sz w:val="17"/>
              </w:rPr>
            </w:r>
            <w:r>
              <w:rPr>
                <w:sz w:val="17"/>
              </w:rPr>
              <w:t>Template name lint vs 4.12 list</w:t>
            </w:r>
          </w:p>
        </w:tc>
        <w:tc>
          <w:tcPr>
            <w:tcW w:type="dxa" w:w="1547"/>
          </w:tcPr>
          <w:p>
            <w:r>
              <w:rPr>
                <w:sz w:val="17"/>
              </w:rPr>
            </w:r>
            <w:r>
              <w:rPr>
                <w:sz w:val="17"/>
              </w:rPr>
              <w:t>QA-QC Lead</w:t>
            </w:r>
          </w:p>
        </w:tc>
        <w:tc>
          <w:tcPr>
            <w:tcW w:type="dxa" w:w="3019"/>
          </w:tcPr>
          <w:p>
            <w:r>
              <w:rPr>
                <w:sz w:val="17"/>
              </w:rPr>
            </w:r>
            <w:r>
              <w:rPr>
                <w:sz w:val="17"/>
              </w:rPr>
              <w:t>Replace variants; keep canonical names</w:t>
            </w:r>
          </w:p>
        </w:tc>
      </w:tr>
    </w:tbl>
    <w:p/>
    <w:p>
      <w:pPr>
        <w:pStyle w:val="Heading3"/>
      </w:pPr>
      <w:r>
        <w:t>8.1.2 COMMUNICATION PROTOCOL</w:t>
      </w:r>
    </w:p>
    <w:p>
      <w:pPr/>
      <w:r>
        <w:t>Purpose</w:t>
      </w:r>
    </w:p>
    <w:p>
      <w:pPr/>
      <w:r>
        <w:t>Define who communicates what, where, and by when to keep decisions traceable and aligned with gates (2.1) and CDE structure (12.1).</w:t>
      </w:r>
    </w:p>
    <w:p>
      <w:pPr/>
      <w:r>
        <w:t>Channels and purpose</w:t>
      </w:r>
    </w:p>
    <w:p>
      <w:pPr/>
      <w:r>
        <w:t>CDE (authoritative): Decisions, issues, transmittals, evidence packs</w:t>
      </w:r>
    </w:p>
    <w:p>
      <w:pPr/>
      <w:r>
        <w:t>Email: External notices and formal approvals, linked back to CDE RECORD</w:t>
      </w:r>
    </w:p>
    <w:p>
      <w:pPr/>
      <w:r>
        <w:t>Coordination platform: Issue tracking and clash items, linked to CDE paths</w:t>
      </w:r>
    </w:p>
    <w:p>
      <w:pPr/>
      <w:r>
        <w:t>Meetings: Decisions and action items posted to 00-PROJECT-LOG within 24h</w:t>
      </w:r>
    </w:p>
    <w:p>
      <w:pPr/>
      <w:r>
        <w:t>Message taxonomy</w:t>
      </w:r>
    </w:p>
    <w:p>
      <w:pPr/>
      <w:r>
        <w:t>Decision: Single-sentence decision + rationale + link to evidence</w:t>
      </w:r>
    </w:p>
    <w:p>
      <w:pPr/>
      <w:r>
        <w:t>Action: Verb-first task with owner, due date, and acceptance criteria</w:t>
      </w:r>
    </w:p>
    <w:p>
      <w:pPr/>
      <w:r>
        <w:t>Info: Reference only; include CDE path and version or date stamp</w:t>
      </w:r>
    </w:p>
    <w:p>
      <w:pPr/>
      <w:r>
        <w:t>SLAs (working hours, local time)</w:t>
      </w:r>
    </w:p>
    <w:p>
      <w:pPr/>
      <w:r>
        <w:t>Routine queries: respond within 1 business day</w:t>
      </w:r>
    </w:p>
    <w:p>
      <w:pPr/>
      <w:r>
        <w:t>Gate-critical questions (T−3 to T): respond within 4 working hours</w:t>
      </w:r>
    </w:p>
    <w:p>
      <w:pPr/>
      <w:r>
        <w:t>RFI or authority requests: acknowledge same day, target response within 3 business days unless specified</w:t>
      </w:r>
    </w:p>
    <w:p>
      <w:pPr/>
      <w:r>
        <w:t>Records and traceability</w:t>
      </w:r>
    </w:p>
    <w:p>
      <w:pPr/>
      <w:r>
        <w:t>All decisions and transmittals filed under 02-SHARED/07-RECORD with date-prefixed filenames</w:t>
      </w:r>
    </w:p>
    <w:p>
      <w:pPr/>
      <w:r>
        <w:t>Meeting minutes saved to 02-REG/05-MOMS for formal forums; action items mirrored to 00-PROJECT-LOG</w:t>
      </w:r>
    </w:p>
    <w:p>
      <w:pPr/>
      <w:r>
        <w:t>Use ISO 8601 dates and Rnn references when tied to issue packs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43"/>
        <w:gridCol w:w="2478"/>
        <w:gridCol w:w="1453"/>
        <w:gridCol w:w="2993"/>
      </w:tblGrid>
      <w:tr>
        <w:trPr>
          <w:cantSplit/>
          <w:tblHeader/>
        </w:trPr>
        <w:tc>
          <w:tcPr>
            <w:tcW w:type="dxa" w:w="3543"/>
            <w:shd w:val="clear" w:color="auto" w:fill="111113"/>
          </w:tcPr>
          <w:p>
            <w:r>
              <w:rPr>
                <w:b/>
                <w:color w:val="FFFFFF"/>
                <w:sz w:val="17"/>
              </w:rPr>
            </w:r>
            <w:r>
              <w:rPr>
                <w:b/>
                <w:color w:val="FFFFFF"/>
                <w:sz w:val="17"/>
              </w:rPr>
              <w:t>Acceptance criteria</w:t>
            </w:r>
          </w:p>
        </w:tc>
        <w:tc>
          <w:tcPr>
            <w:tcW w:type="dxa" w:w="2478"/>
            <w:shd w:val="clear" w:color="auto" w:fill="111113"/>
          </w:tcPr>
          <w:p>
            <w:r>
              <w:rPr>
                <w:b/>
                <w:color w:val="FFFFFF"/>
                <w:sz w:val="17"/>
              </w:rPr>
            </w:r>
            <w:r>
              <w:rPr>
                <w:b/>
                <w:color w:val="FFFFFF"/>
                <w:sz w:val="17"/>
              </w:rPr>
              <w:t>Quality checks</w:t>
            </w:r>
          </w:p>
        </w:tc>
        <w:tc>
          <w:tcPr>
            <w:tcW w:type="dxa" w:w="1453"/>
            <w:shd w:val="clear" w:color="auto" w:fill="111113"/>
          </w:tcPr>
          <w:p>
            <w:r>
              <w:rPr>
                <w:b/>
                <w:color w:val="FFFFFF"/>
                <w:sz w:val="17"/>
              </w:rPr>
            </w:r>
            <w:r>
              <w:rPr>
                <w:b/>
                <w:color w:val="FFFFFF"/>
                <w:sz w:val="17"/>
              </w:rPr>
              <w:t>Owner</w:t>
            </w:r>
          </w:p>
        </w:tc>
        <w:tc>
          <w:tcPr>
            <w:tcW w:type="dxa" w:w="2993"/>
            <w:shd w:val="clear" w:color="auto" w:fill="111113"/>
          </w:tcPr>
          <w:p>
            <w:r>
              <w:rPr>
                <w:b/>
                <w:color w:val="FFFFFF"/>
                <w:sz w:val="17"/>
              </w:rPr>
            </w:r>
            <w:r>
              <w:rPr>
                <w:b/>
                <w:color w:val="FFFFFF"/>
                <w:sz w:val="17"/>
              </w:rPr>
              <w:t>Edit criteria</w:t>
            </w:r>
          </w:p>
        </w:tc>
      </w:tr>
      <w:tr>
        <w:trPr>
          <w:cantSplit/>
        </w:trPr>
        <w:tc>
          <w:tcPr>
            <w:tcW w:type="dxa" w:w="3543"/>
          </w:tcPr>
          <w:p>
            <w:r>
              <w:rPr>
                <w:sz w:val="17"/>
              </w:rPr>
            </w:r>
            <w:r>
              <w:rPr>
                <w:sz w:val="17"/>
              </w:rPr>
              <w:t>Decisions include rationale and CDE link</w:t>
            </w:r>
          </w:p>
        </w:tc>
        <w:tc>
          <w:tcPr>
            <w:tcW w:type="dxa" w:w="2478"/>
          </w:tcPr>
          <w:p>
            <w:r>
              <w:rPr>
                <w:sz w:val="17"/>
              </w:rPr>
            </w:r>
            <w:r>
              <w:rPr>
                <w:sz w:val="17"/>
              </w:rPr>
              <w:t>Random sample of weekly decisions</w:t>
            </w:r>
          </w:p>
        </w:tc>
        <w:tc>
          <w:tcPr>
            <w:tcW w:type="dxa" w:w="1453"/>
          </w:tcPr>
          <w:p>
            <w:r>
              <w:rPr>
                <w:sz w:val="17"/>
              </w:rPr>
            </w:r>
            <w:r>
              <w:rPr>
                <w:sz w:val="17"/>
              </w:rPr>
              <w:t>Information Manager</w:t>
            </w:r>
          </w:p>
        </w:tc>
        <w:tc>
          <w:tcPr>
            <w:tcW w:type="dxa" w:w="2993"/>
          </w:tcPr>
          <w:p>
            <w:r>
              <w:rPr>
                <w:sz w:val="17"/>
              </w:rPr>
            </w:r>
            <w:r>
              <w:rPr>
                <w:sz w:val="17"/>
              </w:rPr>
              <w:t>Update format template if recurring gaps</w:t>
            </w:r>
          </w:p>
        </w:tc>
      </w:tr>
      <w:tr>
        <w:trPr>
          <w:cantSplit/>
        </w:trPr>
        <w:tc>
          <w:tcPr>
            <w:tcW w:type="dxa" w:w="3543"/>
          </w:tcPr>
          <w:p>
            <w:r>
              <w:rPr>
                <w:sz w:val="17"/>
              </w:rPr>
            </w:r>
            <w:r>
              <w:rPr>
                <w:sz w:val="17"/>
              </w:rPr>
              <w:t>Action items have owner and due date</w:t>
            </w:r>
          </w:p>
        </w:tc>
        <w:tc>
          <w:tcPr>
            <w:tcW w:type="dxa" w:w="2478"/>
          </w:tcPr>
          <w:p>
            <w:r>
              <w:rPr>
                <w:sz w:val="17"/>
              </w:rPr>
            </w:r>
            <w:r>
              <w:rPr>
                <w:sz w:val="17"/>
              </w:rPr>
              <w:t>Action list audit in 00-PROJECT-LOG</w:t>
            </w:r>
          </w:p>
        </w:tc>
        <w:tc>
          <w:tcPr>
            <w:tcW w:type="dxa" w:w="1453"/>
          </w:tcPr>
          <w:p>
            <w:r>
              <w:rPr>
                <w:sz w:val="17"/>
              </w:rPr>
            </w:r>
            <w:r>
              <w:rPr>
                <w:sz w:val="17"/>
              </w:rPr>
              <w:t>Discipline Leads</w:t>
            </w:r>
          </w:p>
        </w:tc>
        <w:tc>
          <w:tcPr>
            <w:tcW w:type="dxa" w:w="2993"/>
          </w:tcPr>
          <w:p>
            <w:r>
              <w:rPr>
                <w:sz w:val="17"/>
              </w:rPr>
            </w:r>
            <w:r>
              <w:rPr>
                <w:sz w:val="17"/>
              </w:rPr>
              <w:t>Assign before meeting close; track slippage</w:t>
            </w:r>
          </w:p>
        </w:tc>
      </w:tr>
      <w:tr>
        <w:trPr>
          <w:cantSplit/>
        </w:trPr>
        <w:tc>
          <w:tcPr>
            <w:tcW w:type="dxa" w:w="3543"/>
          </w:tcPr>
          <w:p>
            <w:r>
              <w:rPr>
                <w:sz w:val="17"/>
              </w:rPr>
            </w:r>
            <w:r>
              <w:rPr>
                <w:sz w:val="17"/>
              </w:rPr>
              <w:t>Gate-critical questions met 4-hour SLA during T−3..T</w:t>
            </w:r>
          </w:p>
        </w:tc>
        <w:tc>
          <w:tcPr>
            <w:tcW w:type="dxa" w:w="2478"/>
          </w:tcPr>
          <w:p>
            <w:r>
              <w:rPr>
                <w:sz w:val="17"/>
              </w:rPr>
            </w:r>
            <w:r>
              <w:rPr>
                <w:sz w:val="17"/>
              </w:rPr>
              <w:t>Response time report around gates</w:t>
            </w:r>
          </w:p>
        </w:tc>
        <w:tc>
          <w:tcPr>
            <w:tcW w:type="dxa" w:w="1453"/>
          </w:tcPr>
          <w:p>
            <w:r>
              <w:rPr>
                <w:sz w:val="17"/>
              </w:rPr>
            </w:r>
            <w:r>
              <w:rPr>
                <w:sz w:val="17"/>
              </w:rPr>
              <w:t>BIM Coordinator</w:t>
            </w:r>
          </w:p>
        </w:tc>
        <w:tc>
          <w:tcPr>
            <w:tcW w:type="dxa" w:w="2993"/>
          </w:tcPr>
          <w:p>
            <w:r>
              <w:rPr>
                <w:sz w:val="17"/>
              </w:rPr>
            </w:r>
            <w:r>
              <w:rPr>
                <w:sz w:val="17"/>
              </w:rPr>
              <w:t>Escalate to LAP if SLA breached</w:t>
            </w:r>
          </w:p>
        </w:tc>
      </w:tr>
      <w:tr>
        <w:trPr>
          <w:cantSplit/>
        </w:trPr>
        <w:tc>
          <w:tcPr>
            <w:tcW w:type="dxa" w:w="3543"/>
          </w:tcPr>
          <w:p>
            <w:r>
              <w:rPr>
                <w:sz w:val="17"/>
              </w:rPr>
            </w:r>
            <w:r>
              <w:rPr>
                <w:sz w:val="17"/>
              </w:rPr>
              <w:t>Minutes posted to CDE within 24h</w:t>
            </w:r>
          </w:p>
        </w:tc>
        <w:tc>
          <w:tcPr>
            <w:tcW w:type="dxa" w:w="2478"/>
          </w:tcPr>
          <w:p>
            <w:r>
              <w:rPr>
                <w:sz w:val="17"/>
              </w:rPr>
            </w:r>
            <w:r>
              <w:rPr>
                <w:sz w:val="17"/>
              </w:rPr>
              <w:t>MOMs timestamp check</w:t>
            </w:r>
          </w:p>
        </w:tc>
        <w:tc>
          <w:tcPr>
            <w:tcW w:type="dxa" w:w="1453"/>
          </w:tcPr>
          <w:p>
            <w:r>
              <w:rPr>
                <w:sz w:val="17"/>
              </w:rPr>
            </w:r>
            <w:r>
              <w:rPr>
                <w:sz w:val="17"/>
              </w:rPr>
              <w:t>Meeting chair</w:t>
            </w:r>
          </w:p>
        </w:tc>
        <w:tc>
          <w:tcPr>
            <w:tcW w:type="dxa" w:w="2993"/>
          </w:tcPr>
          <w:p>
            <w:r>
              <w:rPr>
                <w:sz w:val="17"/>
              </w:rPr>
            </w:r>
            <w:r>
              <w:rPr>
                <w:sz w:val="17"/>
              </w:rPr>
              <w:t>Post draft within 12h; finalize by 24h</w:t>
            </w:r>
          </w:p>
        </w:tc>
      </w:tr>
    </w:tbl>
    <w:p/>
    <w:p>
      <w:pPr>
        <w:pStyle w:val="Heading3"/>
      </w:pPr>
      <w:r>
        <w:t>8.1.3 IMPORTING PROTOCOL</w:t>
      </w:r>
    </w:p>
    <w:p>
      <w:pPr/>
      <w:r>
        <w:t>Purpose</w:t>
      </w:r>
    </w:p>
    <w:p>
      <w:pPr/>
      <w:r>
        <w:t>Bring external references into models safely without polluting production worksets or violating graphics and naming standards.</w:t>
      </w:r>
    </w:p>
    <w:p>
      <w:pPr/>
      <w:r>
        <w:t>Supported inputs and defaults</w:t>
      </w:r>
    </w:p>
    <w:p>
      <w:pPr/>
      <w:r>
        <w:t>DWG: Units = mm. Colors = ByLayer. Import as link where possible</w:t>
      </w:r>
    </w:p>
    <w:p>
      <w:pPr/>
      <w:r>
        <w:t>Images/PDFs: For tracing or markups in working views only</w:t>
      </w:r>
    </w:p>
    <w:p>
      <w:pPr/>
      <w:r>
        <w:t>Point clouds: received as E57 (version recorded) with registration/accuracy report; indexed to RCP/RCS for Revit; link only, shared coordinates validated (BBM-STD-77)</w:t>
      </w:r>
    </w:p>
    <w:p>
      <w:pPr/>
      <w:r>
        <w:t>Steps</w:t>
      </w:r>
    </w:p>
    <w:p>
      <w:pPr/>
      <w:r>
        <w:t>Pre-flight in CDE</w:t>
      </w:r>
    </w:p>
    <w:p>
      <w:pPr/>
      <w:r>
        <w:t>Verify source file name complies with 12.3 naming. Store under 02-SHARED/07-RECORD/01-IN</w:t>
      </w:r>
    </w:p>
    <w:p>
      <w:pPr/>
      <w:r>
        <w:t>Confirm coordinate basis and units with sender or metadata</w:t>
      </w:r>
    </w:p>
    <w:p>
      <w:pPr/>
      <w:r>
        <w:t>Staging model and workset</w:t>
      </w:r>
    </w:p>
    <w:p>
      <w:pPr/>
      <w:r>
        <w:t>Open staging or working file. Set active workset = Imports (3.3)</w:t>
      </w:r>
    </w:p>
    <w:p>
      <w:pPr/>
      <w:r>
        <w:t>For DWG: Link instead of import when feasible. If a scoped import is required, retain the original and review layers/units in staging; do not automatically explode. Exploding requires a documented need and before/after check, and is forbidden in the production model</w:t>
      </w:r>
    </w:p>
    <w:p>
      <w:pPr/>
      <w:r>
        <w:t>Clean and map (DWG)</w:t>
      </w:r>
    </w:p>
    <w:p>
      <w:pPr/>
      <w:r>
        <w:t>Review regapps, xrefs and unused layers in a controlled staging copy. Preserve required reference geometry/provenance and compare the cleaned result before admission</w:t>
      </w:r>
    </w:p>
    <w:p>
      <w:pPr/>
      <w:r>
        <w:t>Apply ByLayer mapping per 5 CAD Standards. Lineweights align to 4.1/4.2</w:t>
      </w:r>
    </w:p>
    <w:p>
      <w:pPr/>
      <w:r>
        <w:t>Place and pin</w:t>
      </w:r>
    </w:p>
    <w:p>
      <w:pPr/>
      <w:r>
        <w:t>Place links on Links or Imports worksets as applicable. Pin all links</w:t>
      </w:r>
    </w:p>
    <w:p>
      <w:pPr/>
      <w:r>
        <w:t>For point clouds, align via shared coordinates. Document shift if any</w:t>
      </w:r>
    </w:p>
    <w:p>
      <w:pPr/>
      <w:r>
        <w:t>Visibility control</w:t>
      </w:r>
    </w:p>
    <w:p>
      <w:pPr/>
      <w:r>
        <w:t>Use View Templates to control Imported Categories. No ByElement overrides</w:t>
      </w:r>
    </w:p>
    <w:p>
      <w:pPr/>
      <w:r>
        <w:t>Handover to production</w:t>
      </w:r>
    </w:p>
    <w:p>
      <w:pPr/>
      <w:r>
        <w:t>Copy necessary reference geometry only via controlled methods. No exploded DWGs in production categories</w:t>
      </w:r>
    </w:p>
    <w:p>
      <w:pPr/>
      <w:r>
        <w:t>Before issue</w:t>
      </w:r>
    </w:p>
    <w:p>
      <w:pPr/>
      <w:r>
        <w:t>Unload or purge Imports workset. Confirm 0 imported elements in production worksets</w:t>
      </w:r>
    </w:p>
    <w:p>
      <w:pPr/>
      <w:r>
        <w:t>Forbidden</w:t>
      </w:r>
    </w:p>
    <w:p>
      <w:pPr/>
      <w:r>
        <w:t>Exploded DWG in production models</w:t>
      </w:r>
    </w:p>
    <w:p>
      <w:pPr/>
      <w:r>
        <w:t>ByElement color or lineweight overrides for imported content</w:t>
      </w:r>
    </w:p>
    <w:p>
      <w:pPr/>
      <w:r>
        <w:t>Unpinned external links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56"/>
        <w:gridCol w:w="3156"/>
        <w:gridCol w:w="1566"/>
        <w:gridCol w:w="2787"/>
      </w:tblGrid>
      <w:tr>
        <w:trPr>
          <w:cantSplit/>
          <w:tblHeader/>
        </w:trPr>
        <w:tc>
          <w:tcPr>
            <w:tcW w:type="dxa" w:w="2956"/>
            <w:shd w:val="clear" w:color="auto" w:fill="111113"/>
          </w:tcPr>
          <w:p>
            <w:r>
              <w:rPr>
                <w:b/>
                <w:color w:val="FFFFFF"/>
                <w:sz w:val="17"/>
              </w:rPr>
            </w:r>
            <w:r>
              <w:rPr>
                <w:b/>
                <w:color w:val="FFFFFF"/>
                <w:sz w:val="17"/>
              </w:rPr>
              <w:t>Acceptance criteria</w:t>
            </w:r>
          </w:p>
        </w:tc>
        <w:tc>
          <w:tcPr>
            <w:tcW w:type="dxa" w:w="3156"/>
            <w:shd w:val="clear" w:color="auto" w:fill="111113"/>
          </w:tcPr>
          <w:p>
            <w:r>
              <w:rPr>
                <w:b/>
                <w:color w:val="FFFFFF"/>
                <w:sz w:val="17"/>
              </w:rPr>
            </w:r>
            <w:r>
              <w:rPr>
                <w:b/>
                <w:color w:val="FFFFFF"/>
                <w:sz w:val="17"/>
              </w:rPr>
              <w:t>Quality checks</w:t>
            </w:r>
          </w:p>
        </w:tc>
        <w:tc>
          <w:tcPr>
            <w:tcW w:type="dxa" w:w="1566"/>
            <w:shd w:val="clear" w:color="auto" w:fill="111113"/>
          </w:tcPr>
          <w:p>
            <w:r>
              <w:rPr>
                <w:b/>
                <w:color w:val="FFFFFF"/>
                <w:sz w:val="17"/>
              </w:rPr>
            </w:r>
            <w:r>
              <w:rPr>
                <w:b/>
                <w:color w:val="FFFFFF"/>
                <w:sz w:val="17"/>
              </w:rPr>
              <w:t>Owner</w:t>
            </w:r>
          </w:p>
        </w:tc>
        <w:tc>
          <w:tcPr>
            <w:tcW w:type="dxa" w:w="2787"/>
            <w:shd w:val="clear" w:color="auto" w:fill="111113"/>
          </w:tcPr>
          <w:p>
            <w:r>
              <w:rPr>
                <w:b/>
                <w:color w:val="FFFFFF"/>
                <w:sz w:val="17"/>
              </w:rPr>
            </w:r>
            <w:r>
              <w:rPr>
                <w:b/>
                <w:color w:val="FFFFFF"/>
                <w:sz w:val="17"/>
              </w:rPr>
              <w:t>Edit criteria</w:t>
            </w:r>
          </w:p>
        </w:tc>
      </w:tr>
      <w:tr>
        <w:trPr>
          <w:cantSplit/>
        </w:trPr>
        <w:tc>
          <w:tcPr>
            <w:tcW w:type="dxa" w:w="2956"/>
          </w:tcPr>
          <w:p>
            <w:r>
              <w:rPr>
                <w:sz w:val="17"/>
              </w:rPr>
            </w:r>
            <w:r>
              <w:rPr>
                <w:sz w:val="17"/>
              </w:rPr>
              <w:t>All imports live on Imports or Links worksets</w:t>
            </w:r>
          </w:p>
        </w:tc>
        <w:tc>
          <w:tcPr>
            <w:tcW w:type="dxa" w:w="3156"/>
          </w:tcPr>
          <w:p>
            <w:r>
              <w:rPr>
                <w:sz w:val="17"/>
              </w:rPr>
            </w:r>
            <w:r>
              <w:rPr>
                <w:sz w:val="17"/>
              </w:rPr>
              <w:t>Workset + category scan</w:t>
            </w:r>
          </w:p>
        </w:tc>
        <w:tc>
          <w:tcPr>
            <w:tcW w:type="dxa" w:w="1566"/>
          </w:tcPr>
          <w:p>
            <w:r>
              <w:rPr>
                <w:sz w:val="17"/>
              </w:rPr>
            </w:r>
            <w:r>
              <w:rPr>
                <w:sz w:val="17"/>
              </w:rPr>
              <w:t>Discipline Lead</w:t>
            </w:r>
          </w:p>
        </w:tc>
        <w:tc>
          <w:tcPr>
            <w:tcW w:type="dxa" w:w="2787"/>
          </w:tcPr>
          <w:p>
            <w:r>
              <w:rPr>
                <w:sz w:val="17"/>
              </w:rPr>
            </w:r>
            <w:r>
              <w:rPr>
                <w:sz w:val="17"/>
              </w:rPr>
              <w:t>Move or purge; re-link if needed</w:t>
            </w:r>
          </w:p>
        </w:tc>
      </w:tr>
      <w:tr>
        <w:trPr>
          <w:cantSplit/>
        </w:trPr>
        <w:tc>
          <w:tcPr>
            <w:tcW w:type="dxa" w:w="2956"/>
          </w:tcPr>
          <w:p>
            <w:r>
              <w:rPr>
                <w:sz w:val="17"/>
              </w:rPr>
            </w:r>
            <w:r>
              <w:rPr>
                <w:sz w:val="17"/>
              </w:rPr>
              <w:t>No exploded DWGs in production categories</w:t>
            </w:r>
          </w:p>
        </w:tc>
        <w:tc>
          <w:tcPr>
            <w:tcW w:type="dxa" w:w="3156"/>
          </w:tcPr>
          <w:p>
            <w:r>
              <w:rPr>
                <w:sz w:val="17"/>
              </w:rPr>
            </w:r>
            <w:r>
              <w:rPr>
                <w:sz w:val="17"/>
              </w:rPr>
              <w:t>Imported Categories and element category scan</w:t>
            </w:r>
          </w:p>
        </w:tc>
        <w:tc>
          <w:tcPr>
            <w:tcW w:type="dxa" w:w="1566"/>
          </w:tcPr>
          <w:p>
            <w:r>
              <w:rPr>
                <w:sz w:val="17"/>
              </w:rPr>
            </w:r>
            <w:r>
              <w:rPr>
                <w:sz w:val="17"/>
              </w:rPr>
              <w:t>QA-QC Lead</w:t>
            </w:r>
          </w:p>
        </w:tc>
        <w:tc>
          <w:tcPr>
            <w:tcW w:type="dxa" w:w="2787"/>
          </w:tcPr>
          <w:p>
            <w:r>
              <w:rPr>
                <w:sz w:val="17"/>
              </w:rPr>
            </w:r>
            <w:r>
              <w:rPr>
                <w:sz w:val="17"/>
              </w:rPr>
              <w:t>Remove and replace via mapped content</w:t>
            </w:r>
          </w:p>
        </w:tc>
      </w:tr>
      <w:tr>
        <w:trPr>
          <w:cantSplit/>
        </w:trPr>
        <w:tc>
          <w:tcPr>
            <w:tcW w:type="dxa" w:w="2956"/>
          </w:tcPr>
          <w:p>
            <w:r>
              <w:rPr>
                <w:sz w:val="17"/>
              </w:rPr>
            </w:r>
            <w:r>
              <w:rPr>
                <w:sz w:val="17"/>
              </w:rPr>
              <w:t>DWG mapping matches approved table</w:t>
            </w:r>
          </w:p>
        </w:tc>
        <w:tc>
          <w:tcPr>
            <w:tcW w:type="dxa" w:w="3156"/>
          </w:tcPr>
          <w:p>
            <w:r>
              <w:rPr>
                <w:sz w:val="17"/>
              </w:rPr>
            </w:r>
            <w:r>
              <w:rPr>
                <w:sz w:val="17"/>
              </w:rPr>
              <w:t>Export/​import map verification</w:t>
            </w:r>
          </w:p>
        </w:tc>
        <w:tc>
          <w:tcPr>
            <w:tcW w:type="dxa" w:w="1566"/>
          </w:tcPr>
          <w:p>
            <w:r>
              <w:rPr>
                <w:sz w:val="17"/>
              </w:rPr>
            </w:r>
            <w:r>
              <w:rPr>
                <w:sz w:val="17"/>
              </w:rPr>
              <w:t>Information Manager</w:t>
            </w:r>
          </w:p>
        </w:tc>
        <w:tc>
          <w:tcPr>
            <w:tcW w:type="dxa" w:w="2787"/>
          </w:tcPr>
          <w:p>
            <w:r>
              <w:rPr>
                <w:sz w:val="17"/>
              </w:rPr>
            </w:r>
            <w:r>
              <w:rPr>
                <w:sz w:val="17"/>
              </w:rPr>
              <w:t>Update 5 CAD mapping; log change</w:t>
            </w:r>
          </w:p>
        </w:tc>
      </w:tr>
      <w:tr>
        <w:trPr>
          <w:cantSplit/>
        </w:trPr>
        <w:tc>
          <w:tcPr>
            <w:tcW w:type="dxa" w:w="2956"/>
          </w:tcPr>
          <w:p>
            <w:r>
              <w:rPr>
                <w:sz w:val="17"/>
              </w:rPr>
            </w:r>
            <w:r>
              <w:rPr>
                <w:sz w:val="17"/>
              </w:rPr>
              <w:t>Point clouds aligned to shared coordinates</w:t>
            </w:r>
          </w:p>
        </w:tc>
        <w:tc>
          <w:tcPr>
            <w:tcW w:type="dxa" w:w="3156"/>
          </w:tcPr>
          <w:p>
            <w:r>
              <w:rPr>
                <w:sz w:val="17"/>
              </w:rPr>
            </w:r>
            <w:r>
              <w:rPr>
                <w:sz w:val="17"/>
              </w:rPr>
              <w:t>Shared coordinates check and Start View note</w:t>
            </w:r>
          </w:p>
        </w:tc>
        <w:tc>
          <w:tcPr>
            <w:tcW w:type="dxa" w:w="1566"/>
          </w:tcPr>
          <w:p>
            <w:r>
              <w:rPr>
                <w:sz w:val="17"/>
              </w:rPr>
            </w:r>
            <w:r>
              <w:rPr>
                <w:sz w:val="17"/>
              </w:rPr>
              <w:t>BIM Coordinator</w:t>
            </w:r>
          </w:p>
        </w:tc>
        <w:tc>
          <w:tcPr>
            <w:tcW w:type="dxa" w:w="2787"/>
          </w:tcPr>
          <w:p>
            <w:r>
              <w:rPr>
                <w:sz w:val="17"/>
              </w:rPr>
            </w:r>
            <w:r>
              <w:rPr>
                <w:sz w:val="17"/>
              </w:rPr>
              <w:t>Re-register clouds; capture evidence</w:t>
            </w:r>
          </w:p>
        </w:tc>
      </w:tr>
      <w:tr>
        <w:trPr>
          <w:cantSplit/>
        </w:trPr>
        <w:tc>
          <w:tcPr>
            <w:tcW w:type="dxa" w:w="2956"/>
          </w:tcPr>
          <w:p>
            <w:r>
              <w:rPr>
                <w:sz w:val="17"/>
              </w:rPr>
            </w:r>
            <w:r>
              <w:rPr>
                <w:sz w:val="17"/>
              </w:rPr>
              <w:t>Imports unloaded or purged before issue</w:t>
            </w:r>
          </w:p>
        </w:tc>
        <w:tc>
          <w:tcPr>
            <w:tcW w:type="dxa" w:w="3156"/>
          </w:tcPr>
          <w:p>
            <w:r>
              <w:rPr>
                <w:sz w:val="17"/>
              </w:rPr>
            </w:r>
            <w:r>
              <w:rPr>
                <w:sz w:val="17"/>
              </w:rPr>
              <w:t>Pre-issue purge report</w:t>
            </w:r>
          </w:p>
        </w:tc>
        <w:tc>
          <w:tcPr>
            <w:tcW w:type="dxa" w:w="1566"/>
          </w:tcPr>
          <w:p>
            <w:r>
              <w:rPr>
                <w:sz w:val="17"/>
              </w:rPr>
            </w:r>
            <w:r>
              <w:rPr>
                <w:sz w:val="17"/>
              </w:rPr>
              <w:t>Discipline Lead</w:t>
            </w:r>
          </w:p>
        </w:tc>
        <w:tc>
          <w:tcPr>
            <w:tcW w:type="dxa" w:w="2787"/>
          </w:tcPr>
          <w:p>
            <w:r>
              <w:rPr>
                <w:sz w:val="17"/>
              </w:rPr>
            </w:r>
            <w:r>
              <w:rPr>
                <w:sz w:val="17"/>
              </w:rPr>
              <w:t>Unload, purge, or segregate to staging</w:t>
            </w:r>
          </w:p>
        </w:tc>
      </w:tr>
    </w:tbl>
    <w:p/>
    <w:p>
      <w:pPr>
        <w:pStyle w:val="Heading3"/>
      </w:pPr>
      <w:r>
        <w:t>8.1.4 PUBLISHING PROTOCOL</w:t>
      </w:r>
    </w:p>
    <w:p>
      <w:pPr/>
      <w:r>
        <w:t>Purpose</w:t>
      </w:r>
    </w:p>
    <w:p>
      <w:pPr/>
      <w:r>
        <w:t>Standardize how drawings, models, schedules, and reports are packaged and issued to ensure consistency, traceability, and compliance with naming and revisions.</w:t>
      </w:r>
    </w:p>
    <w:p>
      <w:pPr/>
      <w:r>
        <w:t>Inputs</w:t>
      </w:r>
    </w:p>
    <w:p>
      <w:pPr/>
      <w:r>
        <w:t>Approved DOC parent views using locked templates (4.12)</w:t>
      </w:r>
    </w:p>
    <w:p>
      <w:pPr/>
      <w:r>
        <w:t>Sheet list per 7.1 and schedules per 7.2</w:t>
      </w:r>
    </w:p>
    <w:p>
      <w:pPr/>
      <w:r>
        <w:t>Revision intent and description for the pack</w:t>
      </w:r>
    </w:p>
    <w:p>
      <w:pPr/>
      <w:r>
        <w:t>Evidence reports: model health, clashes, data completeness</w:t>
      </w:r>
    </w:p>
    <w:p>
      <w:pPr/>
      <w:r>
        <w:t>Steps (aligns with 7.3 A–D)</w:t>
      </w:r>
    </w:p>
    <w:p>
      <w:pPr/>
      <w:r>
        <w:t>Prepare the pack</w:t>
      </w:r>
    </w:p>
    <w:p>
      <w:pPr/>
      <w:r>
        <w:t>Confirm required views use locked templates and pass override scans</w:t>
      </w:r>
    </w:p>
    <w:p>
      <w:pPr/>
      <w:r>
        <w:t>Verify legends and key plans are present where required</w:t>
      </w:r>
    </w:p>
    <w:p>
      <w:pPr/>
      <w:r>
        <w:t>Validate sheet numbers, titles, and tokens per 3.1 and 4.11.2</w:t>
      </w:r>
    </w:p>
    <w:p>
      <w:pPr/>
      <w:r>
        <w:t>Build staging pack</w:t>
      </w:r>
    </w:p>
    <w:p>
      <w:pPr/>
      <w:r>
        <w:t>Create a dated staging candidate in restricted WIP. Promote the verified identified set to its stage folder in 03-PUBLISHED only after the 12.4 authorisation and acceptance workflow</w:t>
      </w:r>
    </w:p>
    <w:p>
      <w:pPr/>
      <w:r>
        <w:t>Export PDFs for sheets to 01-DRAWINGS. Export federated model to 02-MODELS</w:t>
      </w:r>
    </w:p>
    <w:p>
      <w:pPr/>
      <w:r>
        <w:t>Export schedules to 03-SCHEDULES in CSV or PDF as agreed</w:t>
      </w:r>
    </w:p>
    <w:p>
      <w:pPr/>
      <w:r>
        <w:t>Add evidence and metadata</w:t>
      </w:r>
    </w:p>
    <w:p>
      <w:pPr/>
      <w:r>
        <w:t>Place model health, clash, and completeness reports to 04-REPORTS</w:t>
      </w:r>
    </w:p>
    <w:p>
      <w:pPr/>
      <w:r>
        <w:t>Insert README with pack summary in 00-COVERSHEETS or 05-TRANSMITTAL</w:t>
      </w:r>
    </w:p>
    <w:p>
      <w:pPr/>
      <w:r>
        <w:t>Finalize and transmit</w:t>
      </w:r>
    </w:p>
    <w:p>
      <w:pPr/>
      <w:r>
        <w:t>Run revision coherence audit. Ensure Rnn matches sheet index and title block</w:t>
      </w:r>
    </w:p>
    <w:p>
      <w:pPr/>
      <w:r>
        <w:t>Generate transmittal and place in 05-TRANSMITTAL</w:t>
      </w:r>
    </w:p>
    <w:p>
      <w:pPr/>
      <w:r>
        <w:t>Notify recipients per Communication Protocol with CDE links</w:t>
      </w:r>
    </w:p>
    <w:p>
      <w:pPr/>
      <w:r>
        <w:t>Post-issue housekeeping</w:t>
      </w:r>
    </w:p>
    <w:p>
      <w:pPr/>
      <w:r>
        <w:t>Lock the pack folder structure. Move any superseded drafts to 04-ARCHIVE with cross-link</w:t>
      </w:r>
    </w:p>
    <w:p>
      <w:pPr/>
      <w:r>
        <w:t>Update 00-PROJECT-LOG with issue reference and deltas since previous pack</w:t>
      </w:r>
    </w:p>
    <w:p>
      <w:pPr/>
      <w:r>
        <w:t>Rules</w:t>
      </w:r>
    </w:p>
    <w:p>
      <w:pPr/>
      <w:r>
        <w:t>One pack per date folder. Never overwrite an issued pack</w:t>
      </w:r>
    </w:p>
    <w:p>
      <w:pPr/>
      <w:r>
        <w:t>Revisions increase monotonically per changed container under the approved register; unchanged containers retain their revision in the issue manifest. Corrections require new Rnn</w:t>
      </w:r>
    </w:p>
    <w:p>
      <w:pPr/>
      <w:r>
        <w:t>Only approved DOC issue views and recorded schedule/legend/detail/dependent-view exceptions may be placed on sheets. COORD views are not issued by default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68"/>
        <w:gridCol w:w="3002"/>
        <w:gridCol w:w="1337"/>
        <w:gridCol w:w="2560"/>
      </w:tblGrid>
      <w:tr>
        <w:trPr>
          <w:cantSplit/>
          <w:tblHeader/>
        </w:trPr>
        <w:tc>
          <w:tcPr>
            <w:tcW w:type="dxa" w:w="3568"/>
            <w:shd w:val="clear" w:color="auto" w:fill="111113"/>
          </w:tcPr>
          <w:p>
            <w:r>
              <w:rPr>
                <w:b/>
                <w:color w:val="FFFFFF"/>
                <w:sz w:val="17"/>
              </w:rPr>
            </w:r>
            <w:r>
              <w:rPr>
                <w:b/>
                <w:color w:val="FFFFFF"/>
                <w:sz w:val="17"/>
              </w:rPr>
              <w:t>Acceptance criteria</w:t>
            </w:r>
          </w:p>
        </w:tc>
        <w:tc>
          <w:tcPr>
            <w:tcW w:type="dxa" w:w="3002"/>
            <w:shd w:val="clear" w:color="auto" w:fill="111113"/>
          </w:tcPr>
          <w:p>
            <w:r>
              <w:rPr>
                <w:b/>
                <w:color w:val="FFFFFF"/>
                <w:sz w:val="17"/>
              </w:rPr>
            </w:r>
            <w:r>
              <w:rPr>
                <w:b/>
                <w:color w:val="FFFFFF"/>
                <w:sz w:val="17"/>
              </w:rPr>
              <w:t>Quality checks</w:t>
            </w:r>
          </w:p>
        </w:tc>
        <w:tc>
          <w:tcPr>
            <w:tcW w:type="dxa" w:w="1337"/>
            <w:shd w:val="clear" w:color="auto" w:fill="111113"/>
          </w:tcPr>
          <w:p>
            <w:r>
              <w:rPr>
                <w:b/>
                <w:color w:val="FFFFFF"/>
                <w:sz w:val="17"/>
              </w:rPr>
            </w:r>
            <w:r>
              <w:rPr>
                <w:b/>
                <w:color w:val="FFFFFF"/>
                <w:sz w:val="17"/>
              </w:rPr>
              <w:t>Owner</w:t>
            </w:r>
          </w:p>
        </w:tc>
        <w:tc>
          <w:tcPr>
            <w:tcW w:type="dxa" w:w="2560"/>
            <w:shd w:val="clear" w:color="auto" w:fill="111113"/>
          </w:tcPr>
          <w:p>
            <w:r>
              <w:rPr>
                <w:b/>
                <w:color w:val="FFFFFF"/>
                <w:sz w:val="17"/>
              </w:rPr>
            </w:r>
            <w:r>
              <w:rPr>
                <w:b/>
                <w:color w:val="FFFFFF"/>
                <w:sz w:val="17"/>
              </w:rPr>
              <w:t>Edit criteria</w:t>
            </w:r>
          </w:p>
        </w:tc>
      </w:tr>
      <w:tr>
        <w:trPr>
          <w:cantSplit/>
        </w:trPr>
        <w:tc>
          <w:tcPr>
            <w:tcW w:type="dxa" w:w="3568"/>
          </w:tcPr>
          <w:p>
            <w:r>
              <w:rPr>
                <w:sz w:val="17"/>
              </w:rPr>
            </w:r>
            <w:r>
              <w:rPr>
                <w:sz w:val="17"/>
              </w:rPr>
              <w:t>Pack structure and naming match 7.3 and 2.4</w:t>
            </w:r>
          </w:p>
        </w:tc>
        <w:tc>
          <w:tcPr>
            <w:tcW w:type="dxa" w:w="3002"/>
          </w:tcPr>
          <w:p>
            <w:r>
              <w:rPr>
                <w:sz w:val="17"/>
              </w:rPr>
            </w:r>
            <w:r>
              <w:rPr>
                <w:sz w:val="17"/>
              </w:rPr>
              <w:t>Folder regex + children check</w:t>
            </w:r>
          </w:p>
        </w:tc>
        <w:tc>
          <w:tcPr>
            <w:tcW w:type="dxa" w:w="1337"/>
          </w:tcPr>
          <w:p>
            <w:r>
              <w:rPr>
                <w:sz w:val="17"/>
              </w:rPr>
            </w:r>
            <w:r>
              <w:rPr>
                <w:sz w:val="17"/>
              </w:rPr>
              <w:t>Information Manager</w:t>
            </w:r>
          </w:p>
        </w:tc>
        <w:tc>
          <w:tcPr>
            <w:tcW w:type="dxa" w:w="2560"/>
          </w:tcPr>
          <w:p>
            <w:r>
              <w:rPr>
                <w:sz w:val="17"/>
              </w:rPr>
            </w:r>
            <w:r>
              <w:rPr>
                <w:sz w:val="17"/>
              </w:rPr>
              <w:t>Fix names via CDE; do not rename locally</w:t>
            </w:r>
          </w:p>
        </w:tc>
      </w:tr>
      <w:tr>
        <w:trPr>
          <w:cantSplit/>
        </w:trPr>
        <w:tc>
          <w:tcPr>
            <w:tcW w:type="dxa" w:w="3568"/>
          </w:tcPr>
          <w:p>
            <w:r>
              <w:rPr>
                <w:sz w:val="17"/>
              </w:rPr>
            </w:r>
            <w:r>
              <w:rPr>
                <w:sz w:val="17"/>
              </w:rPr>
              <w:t>All issued views use locked templates, no per-view overrides</w:t>
            </w:r>
          </w:p>
        </w:tc>
        <w:tc>
          <w:tcPr>
            <w:tcW w:type="dxa" w:w="3002"/>
          </w:tcPr>
          <w:p>
            <w:r>
              <w:rPr>
                <w:sz w:val="17"/>
              </w:rPr>
            </w:r>
            <w:r>
              <w:rPr>
                <w:sz w:val="17"/>
              </w:rPr>
              <w:t>Template usage + override scan</w:t>
            </w:r>
          </w:p>
        </w:tc>
        <w:tc>
          <w:tcPr>
            <w:tcW w:type="dxa" w:w="1337"/>
          </w:tcPr>
          <w:p>
            <w:r>
              <w:rPr>
                <w:sz w:val="17"/>
              </w:rPr>
            </w:r>
            <w:r>
              <w:rPr>
                <w:sz w:val="17"/>
              </w:rPr>
              <w:t>BIM Coordinator</w:t>
            </w:r>
          </w:p>
        </w:tc>
        <w:tc>
          <w:tcPr>
            <w:tcW w:type="dxa" w:w="2560"/>
          </w:tcPr>
          <w:p>
            <w:r>
              <w:rPr>
                <w:sz w:val="17"/>
              </w:rPr>
            </w:r>
            <w:r>
              <w:rPr>
                <w:sz w:val="17"/>
              </w:rPr>
              <w:t>Normalize in template; purge overrides</w:t>
            </w:r>
          </w:p>
        </w:tc>
      </w:tr>
      <w:tr>
        <w:trPr>
          <w:cantSplit/>
        </w:trPr>
        <w:tc>
          <w:tcPr>
            <w:tcW w:type="dxa" w:w="3568"/>
          </w:tcPr>
          <w:p>
            <w:r>
              <w:rPr>
                <w:sz w:val="17"/>
              </w:rPr>
            </w:r>
            <w:r>
              <w:rPr>
                <w:sz w:val="17"/>
              </w:rPr>
              <w:t>Revision coherence across index and title blocks</w:t>
            </w:r>
          </w:p>
        </w:tc>
        <w:tc>
          <w:tcPr>
            <w:tcW w:type="dxa" w:w="3002"/>
          </w:tcPr>
          <w:p>
            <w:r>
              <w:rPr>
                <w:sz w:val="17"/>
              </w:rPr>
            </w:r>
            <w:r>
              <w:rPr>
                <w:sz w:val="17"/>
              </w:rPr>
              <w:t>Automated Rnn audit</w:t>
            </w:r>
          </w:p>
        </w:tc>
        <w:tc>
          <w:tcPr>
            <w:tcW w:type="dxa" w:w="1337"/>
          </w:tcPr>
          <w:p>
            <w:r>
              <w:rPr>
                <w:sz w:val="17"/>
              </w:rPr>
            </w:r>
            <w:r>
              <w:rPr>
                <w:sz w:val="17"/>
              </w:rPr>
              <w:t>QA-QC Lead</w:t>
            </w:r>
          </w:p>
        </w:tc>
        <w:tc>
          <w:tcPr>
            <w:tcW w:type="dxa" w:w="2560"/>
          </w:tcPr>
          <w:p>
            <w:r>
              <w:rPr>
                <w:sz w:val="17"/>
              </w:rPr>
            </w:r>
            <w:r>
              <w:rPr>
                <w:sz w:val="17"/>
              </w:rPr>
              <w:t>Rebuild and reissue; no backdating</w:t>
            </w:r>
          </w:p>
        </w:tc>
      </w:tr>
      <w:tr>
        <w:trPr>
          <w:cantSplit/>
        </w:trPr>
        <w:tc>
          <w:tcPr>
            <w:tcW w:type="dxa" w:w="3568"/>
          </w:tcPr>
          <w:p>
            <w:r>
              <w:rPr>
                <w:sz w:val="17"/>
              </w:rPr>
            </w:r>
            <w:r>
              <w:rPr>
                <w:sz w:val="17"/>
              </w:rPr>
              <w:t>Evidence set complete within last 48h</w:t>
            </w:r>
          </w:p>
        </w:tc>
        <w:tc>
          <w:tcPr>
            <w:tcW w:type="dxa" w:w="3002"/>
          </w:tcPr>
          <w:p>
            <w:r>
              <w:rPr>
                <w:sz w:val="17"/>
              </w:rPr>
            </w:r>
            <w:r>
              <w:rPr>
                <w:sz w:val="17"/>
              </w:rPr>
              <w:t>Presence and timestamp check in 04-REPORTS</w:t>
            </w:r>
          </w:p>
        </w:tc>
        <w:tc>
          <w:tcPr>
            <w:tcW w:type="dxa" w:w="1337"/>
          </w:tcPr>
          <w:p>
            <w:r>
              <w:rPr>
                <w:sz w:val="17"/>
              </w:rPr>
            </w:r>
            <w:r>
              <w:rPr>
                <w:sz w:val="17"/>
              </w:rPr>
              <w:t>BIM Coordinator</w:t>
            </w:r>
          </w:p>
        </w:tc>
        <w:tc>
          <w:tcPr>
            <w:tcW w:type="dxa" w:w="2560"/>
          </w:tcPr>
          <w:p>
            <w:r>
              <w:rPr>
                <w:sz w:val="17"/>
              </w:rPr>
            </w:r>
            <w:r>
              <w:rPr>
                <w:sz w:val="17"/>
              </w:rPr>
              <w:t>Regenerate evidence and reattach</w:t>
            </w:r>
          </w:p>
        </w:tc>
      </w:tr>
      <w:tr>
        <w:trPr>
          <w:cantSplit/>
        </w:trPr>
        <w:tc>
          <w:tcPr>
            <w:tcW w:type="dxa" w:w="3568"/>
          </w:tcPr>
          <w:p>
            <w:r>
              <w:rPr>
                <w:sz w:val="17"/>
              </w:rPr>
            </w:r>
            <w:r>
              <w:rPr>
                <w:sz w:val="17"/>
              </w:rPr>
              <w:t>Transmittal includes recipients, purpose, and file list</w:t>
            </w:r>
          </w:p>
        </w:tc>
        <w:tc>
          <w:tcPr>
            <w:tcW w:type="dxa" w:w="3002"/>
          </w:tcPr>
          <w:p>
            <w:r>
              <w:rPr>
                <w:sz w:val="17"/>
              </w:rPr>
            </w:r>
            <w:r>
              <w:rPr>
                <w:sz w:val="17"/>
              </w:rPr>
              <w:t>Transmittal parse</w:t>
            </w:r>
          </w:p>
        </w:tc>
        <w:tc>
          <w:tcPr>
            <w:tcW w:type="dxa" w:w="1337"/>
          </w:tcPr>
          <w:p>
            <w:r>
              <w:rPr>
                <w:sz w:val="17"/>
              </w:rPr>
            </w:r>
            <w:r>
              <w:rPr>
                <w:sz w:val="17"/>
              </w:rPr>
              <w:t>LAP</w:t>
            </w:r>
          </w:p>
        </w:tc>
        <w:tc>
          <w:tcPr>
            <w:tcW w:type="dxa" w:w="2560"/>
          </w:tcPr>
          <w:p>
            <w:r>
              <w:rPr>
                <w:sz w:val="17"/>
              </w:rPr>
            </w:r>
            <w:r>
              <w:rPr>
                <w:sz w:val="17"/>
              </w:rPr>
              <w:t>Amend metadata; preserve pack date</w:t>
            </w:r>
          </w:p>
        </w:tc>
      </w:tr>
    </w:tbl>
    <w:p/>
    <w:p>
      <w:pPr>
        <w:pStyle w:val="Heading3"/>
      </w:pPr>
      <w:r>
        <w:t>8.1.5 COORDINATION PROTOCOL</w:t>
      </w:r>
    </w:p>
    <w:p>
      <w:pPr/>
      <w:r>
        <w:t>Purpose</w:t>
      </w:r>
    </w:p>
    <w:p>
      <w:pPr/>
      <w:r>
        <w:t>Run predictable, timeboxed coordination cycles that reduce rework and feed gate evidence (2.1, 2.3).</w:t>
      </w:r>
    </w:p>
    <w:p>
      <w:pPr/>
      <w:r>
        <w:t>Cadence and forums</w:t>
      </w:r>
    </w:p>
    <w:p>
      <w:pPr/>
      <w:r>
        <w:t>Weekly during RIBA 3–4. Biweekly otherwise unless project dictates</w:t>
      </w:r>
    </w:p>
    <w:p>
      <w:pPr/>
      <w:r>
        <w:t>Forums: Discipline huddles → Cross-discipline review → Issue triage</w:t>
      </w:r>
    </w:p>
    <w:p>
      <w:pPr/>
      <w:r>
        <w:t>Inputs</w:t>
      </w:r>
    </w:p>
    <w:p>
      <w:pPr/>
      <w:r>
        <w:t>Federated model updated to latest SHARED models</w:t>
      </w:r>
    </w:p>
    <w:p>
      <w:pPr/>
      <w:r>
        <w:t>Open issue list from last cycle with statuses</w:t>
      </w:r>
    </w:p>
    <w:p>
      <w:pPr/>
      <w:r>
        <w:t>Change log since previous cycle</w:t>
      </w:r>
    </w:p>
    <w:p>
      <w:pPr/>
      <w:r>
        <w:t>Steps</w:t>
      </w:r>
    </w:p>
    <w:p>
      <w:pPr/>
      <w:r>
        <w:t>Pre-coordination (T−24h)</w:t>
      </w:r>
    </w:p>
    <w:p>
      <w:pPr/>
      <w:r>
        <w:t>BIM Coordinator updates federated model and runs baseline clash sets</w:t>
      </w:r>
    </w:p>
    <w:p>
      <w:pPr/>
      <w:r>
        <w:t>Discipline Leads push latest SHARED models and schedules</w:t>
      </w:r>
    </w:p>
    <w:p>
      <w:pPr/>
      <w:r>
        <w:t>Session (T)</w:t>
      </w:r>
    </w:p>
    <w:p>
      <w:pPr/>
      <w:r>
        <w:t>Review top clashes by severity and system, assign owners and due dates</w:t>
      </w:r>
    </w:p>
    <w:p>
      <w:pPr/>
      <w:r>
        <w:t>Record decisions and actions per Communication Protocol</w:t>
      </w:r>
    </w:p>
    <w:p>
      <w:pPr/>
      <w:r>
        <w:t>Capture screenshots or viewpoints for evidence</w:t>
      </w:r>
    </w:p>
    <w:p>
      <w:pPr/>
      <w:r>
        <w:t>Post-coordination (T+24h)</w:t>
      </w:r>
    </w:p>
    <w:p>
      <w:pPr/>
      <w:r>
        <w:t>Publish clash report and updated issue list to 02-SHARED/06-REPORTS/02-CLASHES</w:t>
      </w:r>
    </w:p>
    <w:p>
      <w:pPr/>
      <w:r>
        <w:t>Update 00-PROJECT-LOG with summary and deltas</w:t>
      </w:r>
    </w:p>
    <w:p>
      <w:pPr/>
      <w:r>
        <w:t>Escalate blockers to LAP if due dates risk gate</w:t>
      </w:r>
    </w:p>
    <w:p>
      <w:pPr/>
      <w:r>
        <w:t>Rules</w:t>
      </w:r>
    </w:p>
    <w:p>
      <w:pPr/>
      <w:r>
        <w:t>Only SHARED models enter federated model. No WIP links</w:t>
      </w:r>
    </w:p>
    <w:p>
      <w:pPr/>
      <w:r>
        <w:t>Severity matrix defined per project. Blocking clashes must be resolved/retested; only permissible exceptions may be accepted by the authorised recipient with competent designer/safety concurrence</w:t>
      </w:r>
    </w:p>
    <w:p>
      <w:pPr/>
      <w:r>
        <w:t>Issue statuses: Open → In Progress → Ready for Review → Closed. No direct Open → Closed transitions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09"/>
        <w:gridCol w:w="2752"/>
        <w:gridCol w:w="1354"/>
        <w:gridCol w:w="3051"/>
      </w:tblGrid>
      <w:tr>
        <w:trPr>
          <w:cantSplit/>
          <w:tblHeader/>
        </w:trPr>
        <w:tc>
          <w:tcPr>
            <w:tcW w:type="dxa" w:w="3309"/>
            <w:shd w:val="clear" w:color="auto" w:fill="111113"/>
          </w:tcPr>
          <w:p>
            <w:r>
              <w:rPr>
                <w:b/>
                <w:color w:val="FFFFFF"/>
                <w:sz w:val="17"/>
              </w:rPr>
            </w:r>
            <w:r>
              <w:rPr>
                <w:b/>
                <w:color w:val="FFFFFF"/>
                <w:sz w:val="17"/>
              </w:rPr>
              <w:t>Acceptance criteria</w:t>
            </w:r>
          </w:p>
        </w:tc>
        <w:tc>
          <w:tcPr>
            <w:tcW w:type="dxa" w:w="2752"/>
            <w:shd w:val="clear" w:color="auto" w:fill="111113"/>
          </w:tcPr>
          <w:p>
            <w:r>
              <w:rPr>
                <w:b/>
                <w:color w:val="FFFFFF"/>
                <w:sz w:val="17"/>
              </w:rPr>
            </w:r>
            <w:r>
              <w:rPr>
                <w:b/>
                <w:color w:val="FFFFFF"/>
                <w:sz w:val="17"/>
              </w:rPr>
              <w:t>Quality checks</w:t>
            </w:r>
          </w:p>
        </w:tc>
        <w:tc>
          <w:tcPr>
            <w:tcW w:type="dxa" w:w="1354"/>
            <w:shd w:val="clear" w:color="auto" w:fill="111113"/>
          </w:tcPr>
          <w:p>
            <w:r>
              <w:rPr>
                <w:b/>
                <w:color w:val="FFFFFF"/>
                <w:sz w:val="17"/>
              </w:rPr>
            </w:r>
            <w:r>
              <w:rPr>
                <w:b/>
                <w:color w:val="FFFFFF"/>
                <w:sz w:val="17"/>
              </w:rPr>
              <w:t>Owner</w:t>
            </w:r>
          </w:p>
        </w:tc>
        <w:tc>
          <w:tcPr>
            <w:tcW w:type="dxa" w:w="3051"/>
            <w:shd w:val="clear" w:color="auto" w:fill="111113"/>
          </w:tcPr>
          <w:p>
            <w:r>
              <w:rPr>
                <w:b/>
                <w:color w:val="FFFFFF"/>
                <w:sz w:val="17"/>
              </w:rPr>
            </w:r>
            <w:r>
              <w:rPr>
                <w:b/>
                <w:color w:val="FFFFFF"/>
                <w:sz w:val="17"/>
              </w:rPr>
              <w:t>Edit criteria</w:t>
            </w:r>
          </w:p>
        </w:tc>
      </w:tr>
      <w:tr>
        <w:trPr>
          <w:cantSplit/>
        </w:trPr>
        <w:tc>
          <w:tcPr>
            <w:tcW w:type="dxa" w:w="3309"/>
          </w:tcPr>
          <w:p>
            <w:r>
              <w:rPr>
                <w:sz w:val="17"/>
              </w:rPr>
            </w:r>
            <w:r>
              <w:rPr>
                <w:sz w:val="17"/>
              </w:rPr>
              <w:t>Federated model uses only latest SHARED discipline models</w:t>
            </w:r>
          </w:p>
        </w:tc>
        <w:tc>
          <w:tcPr>
            <w:tcW w:type="dxa" w:w="2752"/>
          </w:tcPr>
          <w:p>
            <w:r>
              <w:rPr>
                <w:sz w:val="17"/>
              </w:rPr>
            </w:r>
            <w:r>
              <w:rPr>
                <w:sz w:val="17"/>
              </w:rPr>
              <w:t>Link path and timestamp check</w:t>
            </w:r>
          </w:p>
        </w:tc>
        <w:tc>
          <w:tcPr>
            <w:tcW w:type="dxa" w:w="1354"/>
          </w:tcPr>
          <w:p>
            <w:r>
              <w:rPr>
                <w:sz w:val="17"/>
              </w:rPr>
            </w:r>
            <w:r>
              <w:rPr>
                <w:sz w:val="17"/>
              </w:rPr>
              <w:t>BIM Coordinator</w:t>
            </w:r>
          </w:p>
        </w:tc>
        <w:tc>
          <w:tcPr>
            <w:tcW w:type="dxa" w:w="3051"/>
          </w:tcPr>
          <w:p>
            <w:r>
              <w:rPr>
                <w:sz w:val="17"/>
              </w:rPr>
            </w:r>
            <w:r>
              <w:rPr>
                <w:sz w:val="17"/>
              </w:rPr>
              <w:t>Relink to SHARED; remove WIP links</w:t>
            </w:r>
          </w:p>
        </w:tc>
      </w:tr>
      <w:tr>
        <w:trPr>
          <w:cantSplit/>
        </w:trPr>
        <w:tc>
          <w:tcPr>
            <w:tcW w:type="dxa" w:w="3309"/>
          </w:tcPr>
          <w:p>
            <w:r>
              <w:rPr>
                <w:sz w:val="17"/>
              </w:rPr>
            </w:r>
            <w:r>
              <w:rPr>
                <w:sz w:val="17"/>
              </w:rPr>
              <w:t>Critical clashes trend downward cycle-to-cycle</w:t>
            </w:r>
          </w:p>
        </w:tc>
        <w:tc>
          <w:tcPr>
            <w:tcW w:type="dxa" w:w="2752"/>
          </w:tcPr>
          <w:p>
            <w:r>
              <w:rPr>
                <w:sz w:val="17"/>
              </w:rPr>
            </w:r>
            <w:r>
              <w:rPr>
                <w:sz w:val="17"/>
              </w:rPr>
              <w:t>Severity trend chart</w:t>
            </w:r>
          </w:p>
        </w:tc>
        <w:tc>
          <w:tcPr>
            <w:tcW w:type="dxa" w:w="1354"/>
          </w:tcPr>
          <w:p>
            <w:r>
              <w:rPr>
                <w:sz w:val="17"/>
              </w:rPr>
            </w:r>
            <w:r>
              <w:rPr>
                <w:sz w:val="17"/>
              </w:rPr>
              <w:t>Discipline Leads</w:t>
            </w:r>
          </w:p>
        </w:tc>
        <w:tc>
          <w:tcPr>
            <w:tcW w:type="dxa" w:w="3051"/>
          </w:tcPr>
          <w:p>
            <w:r>
              <w:rPr>
                <w:sz w:val="17"/>
              </w:rPr>
            </w:r>
            <w:r>
              <w:rPr>
                <w:sz w:val="17"/>
              </w:rPr>
              <w:t>Focus next cycle scope; escalate persistent items</w:t>
            </w:r>
          </w:p>
        </w:tc>
      </w:tr>
      <w:tr>
        <w:trPr>
          <w:cantSplit/>
        </w:trPr>
        <w:tc>
          <w:tcPr>
            <w:tcW w:type="dxa" w:w="3309"/>
          </w:tcPr>
          <w:p>
            <w:r>
              <w:rPr>
                <w:sz w:val="17"/>
              </w:rPr>
            </w:r>
            <w:r>
              <w:rPr>
                <w:sz w:val="17"/>
              </w:rPr>
              <w:t>100% issues have owner and due date</w:t>
            </w:r>
          </w:p>
        </w:tc>
        <w:tc>
          <w:tcPr>
            <w:tcW w:type="dxa" w:w="2752"/>
          </w:tcPr>
          <w:p>
            <w:r>
              <w:rPr>
                <w:sz w:val="17"/>
              </w:rPr>
            </w:r>
            <w:r>
              <w:rPr>
                <w:sz w:val="17"/>
              </w:rPr>
              <w:t>Issue list completeness audit</w:t>
            </w:r>
          </w:p>
        </w:tc>
        <w:tc>
          <w:tcPr>
            <w:tcW w:type="dxa" w:w="1354"/>
          </w:tcPr>
          <w:p>
            <w:r>
              <w:rPr>
                <w:sz w:val="17"/>
              </w:rPr>
            </w:r>
            <w:r>
              <w:rPr>
                <w:sz w:val="17"/>
              </w:rPr>
              <w:t>Information Manager</w:t>
            </w:r>
          </w:p>
        </w:tc>
        <w:tc>
          <w:tcPr>
            <w:tcW w:type="dxa" w:w="3051"/>
          </w:tcPr>
          <w:p>
            <w:r>
              <w:rPr>
                <w:sz w:val="17"/>
              </w:rPr>
            </w:r>
            <w:r>
              <w:rPr>
                <w:sz w:val="17"/>
              </w:rPr>
              <w:t>Assign owners during session; no unowned issues</w:t>
            </w:r>
          </w:p>
        </w:tc>
      </w:tr>
      <w:tr>
        <w:trPr>
          <w:cantSplit/>
        </w:trPr>
        <w:tc>
          <w:tcPr>
            <w:tcW w:type="dxa" w:w="3309"/>
          </w:tcPr>
          <w:p>
            <w:r>
              <w:rPr>
                <w:sz w:val="17"/>
              </w:rPr>
            </w:r>
            <w:r>
              <w:rPr>
                <w:sz w:val="17"/>
              </w:rPr>
              <w:t>Evidence posted within 24h of session</w:t>
            </w:r>
          </w:p>
        </w:tc>
        <w:tc>
          <w:tcPr>
            <w:tcW w:type="dxa" w:w="2752"/>
          </w:tcPr>
          <w:p>
            <w:r>
              <w:rPr>
                <w:sz w:val="17"/>
              </w:rPr>
            </w:r>
            <w:r>
              <w:rPr>
                <w:sz w:val="17"/>
              </w:rPr>
              <w:t>Presence and timestamp in 02-CLASHES</w:t>
            </w:r>
          </w:p>
        </w:tc>
        <w:tc>
          <w:tcPr>
            <w:tcW w:type="dxa" w:w="1354"/>
          </w:tcPr>
          <w:p>
            <w:r>
              <w:rPr>
                <w:sz w:val="17"/>
              </w:rPr>
            </w:r>
            <w:r>
              <w:rPr>
                <w:sz w:val="17"/>
              </w:rPr>
              <w:t>QA-QC Lead</w:t>
            </w:r>
          </w:p>
        </w:tc>
        <w:tc>
          <w:tcPr>
            <w:tcW w:type="dxa" w:w="3051"/>
          </w:tcPr>
          <w:p>
            <w:r>
              <w:rPr>
                <w:sz w:val="17"/>
              </w:rPr>
            </w:r>
            <w:r>
              <w:rPr>
                <w:sz w:val="17"/>
              </w:rPr>
              <w:t>Publish summary; link viewpoints</w:t>
            </w:r>
          </w:p>
        </w:tc>
      </w:tr>
    </w:tbl>
    <w:p/>
    <w:p>
      <w:pPr>
        <w:pStyle w:val="Heading2"/>
      </w:pPr>
      <w:r>
        <w:t>8.2 METHODOLOGIES</w:t>
      </w:r>
    </w:p>
    <w:p>
      <w:pPr>
        <w:pStyle w:val="Heading3"/>
      </w:pPr>
      <w:r>
        <w:t>8.2.1 MODELING METHODOLOGIES</w:t>
      </w:r>
    </w:p>
    <w:p>
      <w:pPr/>
      <w:r>
        <w:t>Purpose</w:t>
      </w:r>
    </w:p>
    <w:p>
      <w:pPr/>
      <w:r>
        <w:t>Ensure consistent, efficient modeling that supports documentation, coordination, and data exchange without over-modeling.</w:t>
      </w:r>
    </w:p>
    <w:p>
      <w:pPr/>
      <w:r>
        <w:t>Principles</w:t>
      </w:r>
    </w:p>
    <w:p>
      <w:pPr/>
      <w:r>
        <w:t>Model to the LOIN worksheet of the next exchange (3.2; BBM-STD-54)</w:t>
      </w:r>
    </w:p>
    <w:p>
      <w:pPr/>
      <w:r>
        <w:t>Separate modeling, documentation, and coordination concerns via worksets and view templates (3.3, 4.12)</w:t>
      </w:r>
    </w:p>
    <w:p>
      <w:pPr/>
      <w:r>
        <w:t>Prefer native elements and families over detail lines and filled regions in model views</w:t>
      </w:r>
    </w:p>
    <w:p>
      <w:pPr/>
      <w:r>
        <w:t>Setup</w:t>
      </w:r>
    </w:p>
    <w:p>
      <w:pPr/>
      <w:r>
        <w:t>Start from the approved seed model with Start View and templates loaded (4.9, 4.12)</w:t>
      </w:r>
    </w:p>
    <w:p>
      <w:pPr/>
      <w:r>
        <w:t>Declare partition basis in Model Notes: Floor, Zone, System, or mixed, and record boundaries (3.3)</w:t>
      </w:r>
    </w:p>
    <w:p>
      <w:pPr/>
      <w:r>
        <w:t>Bind core parameters per 3.2 and verify on representative categories</w:t>
      </w:r>
    </w:p>
    <w:p>
      <w:pPr/>
      <w:r>
        <w:t>Modeling rules by stage</w:t>
      </w:r>
    </w:p>
    <w:p>
      <w:pPr/>
      <w:r>
        <w:t>RIBA 2: Primary massing, grids, levels, major systems placeholders. Classification_Code populated for modeled elements</w:t>
      </w:r>
    </w:p>
    <w:p>
      <w:pPr/>
      <w:r>
        <w:t>RIBA 3: Spatial coordination fidelity. Systems, zones, and levels populated. No temporary overlaps at gate</w:t>
      </w:r>
    </w:p>
    <w:p>
      <w:pPr/>
      <w:r>
        <w:t>RIBA 4: Constructible geometry for documented elements. Fire_Rating and Asset_ID-bearing elements prepared per the fire strategy and client register</w:t>
      </w:r>
    </w:p>
    <w:p>
      <w:pPr/>
      <w:r>
        <w:t>Graphics and data</w:t>
      </w:r>
    </w:p>
    <w:p>
      <w:pPr/>
      <w:r>
        <w:t>Use View Templates for all working views. No per-view overrides at issue (4.12)</w:t>
      </w:r>
    </w:p>
    <w:p>
      <w:pPr/>
      <w:r>
        <w:t>Populate parameters through schedules wherever possible. No text overrides in tags or schedules (7.2)</w:t>
      </w:r>
    </w:p>
    <w:p>
      <w:pPr/>
      <w:r>
        <w:t>Apply classification and system tags per discipline. Avoid duplicate parameter names across files (3.2)</w:t>
      </w:r>
    </w:p>
    <w:p>
      <w:pPr/>
      <w:r>
        <w:t>Performance and maintenance</w:t>
      </w:r>
    </w:p>
    <w:p>
      <w:pPr/>
      <w:r>
        <w:t>Keep warnings below project threshold. Resolve high-impact warnings weekly</w:t>
      </w:r>
    </w:p>
    <w:p>
      <w:pPr/>
      <w:r>
        <w:t>Purge unused families and materials prior to gate; never purge template assets</w:t>
      </w:r>
    </w:p>
    <w:p>
      <w:pPr/>
      <w:r>
        <w:t>Split models if scope exceeds thresholds; document split rule in Model Notes and 2.3 evidence</w:t>
      </w:r>
    </w:p>
    <w:p>
      <w:pPr/>
      <w:r>
        <w:t>Do and don’t</w:t>
      </w:r>
    </w:p>
    <w:p>
      <w:pPr/>
      <w:r>
        <w:t>Do pin links, use coordination views, and follow matchline rules (4.1, 4.6)</w:t>
      </w:r>
    </w:p>
    <w:p>
      <w:pPr/>
      <w:r>
        <w:t>Don’t leave elements on Workset1. Don’t place COORD views on sheets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328"/>
        <w:gridCol w:w="2421"/>
        <w:gridCol w:w="1224"/>
        <w:gridCol w:w="2493"/>
      </w:tblGrid>
      <w:tr>
        <w:trPr>
          <w:cantSplit/>
          <w:tblHeader/>
        </w:trPr>
        <w:tc>
          <w:tcPr>
            <w:tcW w:type="dxa" w:w="4328"/>
            <w:shd w:val="clear" w:color="auto" w:fill="111113"/>
          </w:tcPr>
          <w:p>
            <w:r>
              <w:rPr>
                <w:b/>
                <w:color w:val="FFFFFF"/>
                <w:sz w:val="17"/>
              </w:rPr>
            </w:r>
            <w:r>
              <w:rPr>
                <w:b/>
                <w:color w:val="FFFFFF"/>
                <w:sz w:val="17"/>
              </w:rPr>
              <w:t>Acceptance criteria</w:t>
            </w:r>
          </w:p>
        </w:tc>
        <w:tc>
          <w:tcPr>
            <w:tcW w:type="dxa" w:w="2421"/>
            <w:shd w:val="clear" w:color="auto" w:fill="111113"/>
          </w:tcPr>
          <w:p>
            <w:r>
              <w:rPr>
                <w:b/>
                <w:color w:val="FFFFFF"/>
                <w:sz w:val="17"/>
              </w:rPr>
            </w:r>
            <w:r>
              <w:rPr>
                <w:b/>
                <w:color w:val="FFFFFF"/>
                <w:sz w:val="17"/>
              </w:rPr>
              <w:t>Quality checks</w:t>
            </w:r>
          </w:p>
        </w:tc>
        <w:tc>
          <w:tcPr>
            <w:tcW w:type="dxa" w:w="1224"/>
            <w:shd w:val="clear" w:color="auto" w:fill="111113"/>
          </w:tcPr>
          <w:p>
            <w:r>
              <w:rPr>
                <w:b/>
                <w:color w:val="FFFFFF"/>
                <w:sz w:val="17"/>
              </w:rPr>
            </w:r>
            <w:r>
              <w:rPr>
                <w:b/>
                <w:color w:val="FFFFFF"/>
                <w:sz w:val="17"/>
              </w:rPr>
              <w:t>Owner</w:t>
            </w:r>
          </w:p>
        </w:tc>
        <w:tc>
          <w:tcPr>
            <w:tcW w:type="dxa" w:w="2493"/>
            <w:shd w:val="clear" w:color="auto" w:fill="111113"/>
          </w:tcPr>
          <w:p>
            <w:r>
              <w:rPr>
                <w:b/>
                <w:color w:val="FFFFFF"/>
                <w:sz w:val="17"/>
              </w:rPr>
            </w:r>
            <w:r>
              <w:rPr>
                <w:b/>
                <w:color w:val="FFFFFF"/>
                <w:sz w:val="17"/>
              </w:rPr>
              <w:t>Edit criteria</w:t>
            </w:r>
          </w:p>
        </w:tc>
      </w:tr>
      <w:tr>
        <w:trPr>
          <w:cantSplit/>
        </w:trPr>
        <w:tc>
          <w:tcPr>
            <w:tcW w:type="dxa" w:w="4328"/>
          </w:tcPr>
          <w:p>
            <w:r>
              <w:rPr>
                <w:sz w:val="17"/>
              </w:rPr>
            </w:r>
            <w:r>
              <w:rPr>
                <w:sz w:val="17"/>
              </w:rPr>
              <w:t>Model Notes declare partition basis and boundaries</w:t>
            </w:r>
          </w:p>
        </w:tc>
        <w:tc>
          <w:tcPr>
            <w:tcW w:type="dxa" w:w="2421"/>
          </w:tcPr>
          <w:p>
            <w:r>
              <w:rPr>
                <w:sz w:val="17"/>
              </w:rPr>
            </w:r>
            <w:r>
              <w:rPr>
                <w:sz w:val="17"/>
              </w:rPr>
              <w:t>Presence check in Model Notes view</w:t>
            </w:r>
          </w:p>
        </w:tc>
        <w:tc>
          <w:tcPr>
            <w:tcW w:type="dxa" w:w="1224"/>
          </w:tcPr>
          <w:p>
            <w:r>
              <w:rPr>
                <w:sz w:val="17"/>
              </w:rPr>
            </w:r>
            <w:r>
              <w:rPr>
                <w:sz w:val="17"/>
              </w:rPr>
              <w:t>Discipline Lead</w:t>
            </w:r>
          </w:p>
        </w:tc>
        <w:tc>
          <w:tcPr>
            <w:tcW w:type="dxa" w:w="2493"/>
          </w:tcPr>
          <w:p>
            <w:r>
              <w:rPr>
                <w:sz w:val="17"/>
              </w:rPr>
            </w:r>
            <w:r>
              <w:rPr>
                <w:sz w:val="17"/>
              </w:rPr>
              <w:t>Update notes; align browser folders</w:t>
            </w:r>
          </w:p>
        </w:tc>
      </w:tr>
      <w:tr>
        <w:trPr>
          <w:cantSplit/>
        </w:trPr>
        <w:tc>
          <w:tcPr>
            <w:tcW w:type="dxa" w:w="4328"/>
          </w:tcPr>
          <w:p>
            <w:r>
              <w:rPr>
                <w:sz w:val="17"/>
              </w:rPr>
            </w:r>
            <w:r>
              <w:rPr>
                <w:sz w:val="17"/>
              </w:rPr>
              <w:t>0 elements on Workset1 at gate</w:t>
            </w:r>
          </w:p>
        </w:tc>
        <w:tc>
          <w:tcPr>
            <w:tcW w:type="dxa" w:w="2421"/>
          </w:tcPr>
          <w:p>
            <w:r>
              <w:rPr>
                <w:sz w:val="17"/>
              </w:rPr>
            </w:r>
            <w:r>
              <w:rPr>
                <w:sz w:val="17"/>
              </w:rPr>
              <w:t>Workset1 schedule = 0</w:t>
            </w:r>
          </w:p>
        </w:tc>
        <w:tc>
          <w:tcPr>
            <w:tcW w:type="dxa" w:w="1224"/>
          </w:tcPr>
          <w:p>
            <w:r>
              <w:rPr>
                <w:sz w:val="17"/>
              </w:rPr>
            </w:r>
            <w:r>
              <w:rPr>
                <w:sz w:val="17"/>
              </w:rPr>
              <w:t>QA-QC Lead</w:t>
            </w:r>
          </w:p>
        </w:tc>
        <w:tc>
          <w:tcPr>
            <w:tcW w:type="dxa" w:w="2493"/>
          </w:tcPr>
          <w:p>
            <w:r>
              <w:rPr>
                <w:sz w:val="17"/>
              </w:rPr>
            </w:r>
            <w:r>
              <w:rPr>
                <w:sz w:val="17"/>
              </w:rPr>
              <w:t>Reassign or delete; recheck</w:t>
            </w:r>
          </w:p>
        </w:tc>
      </w:tr>
      <w:tr>
        <w:trPr>
          <w:cantSplit/>
        </w:trPr>
        <w:tc>
          <w:tcPr>
            <w:tcW w:type="dxa" w:w="4328"/>
          </w:tcPr>
          <w:p>
            <w:r>
              <w:rPr>
                <w:sz w:val="17"/>
              </w:rPr>
            </w:r>
            <w:r>
              <w:rPr>
                <w:sz w:val="17"/>
              </w:rPr>
              <w:t>Template usage = 100% for issued views</w:t>
            </w:r>
          </w:p>
        </w:tc>
        <w:tc>
          <w:tcPr>
            <w:tcW w:type="dxa" w:w="2421"/>
          </w:tcPr>
          <w:p>
            <w:r>
              <w:rPr>
                <w:sz w:val="17"/>
              </w:rPr>
            </w:r>
            <w:r>
              <w:rPr>
                <w:sz w:val="17"/>
              </w:rPr>
              <w:t>Template usage audit</w:t>
            </w:r>
          </w:p>
        </w:tc>
        <w:tc>
          <w:tcPr>
            <w:tcW w:type="dxa" w:w="1224"/>
          </w:tcPr>
          <w:p>
            <w:r>
              <w:rPr>
                <w:sz w:val="17"/>
              </w:rPr>
            </w:r>
            <w:r>
              <w:rPr>
                <w:sz w:val="17"/>
              </w:rPr>
              <w:t>BIM Coordinator</w:t>
            </w:r>
          </w:p>
        </w:tc>
        <w:tc>
          <w:tcPr>
            <w:tcW w:type="dxa" w:w="2493"/>
          </w:tcPr>
          <w:p>
            <w:r>
              <w:rPr>
                <w:sz w:val="17"/>
              </w:rPr>
            </w:r>
            <w:r>
              <w:rPr>
                <w:sz w:val="17"/>
              </w:rPr>
              <w:t>Fix misassignments; purge overrides</w:t>
            </w:r>
          </w:p>
        </w:tc>
      </w:tr>
      <w:tr>
        <w:trPr>
          <w:cantSplit/>
        </w:trPr>
        <w:tc>
          <w:tcPr>
            <w:tcW w:type="dxa" w:w="4328"/>
          </w:tcPr>
          <w:p>
            <w:r>
              <w:rPr>
                <w:sz w:val="17"/>
              </w:rPr>
            </w:r>
            <w:r>
              <w:rPr>
                <w:sz w:val="17"/>
              </w:rPr>
              <w:t>Mandatory applicable requirements: 100% valid; non-mandatory coverage target per approved annex (3.2)</w:t>
            </w:r>
          </w:p>
        </w:tc>
        <w:tc>
          <w:tcPr>
            <w:tcW w:type="dxa" w:w="2421"/>
          </w:tcPr>
          <w:p>
            <w:r>
              <w:rPr>
                <w:sz w:val="17"/>
              </w:rPr>
            </w:r>
            <w:r>
              <w:rPr>
                <w:sz w:val="17"/>
              </w:rPr>
              <w:t>Completeness report by element class</w:t>
            </w:r>
          </w:p>
        </w:tc>
        <w:tc>
          <w:tcPr>
            <w:tcW w:type="dxa" w:w="1224"/>
          </w:tcPr>
          <w:p>
            <w:r>
              <w:rPr>
                <w:sz w:val="17"/>
              </w:rPr>
            </w:r>
            <w:r>
              <w:rPr>
                <w:sz w:val="17"/>
              </w:rPr>
              <w:t>Information Manager</w:t>
            </w:r>
          </w:p>
        </w:tc>
        <w:tc>
          <w:tcPr>
            <w:tcW w:type="dxa" w:w="2493"/>
          </w:tcPr>
          <w:p>
            <w:r>
              <w:rPr>
                <w:sz w:val="17"/>
              </w:rPr>
            </w:r>
            <w:r>
              <w:rPr>
                <w:sz w:val="17"/>
              </w:rPr>
              <w:t>Backfill via schedules; log deltas</w:t>
            </w:r>
          </w:p>
        </w:tc>
      </w:tr>
      <w:tr>
        <w:trPr>
          <w:cantSplit/>
        </w:trPr>
        <w:tc>
          <w:tcPr>
            <w:tcW w:type="dxa" w:w="4328"/>
          </w:tcPr>
          <w:p>
            <w:r>
              <w:rPr>
                <w:sz w:val="17"/>
              </w:rPr>
            </w:r>
            <w:r>
              <w:rPr>
                <w:sz w:val="17"/>
              </w:rPr>
              <w:t>Warnings below threshold and no critical types persist &gt; 1 cycle</w:t>
            </w:r>
          </w:p>
        </w:tc>
        <w:tc>
          <w:tcPr>
            <w:tcW w:type="dxa" w:w="2421"/>
          </w:tcPr>
          <w:p>
            <w:r>
              <w:rPr>
                <w:sz w:val="17"/>
              </w:rPr>
            </w:r>
            <w:r>
              <w:rPr>
                <w:sz w:val="17"/>
              </w:rPr>
              <w:t>Warnings trend vs threshold</w:t>
            </w:r>
          </w:p>
        </w:tc>
        <w:tc>
          <w:tcPr>
            <w:tcW w:type="dxa" w:w="1224"/>
          </w:tcPr>
          <w:p>
            <w:r>
              <w:rPr>
                <w:sz w:val="17"/>
              </w:rPr>
            </w:r>
            <w:r>
              <w:rPr>
                <w:sz w:val="17"/>
              </w:rPr>
              <w:t>Discipline Lead</w:t>
            </w:r>
          </w:p>
        </w:tc>
        <w:tc>
          <w:tcPr>
            <w:tcW w:type="dxa" w:w="2493"/>
          </w:tcPr>
          <w:p>
            <w:r>
              <w:rPr>
                <w:sz w:val="17"/>
              </w:rPr>
            </w:r>
            <w:r>
              <w:rPr>
                <w:sz w:val="17"/>
              </w:rPr>
              <w:t>Resolve or escalate; record waivers</w:t>
            </w:r>
          </w:p>
        </w:tc>
      </w:tr>
    </w:tbl>
    <w:p/>
    <w:p>
      <w:pPr>
        <w:pStyle w:val="Heading3"/>
      </w:pPr>
      <w:r>
        <w:t>8.2.2 FAMILY CREATION METHODOLOGIES</w:t>
      </w:r>
    </w:p>
    <w:p>
      <w:pPr/>
      <w:r>
        <w:t>Purpose</w:t>
      </w:r>
    </w:p>
    <w:p>
      <w:pPr/>
      <w:r>
        <w:t>Create consistent, lightweight, and data-ready families that comply with graphics, parameters, and naming standards.</w:t>
      </w:r>
    </w:p>
    <w:p>
      <w:pPr/>
      <w:r>
        <w:t>Naming and versioning</w:t>
      </w:r>
    </w:p>
    <w:p>
      <w:pPr/>
      <w:r>
        <w:t>Family Name: ORG-DISC-CAT-TYPE-DESC-vNN (approved library convention; not the external container grammar)</w:t>
      </w:r>
    </w:p>
    <w:p>
      <w:pPr/>
      <w:r>
        <w:t>Type Names: Clear size or option tokens only. No free text beyond tokens</w:t>
      </w:r>
    </w:p>
    <w:p>
      <w:pPr/>
      <w:r>
        <w:t>Increment vNN on any geometry or parameter schema change (6.1)</w:t>
      </w:r>
    </w:p>
    <w:p>
      <w:pPr/>
      <w:r>
        <w:t>Required parameters and bindings</w:t>
      </w:r>
    </w:p>
    <w:p>
      <w:pPr/>
      <w:r>
        <w:t>Core parameters per 3.2 bound at the correct scope:</w:t>
      </w:r>
    </w:p>
    <w:p>
      <w:pPr/>
      <w:r>
        <w:t>Instance: System, Zone and occurrence identifiers where meaningful; Classification_Code and Export Exclude follow the dictionary/category binding. Do not impose one binding on every family category</w:t>
      </w:r>
    </w:p>
    <w:p>
      <w:pPr/>
      <w:r>
        <w:t>Type or Instance as appropriate for discipline rules</w:t>
      </w:r>
    </w:p>
    <w:p>
      <w:pPr/>
      <w:r>
        <w:t>Discipline parameters: add only if referenced by schedules or tags. Avoid duplicates across libraries</w:t>
      </w:r>
    </w:p>
    <w:p>
      <w:pPr/>
      <w:r>
        <w:t>Geometry and LOIN</w:t>
      </w:r>
    </w:p>
    <w:p>
      <w:pPr/>
      <w:r>
        <w:t>Model to the LOIN worksheet of the exchange (BBM-STD-54). Avoid over-modeling and tiny face details</w:t>
      </w:r>
    </w:p>
    <w:p>
      <w:pPr/>
      <w:r>
        <w:t>Use subcategories to control visibility in view templates (4.12). No masking hacks</w:t>
      </w:r>
    </w:p>
    <w:p>
      <w:pPr/>
      <w:r>
        <w:t>Place reference planes with proper origins. Flex critical dimensions across typical types</w:t>
      </w:r>
    </w:p>
    <w:p>
      <w:pPr/>
      <w:r>
        <w:t>Materials and graphics</w:t>
      </w:r>
    </w:p>
    <w:p>
      <w:pPr/>
      <w:r>
        <w:t>Use approved Materials only. No ad-hoc materials in library source</w:t>
      </w:r>
    </w:p>
    <w:p>
      <w:pPr/>
      <w:r>
        <w:t>Linework follows 4.1 and 4.2. No ByElement overrides</w:t>
      </w:r>
    </w:p>
    <w:p>
      <w:pPr/>
      <w:r>
        <w:t>Plan/elevation symbolic lines sized to plot correctly per 4.3 and 4.6</w:t>
      </w:r>
    </w:p>
    <w:p>
      <w:pPr/>
      <w:r>
        <w:t>Connectors (MEP)</w:t>
      </w:r>
    </w:p>
    <w:p>
      <w:pPr/>
      <w:r>
        <w:t>Typed connectors with correct systems, flow units, directions, and loss coefficients where applicable</w:t>
      </w:r>
    </w:p>
    <w:p>
      <w:pPr/>
      <w:r>
        <w:t>Test system propagation and schedule fields in a sandbox project before release</w:t>
      </w:r>
    </w:p>
    <w:p>
      <w:pPr/>
      <w:r>
        <w:t>QA and publishing workflow</w:t>
      </w:r>
    </w:p>
    <w:p>
      <w:pPr/>
      <w:r>
        <w:t>Author in library workspace; set preview type and visibility states</w:t>
      </w:r>
    </w:p>
    <w:p>
      <w:pPr/>
      <w:r>
        <w:t>Flex types. Run parameter presence audit and purge only demonstrably unused, non-required content after a protected-copy comparison subcategories and materials</w:t>
      </w:r>
    </w:p>
    <w:p>
      <w:pPr/>
      <w:r>
        <w:t>Graphics check at target plot scales in DOC templates</w:t>
      </w:r>
    </w:p>
    <w:p>
      <w:pPr/>
      <w:r>
        <w:t>Publish to 02-SHARED/08-PROJECT-LIBRARY under the correct discipline folder (12.1). Record vNN and change note</w:t>
      </w:r>
    </w:p>
    <w:p>
      <w:pPr/>
      <w:r>
        <w:t>Do and don’t</w:t>
      </w:r>
    </w:p>
    <w:p>
      <w:pPr/>
      <w:r>
        <w:t>Do include meaningful Type Catalogs for large size sets</w:t>
      </w:r>
    </w:p>
    <w:p>
      <w:pPr/>
      <w:r>
        <w:t>Do centralize shared parameters and keep GUIDs stable</w:t>
      </w:r>
    </w:p>
    <w:p>
      <w:pPr/>
      <w:r>
        <w:t>Don’t hard-code text labels that belong to tags or schedules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30"/>
        <w:gridCol w:w="2620"/>
        <w:gridCol w:w="1305"/>
        <w:gridCol w:w="3511"/>
      </w:tblGrid>
      <w:tr>
        <w:trPr>
          <w:cantSplit/>
          <w:tblHeader/>
        </w:trPr>
        <w:tc>
          <w:tcPr>
            <w:tcW w:type="dxa" w:w="3030"/>
            <w:shd w:val="clear" w:color="auto" w:fill="111113"/>
          </w:tcPr>
          <w:p>
            <w:r>
              <w:rPr>
                <w:b/>
                <w:color w:val="FFFFFF"/>
                <w:sz w:val="17"/>
              </w:rPr>
            </w:r>
            <w:r>
              <w:rPr>
                <w:b/>
                <w:color w:val="FFFFFF"/>
                <w:sz w:val="17"/>
              </w:rPr>
              <w:t>Acceptance criteria</w:t>
            </w:r>
          </w:p>
        </w:tc>
        <w:tc>
          <w:tcPr>
            <w:tcW w:type="dxa" w:w="2620"/>
            <w:shd w:val="clear" w:color="auto" w:fill="111113"/>
          </w:tcPr>
          <w:p>
            <w:r>
              <w:rPr>
                <w:b/>
                <w:color w:val="FFFFFF"/>
                <w:sz w:val="17"/>
              </w:rPr>
            </w:r>
            <w:r>
              <w:rPr>
                <w:b/>
                <w:color w:val="FFFFFF"/>
                <w:sz w:val="17"/>
              </w:rPr>
              <w:t>Quality checks</w:t>
            </w:r>
          </w:p>
        </w:tc>
        <w:tc>
          <w:tcPr>
            <w:tcW w:type="dxa" w:w="1305"/>
            <w:shd w:val="clear" w:color="auto" w:fill="111113"/>
          </w:tcPr>
          <w:p>
            <w:r>
              <w:rPr>
                <w:b/>
                <w:color w:val="FFFFFF"/>
                <w:sz w:val="17"/>
              </w:rPr>
            </w:r>
            <w:r>
              <w:rPr>
                <w:b/>
                <w:color w:val="FFFFFF"/>
                <w:sz w:val="17"/>
              </w:rPr>
              <w:t>Owner</w:t>
            </w:r>
          </w:p>
        </w:tc>
        <w:tc>
          <w:tcPr>
            <w:tcW w:type="dxa" w:w="3511"/>
            <w:shd w:val="clear" w:color="auto" w:fill="111113"/>
          </w:tcPr>
          <w:p>
            <w:r>
              <w:rPr>
                <w:b/>
                <w:color w:val="FFFFFF"/>
                <w:sz w:val="17"/>
              </w:rPr>
            </w:r>
            <w:r>
              <w:rPr>
                <w:b/>
                <w:color w:val="FFFFFF"/>
                <w:sz w:val="17"/>
              </w:rPr>
              <w:t>Edit criteria</w:t>
            </w:r>
          </w:p>
        </w:tc>
      </w:tr>
      <w:tr>
        <w:trPr>
          <w:cantSplit/>
        </w:trPr>
        <w:tc>
          <w:tcPr>
            <w:tcW w:type="dxa" w:w="3030"/>
          </w:tcPr>
          <w:p>
            <w:r>
              <w:rPr>
                <w:sz w:val="17"/>
              </w:rPr>
            </w:r>
            <w:r>
              <w:rPr>
                <w:sz w:val="17"/>
              </w:rPr>
              <w:t>Naming follows ORG-DISC-CAT-TYPE-DESC-vNN</w:t>
            </w:r>
          </w:p>
        </w:tc>
        <w:tc>
          <w:tcPr>
            <w:tcW w:type="dxa" w:w="2620"/>
          </w:tcPr>
          <w:p>
            <w:r>
              <w:rPr>
                <w:sz w:val="17"/>
              </w:rPr>
            </w:r>
            <w:r>
              <w:rPr>
                <w:sz w:val="17"/>
              </w:rPr>
              <w:t>Name lint vs 6.1 pattern</w:t>
            </w:r>
          </w:p>
        </w:tc>
        <w:tc>
          <w:tcPr>
            <w:tcW w:type="dxa" w:w="1305"/>
          </w:tcPr>
          <w:p>
            <w:r>
              <w:rPr>
                <w:sz w:val="17"/>
              </w:rPr>
            </w:r>
            <w:r>
              <w:rPr>
                <w:sz w:val="17"/>
              </w:rPr>
              <w:t>Information Manager</w:t>
            </w:r>
          </w:p>
        </w:tc>
        <w:tc>
          <w:tcPr>
            <w:tcW w:type="dxa" w:w="3511"/>
          </w:tcPr>
          <w:p>
            <w:r>
              <w:rPr>
                <w:sz w:val="17"/>
              </w:rPr>
            </w:r>
            <w:r>
              <w:rPr>
                <w:sz w:val="17"/>
              </w:rPr>
              <w:t>Rename to standard; update references</w:t>
            </w:r>
          </w:p>
        </w:tc>
      </w:tr>
      <w:tr>
        <w:trPr>
          <w:cantSplit/>
        </w:trPr>
        <w:tc>
          <w:tcPr>
            <w:tcW w:type="dxa" w:w="3030"/>
          </w:tcPr>
          <w:p>
            <w:r>
              <w:rPr>
                <w:sz w:val="17"/>
              </w:rPr>
            </w:r>
            <w:r>
              <w:rPr>
                <w:sz w:val="17"/>
              </w:rPr>
              <w:t>Core parameters present with correct scopes</w:t>
            </w:r>
          </w:p>
        </w:tc>
        <w:tc>
          <w:tcPr>
            <w:tcW w:type="dxa" w:w="2620"/>
          </w:tcPr>
          <w:p>
            <w:r>
              <w:rPr>
                <w:sz w:val="17"/>
              </w:rPr>
            </w:r>
            <w:r>
              <w:rPr>
                <w:sz w:val="17"/>
              </w:rPr>
              <w:t>Parameter presence and scope audit</w:t>
            </w:r>
          </w:p>
        </w:tc>
        <w:tc>
          <w:tcPr>
            <w:tcW w:type="dxa" w:w="1305"/>
          </w:tcPr>
          <w:p>
            <w:r>
              <w:rPr>
                <w:sz w:val="17"/>
              </w:rPr>
            </w:r>
            <w:r>
              <w:rPr>
                <w:sz w:val="17"/>
              </w:rPr>
              <w:t>QA-QC Lead</w:t>
            </w:r>
          </w:p>
        </w:tc>
        <w:tc>
          <w:tcPr>
            <w:tcW w:type="dxa" w:w="3511"/>
          </w:tcPr>
          <w:p>
            <w:r>
              <w:rPr>
                <w:sz w:val="17"/>
              </w:rPr>
            </w:r>
            <w:r>
              <w:rPr>
                <w:sz w:val="17"/>
              </w:rPr>
              <w:t>Rebind via shared parameter file; log change</w:t>
            </w:r>
          </w:p>
        </w:tc>
      </w:tr>
      <w:tr>
        <w:trPr>
          <w:cantSplit/>
        </w:trPr>
        <w:tc>
          <w:tcPr>
            <w:tcW w:type="dxa" w:w="3030"/>
          </w:tcPr>
          <w:p>
            <w:r>
              <w:rPr>
                <w:sz w:val="17"/>
              </w:rPr>
            </w:r>
            <w:r>
              <w:rPr>
                <w:sz w:val="17"/>
              </w:rPr>
              <w:t>Graphics pass at target plot scales</w:t>
            </w:r>
          </w:p>
        </w:tc>
        <w:tc>
          <w:tcPr>
            <w:tcW w:type="dxa" w:w="2620"/>
          </w:tcPr>
          <w:p>
            <w:r>
              <w:rPr>
                <w:sz w:val="17"/>
              </w:rPr>
            </w:r>
            <w:r>
              <w:rPr>
                <w:sz w:val="17"/>
              </w:rPr>
              <w:t>Template print preview in DOC views</w:t>
            </w:r>
          </w:p>
        </w:tc>
        <w:tc>
          <w:tcPr>
            <w:tcW w:type="dxa" w:w="1305"/>
          </w:tcPr>
          <w:p>
            <w:r>
              <w:rPr>
                <w:sz w:val="17"/>
              </w:rPr>
            </w:r>
            <w:r>
              <w:rPr>
                <w:sz w:val="17"/>
              </w:rPr>
              <w:t>Discipline Lead</w:t>
            </w:r>
          </w:p>
        </w:tc>
        <w:tc>
          <w:tcPr>
            <w:tcW w:type="dxa" w:w="3511"/>
          </w:tcPr>
          <w:p>
            <w:r>
              <w:rPr>
                <w:sz w:val="17"/>
              </w:rPr>
            </w:r>
            <w:r>
              <w:rPr>
                <w:sz w:val="17"/>
              </w:rPr>
              <w:t>Adjust subcats or symbolic lines; avoid overrides</w:t>
            </w:r>
          </w:p>
        </w:tc>
      </w:tr>
      <w:tr>
        <w:trPr>
          <w:cantSplit/>
        </w:trPr>
        <w:tc>
          <w:tcPr>
            <w:tcW w:type="dxa" w:w="3030"/>
          </w:tcPr>
          <w:p>
            <w:r>
              <w:rPr>
                <w:sz w:val="17"/>
              </w:rPr>
            </w:r>
            <w:r>
              <w:rPr>
                <w:sz w:val="17"/>
              </w:rPr>
              <w:t>No rogue materials, subcategories, or ByElement overrides</w:t>
            </w:r>
          </w:p>
        </w:tc>
        <w:tc>
          <w:tcPr>
            <w:tcW w:type="dxa" w:w="2620"/>
          </w:tcPr>
          <w:p>
            <w:r>
              <w:rPr>
                <w:sz w:val="17"/>
              </w:rPr>
            </w:r>
            <w:r>
              <w:rPr>
                <w:sz w:val="17"/>
              </w:rPr>
              <w:t>Materials and subcat lint</w:t>
            </w:r>
          </w:p>
        </w:tc>
        <w:tc>
          <w:tcPr>
            <w:tcW w:type="dxa" w:w="1305"/>
          </w:tcPr>
          <w:p>
            <w:r>
              <w:rPr>
                <w:sz w:val="17"/>
              </w:rPr>
            </w:r>
            <w:r>
              <w:rPr>
                <w:sz w:val="17"/>
              </w:rPr>
              <w:t>QA-QC Lead</w:t>
            </w:r>
          </w:p>
        </w:tc>
        <w:tc>
          <w:tcPr>
            <w:tcW w:type="dxa" w:w="3511"/>
          </w:tcPr>
          <w:p>
            <w:r>
              <w:rPr>
                <w:sz w:val="17"/>
              </w:rPr>
            </w:r>
            <w:r>
              <w:rPr>
                <w:sz w:val="17"/>
              </w:rPr>
              <w:t>Normalize to approved set; purge only demonstrably unused, non-required content after a protected-copy comparison</w:t>
            </w:r>
          </w:p>
        </w:tc>
      </w:tr>
      <w:tr>
        <w:trPr>
          <w:cantSplit/>
        </w:trPr>
        <w:tc>
          <w:tcPr>
            <w:tcW w:type="dxa" w:w="3030"/>
          </w:tcPr>
          <w:p>
            <w:r>
              <w:rPr>
                <w:sz w:val="17"/>
              </w:rPr>
            </w:r>
            <w:r>
              <w:rPr>
                <w:sz w:val="17"/>
              </w:rPr>
              <w:t>MEP connectors propagate systems correctly (if applicable)</w:t>
            </w:r>
          </w:p>
        </w:tc>
        <w:tc>
          <w:tcPr>
            <w:tcW w:type="dxa" w:w="2620"/>
          </w:tcPr>
          <w:p>
            <w:r>
              <w:rPr>
                <w:sz w:val="17"/>
              </w:rPr>
            </w:r>
            <w:r>
              <w:rPr>
                <w:sz w:val="17"/>
              </w:rPr>
              <w:t>Sandbox system propagation test</w:t>
            </w:r>
          </w:p>
        </w:tc>
        <w:tc>
          <w:tcPr>
            <w:tcW w:type="dxa" w:w="1305"/>
          </w:tcPr>
          <w:p>
            <w:r>
              <w:rPr>
                <w:sz w:val="17"/>
              </w:rPr>
            </w:r>
            <w:r>
              <w:rPr>
                <w:sz w:val="17"/>
              </w:rPr>
              <w:t>Discipline Lead</w:t>
            </w:r>
          </w:p>
        </w:tc>
        <w:tc>
          <w:tcPr>
            <w:tcW w:type="dxa" w:w="3511"/>
          </w:tcPr>
          <w:p>
            <w:r>
              <w:rPr>
                <w:sz w:val="17"/>
              </w:rPr>
            </w:r>
            <w:r>
              <w:rPr>
                <w:sz w:val="17"/>
              </w:rPr>
              <w:t>Fix connector types and directions; retest</w:t>
            </w:r>
          </w:p>
        </w:tc>
      </w:tr>
      <w:tr>
        <w:trPr>
          <w:cantSplit/>
        </w:trPr>
        <w:tc>
          <w:tcPr>
            <w:tcW w:type="dxa" w:w="3030"/>
          </w:tcPr>
          <w:p>
            <w:r>
              <w:rPr>
                <w:sz w:val="17"/>
              </w:rPr>
            </w:r>
            <w:r>
              <w:rPr>
                <w:sz w:val="17"/>
              </w:rPr>
              <w:t>Published to correct library path with vNN note</w:t>
            </w:r>
          </w:p>
        </w:tc>
        <w:tc>
          <w:tcPr>
            <w:tcW w:type="dxa" w:w="2620"/>
          </w:tcPr>
          <w:p>
            <w:r>
              <w:rPr>
                <w:sz w:val="17"/>
              </w:rPr>
            </w:r>
            <w:r>
              <w:rPr>
                <w:sz w:val="17"/>
              </w:rPr>
              <w:t>Path and README check in 02-SHARED/​08-PROJECT-LIBRARY</w:t>
            </w:r>
          </w:p>
        </w:tc>
        <w:tc>
          <w:tcPr>
            <w:tcW w:type="dxa" w:w="1305"/>
          </w:tcPr>
          <w:p>
            <w:r>
              <w:rPr>
                <w:sz w:val="17"/>
              </w:rPr>
            </w:r>
            <w:r>
              <w:rPr>
                <w:sz w:val="17"/>
              </w:rPr>
              <w:t>Information Manager</w:t>
            </w:r>
          </w:p>
        </w:tc>
        <w:tc>
          <w:tcPr>
            <w:tcW w:type="dxa" w:w="3511"/>
          </w:tcPr>
          <w:p>
            <w:r>
              <w:rPr>
                <w:sz w:val="17"/>
              </w:rPr>
            </w:r>
            <w:r>
              <w:rPr>
                <w:sz w:val="17"/>
              </w:rPr>
              <w:t>Move and annotate change; update index</w:t>
            </w:r>
          </w:p>
        </w:tc>
      </w:tr>
    </w:tbl>
    <w:p/>
    <w:p>
      <w:pPr>
        <w:pStyle w:val="Heading3"/>
      </w:pPr>
      <w:r>
        <w:t>8.2.3 PROJECT INITIATION METHODOLOGY</w:t>
      </w:r>
    </w:p>
    <w:p>
      <w:pPr/>
      <w:r>
        <w:t>Objective</w:t>
      </w:r>
    </w:p>
    <w:p>
      <w:pPr/>
      <w:r>
        <w:t>Stand up a project BIM environment that is coordinates-correct, standards-compliant, and ready for modeling and documentation within five working days of kickoff.</w:t>
      </w:r>
    </w:p>
    <w:p>
      <w:pPr/>
      <w:r>
        <w:t>Scope of workstreams</w:t>
      </w:r>
    </w:p>
    <w:p>
      <w:pPr/>
      <w:r>
        <w:t>Governance setup: Roles, RACI, gate calendar and evidence (2.1, 2.2, 2.3)</w:t>
      </w:r>
    </w:p>
    <w:p>
      <w:pPr/>
      <w:r>
        <w:t>CDE scaffold: Folder tree per 12.1 with READMEs and permissions guardrails (12.1)</w:t>
      </w:r>
    </w:p>
    <w:p>
      <w:pPr/>
      <w:r>
        <w:t>Technical baseline: Coordinates, Start View, templates, parameters, worksets (4.9, 4.10–4.15, 3.2, 3.3)</w:t>
      </w:r>
    </w:p>
    <w:p>
      <w:pPr/>
      <w:r>
        <w:t>Communication: Channels, SLAs, decision and action logging (8.1.2)</w:t>
      </w:r>
    </w:p>
    <w:p>
      <w:pPr/>
      <w:r>
        <w:t>Timeline and checkpoints (T0 = kickoff)</w:t>
      </w:r>
    </w:p>
    <w:p>
      <w:pPr/>
      <w:r>
        <w:t>T0−5 .. T0−3: Codes and CDE</w:t>
      </w:r>
    </w:p>
    <w:p>
      <w:pPr/>
      <w:r>
        <w:t>Confirm ORG-PROJ tokens (3.1). Create CDE skeleton (12.1). Draft READMEs and default permissions</w:t>
      </w:r>
    </w:p>
    <w:p>
      <w:pPr/>
      <w:r>
        <w:t>T0−3 .. T0−2: Coordinates and templates</w:t>
      </w:r>
    </w:p>
    <w:p>
      <w:pPr/>
      <w:r>
        <w:t>Establish Survey Point, Base Point, True North from the recorded project CRS (5; BBM-STD-86). Load View Templates, Title Blocks, Legends</w:t>
      </w:r>
    </w:p>
    <w:p>
      <w:pPr/>
      <w:r>
        <w:t>T0−2 .. T0−1: Parameters and partitioning</w:t>
      </w:r>
    </w:p>
    <w:p>
      <w:pPr/>
      <w:r>
        <w:t>Bind core parameters (3.2). Create discipline worksets and Model Notes for partition basis (3.3)</w:t>
      </w:r>
    </w:p>
    <w:p>
      <w:pPr/>
      <w:r>
        <w:t>T0: Kickoff and INIT PACK</w:t>
      </w:r>
    </w:p>
    <w:p>
      <w:pPr/>
      <w:r>
        <w:t>Publish INIT PACK to SHARED. Record audits and decisions. Set Start View default (4.9)</w:t>
      </w:r>
    </w:p>
    <w:p>
      <w:pPr/>
      <w:r>
        <w:t>T0+5: Validation</w:t>
      </w:r>
    </w:p>
    <w:p>
      <w:pPr/>
      <w:r>
        <w:t>QA-QC runs naming, template, parameter, and Start View checks. Capture evidence to RECORD</w:t>
      </w:r>
    </w:p>
    <w:p>
      <w:pPr/>
      <w:r>
        <w:t>Roles and responsibilities</w:t>
      </w:r>
    </w:p>
    <w:p>
      <w:pPr/>
      <w:r>
        <w:t>Information Manager: CDE scaffold, naming governance, permissions, READMEs</w:t>
      </w:r>
    </w:p>
    <w:p>
      <w:pPr/>
      <w:r>
        <w:t>BIM Coordinator: Coordinates, Start View, template lock, clash presets</w:t>
      </w:r>
    </w:p>
    <w:p>
      <w:pPr/>
      <w:r>
        <w:t>Discipline Leads: Worksets, partition strategy, initial checks, schedule seeds</w:t>
      </w:r>
    </w:p>
    <w:p>
      <w:pPr/>
      <w:r>
        <w:t>LAP: Sign-off on readiness to start production</w:t>
      </w:r>
    </w:p>
    <w:p>
      <w:pPr/>
      <w:r>
        <w:t>Artifacts and locations</w:t>
      </w:r>
    </w:p>
    <w:p>
      <w:pPr/>
      <w:r>
        <w:t>INIT PACK: 02-SHARED/07-RECORD with audits and screenshots</w:t>
      </w:r>
    </w:p>
    <w:p>
      <w:pPr/>
      <w:r>
        <w:t>CDE README set: Each top folder with exception fields (12.1 D)</w:t>
      </w:r>
    </w:p>
    <w:p>
      <w:pPr/>
      <w:r>
        <w:t>Parameter map and shared parameters: STANDARDS under SHARED</w:t>
      </w:r>
    </w:p>
    <w:p>
      <w:pPr/>
      <w:r>
        <w:t>Model seeds: 00-PIM/01-WIP/&lt;NN-DATA-TYPE&gt;/&lt;NN-DISCIPLINE&gt; per 12.1</w:t>
      </w:r>
    </w:p>
    <w:p>
      <w:pPr/>
      <w:r>
        <w:t>Quality controls and acceptance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034"/>
        <w:gridCol w:w="2432"/>
        <w:gridCol w:w="1873"/>
        <w:gridCol w:w="2127"/>
      </w:tblGrid>
      <w:tr>
        <w:trPr>
          <w:cantSplit/>
          <w:tblHeader/>
        </w:trPr>
        <w:tc>
          <w:tcPr>
            <w:tcW w:type="dxa" w:w="4034"/>
            <w:shd w:val="clear" w:color="auto" w:fill="111113"/>
          </w:tcPr>
          <w:p>
            <w:r>
              <w:rPr>
                <w:b/>
                <w:color w:val="FFFFFF"/>
                <w:sz w:val="17"/>
              </w:rPr>
            </w:r>
            <w:r>
              <w:rPr>
                <w:b/>
                <w:color w:val="FFFFFF"/>
                <w:sz w:val="17"/>
              </w:rPr>
              <w:t>Acceptance criteria</w:t>
            </w:r>
          </w:p>
        </w:tc>
        <w:tc>
          <w:tcPr>
            <w:tcW w:type="dxa" w:w="2432"/>
            <w:shd w:val="clear" w:color="auto" w:fill="111113"/>
          </w:tcPr>
          <w:p>
            <w:r>
              <w:rPr>
                <w:b/>
                <w:color w:val="FFFFFF"/>
                <w:sz w:val="17"/>
              </w:rPr>
            </w:r>
            <w:r>
              <w:rPr>
                <w:b/>
                <w:color w:val="FFFFFF"/>
                <w:sz w:val="17"/>
              </w:rPr>
              <w:t>Quality checks</w:t>
            </w:r>
          </w:p>
        </w:tc>
        <w:tc>
          <w:tcPr>
            <w:tcW w:type="dxa" w:w="1873"/>
            <w:shd w:val="clear" w:color="auto" w:fill="111113"/>
          </w:tcPr>
          <w:p>
            <w:r>
              <w:rPr>
                <w:b/>
                <w:color w:val="FFFFFF"/>
                <w:sz w:val="17"/>
              </w:rPr>
            </w:r>
            <w:r>
              <w:rPr>
                <w:b/>
                <w:color w:val="FFFFFF"/>
                <w:sz w:val="17"/>
              </w:rPr>
              <w:t>Owner</w:t>
            </w:r>
          </w:p>
        </w:tc>
        <w:tc>
          <w:tcPr>
            <w:tcW w:type="dxa" w:w="2127"/>
            <w:shd w:val="clear" w:color="auto" w:fill="111113"/>
          </w:tcPr>
          <w:p>
            <w:r>
              <w:rPr>
                <w:b/>
                <w:color w:val="FFFFFF"/>
                <w:sz w:val="17"/>
              </w:rPr>
            </w:r>
            <w:r>
              <w:rPr>
                <w:b/>
                <w:color w:val="FFFFFF"/>
                <w:sz w:val="17"/>
              </w:rPr>
              <w:t>Evidence</w:t>
            </w:r>
          </w:p>
        </w:tc>
      </w:tr>
      <w:tr>
        <w:trPr>
          <w:cantSplit/>
        </w:trPr>
        <w:tc>
          <w:tcPr>
            <w:tcW w:type="dxa" w:w="4034"/>
          </w:tcPr>
          <w:p>
            <w:r>
              <w:rPr>
                <w:sz w:val="17"/>
              </w:rPr>
            </w:r>
            <w:r>
              <w:rPr>
                <w:sz w:val="17"/>
              </w:rPr>
              <w:t>Shared coordinates established and documented</w:t>
            </w:r>
          </w:p>
        </w:tc>
        <w:tc>
          <w:tcPr>
            <w:tcW w:type="dxa" w:w="2432"/>
          </w:tcPr>
          <w:p>
            <w:r>
              <w:rPr>
                <w:sz w:val="17"/>
              </w:rPr>
            </w:r>
            <w:r>
              <w:rPr>
                <w:sz w:val="17"/>
              </w:rPr>
              <w:t>Start View audit panel</w:t>
            </w:r>
          </w:p>
        </w:tc>
        <w:tc>
          <w:tcPr>
            <w:tcW w:type="dxa" w:w="1873"/>
          </w:tcPr>
          <w:p>
            <w:r>
              <w:rPr>
                <w:sz w:val="17"/>
              </w:rPr>
            </w:r>
            <w:r>
              <w:rPr>
                <w:sz w:val="17"/>
              </w:rPr>
              <w:t>BIM Coordinator</w:t>
            </w:r>
          </w:p>
        </w:tc>
        <w:tc>
          <w:tcPr>
            <w:tcW w:type="dxa" w:w="2127"/>
          </w:tcPr>
          <w:p>
            <w:r>
              <w:rPr>
                <w:sz w:val="17"/>
              </w:rPr>
            </w:r>
            <w:r>
              <w:rPr>
                <w:sz w:val="17"/>
              </w:rPr>
              <w:t>Screenshot in INIT PACK</w:t>
            </w:r>
          </w:p>
        </w:tc>
      </w:tr>
      <w:tr>
        <w:trPr>
          <w:cantSplit/>
        </w:trPr>
        <w:tc>
          <w:tcPr>
            <w:tcW w:type="dxa" w:w="4034"/>
          </w:tcPr>
          <w:p>
            <w:r>
              <w:rPr>
                <w:sz w:val="17"/>
              </w:rPr>
            </w:r>
            <w:r>
              <w:rPr>
                <w:sz w:val="17"/>
              </w:rPr>
              <w:t>Templates loaded and locked for DOC views</w:t>
            </w:r>
          </w:p>
        </w:tc>
        <w:tc>
          <w:tcPr>
            <w:tcW w:type="dxa" w:w="2432"/>
          </w:tcPr>
          <w:p>
            <w:r>
              <w:rPr>
                <w:sz w:val="17"/>
              </w:rPr>
            </w:r>
            <w:r>
              <w:rPr>
                <w:sz w:val="17"/>
              </w:rPr>
              <w:t>Template usage and lock scan</w:t>
            </w:r>
          </w:p>
        </w:tc>
        <w:tc>
          <w:tcPr>
            <w:tcW w:type="dxa" w:w="1873"/>
          </w:tcPr>
          <w:p>
            <w:r>
              <w:rPr>
                <w:sz w:val="17"/>
              </w:rPr>
            </w:r>
            <w:r>
              <w:rPr>
                <w:sz w:val="17"/>
              </w:rPr>
              <w:t>Information Manager</w:t>
            </w:r>
          </w:p>
        </w:tc>
        <w:tc>
          <w:tcPr>
            <w:tcW w:type="dxa" w:w="2127"/>
          </w:tcPr>
          <w:p>
            <w:r>
              <w:rPr>
                <w:sz w:val="17"/>
              </w:rPr>
            </w:r>
            <w:r>
              <w:rPr>
                <w:sz w:val="17"/>
              </w:rPr>
              <w:t>Report in INIT PACK</w:t>
            </w:r>
          </w:p>
        </w:tc>
      </w:tr>
      <w:tr>
        <w:trPr>
          <w:cantSplit/>
        </w:trPr>
        <w:tc>
          <w:tcPr>
            <w:tcW w:type="dxa" w:w="4034"/>
          </w:tcPr>
          <w:p>
            <w:r>
              <w:rPr>
                <w:sz w:val="17"/>
              </w:rPr>
            </w:r>
            <w:r>
              <w:rPr>
                <w:sz w:val="17"/>
              </w:rPr>
              <w:t>Core parameters bound per 3.2</w:t>
            </w:r>
          </w:p>
        </w:tc>
        <w:tc>
          <w:tcPr>
            <w:tcW w:type="dxa" w:w="2432"/>
          </w:tcPr>
          <w:p>
            <w:r>
              <w:rPr>
                <w:sz w:val="17"/>
              </w:rPr>
            </w:r>
            <w:r>
              <w:rPr>
                <w:sz w:val="17"/>
              </w:rPr>
              <w:t>Parameter presence report</w:t>
            </w:r>
          </w:p>
        </w:tc>
        <w:tc>
          <w:tcPr>
            <w:tcW w:type="dxa" w:w="1873"/>
          </w:tcPr>
          <w:p>
            <w:r>
              <w:rPr>
                <w:sz w:val="17"/>
              </w:rPr>
            </w:r>
            <w:r>
              <w:rPr>
                <w:sz w:val="17"/>
              </w:rPr>
              <w:t>Information Manager</w:t>
            </w:r>
          </w:p>
        </w:tc>
        <w:tc>
          <w:tcPr>
            <w:tcW w:type="dxa" w:w="2127"/>
          </w:tcPr>
          <w:p>
            <w:r>
              <w:rPr>
                <w:sz w:val="17"/>
              </w:rPr>
            </w:r>
            <w:r>
              <w:rPr>
                <w:sz w:val="17"/>
              </w:rPr>
              <w:t>CSV/​PDF in INIT PACK</w:t>
            </w:r>
          </w:p>
        </w:tc>
      </w:tr>
      <w:tr>
        <w:trPr>
          <w:cantSplit/>
        </w:trPr>
        <w:tc>
          <w:tcPr>
            <w:tcW w:type="dxa" w:w="4034"/>
          </w:tcPr>
          <w:p>
            <w:r>
              <w:rPr>
                <w:sz w:val="17"/>
              </w:rPr>
            </w:r>
            <w:r>
              <w:rPr>
                <w:sz w:val="17"/>
              </w:rPr>
              <w:t>Worksets created, owners assigned, 0 on Workset1</w:t>
            </w:r>
          </w:p>
        </w:tc>
        <w:tc>
          <w:tcPr>
            <w:tcW w:type="dxa" w:w="2432"/>
          </w:tcPr>
          <w:p>
            <w:r>
              <w:rPr>
                <w:sz w:val="17"/>
              </w:rPr>
            </w:r>
            <w:r>
              <w:rPr>
                <w:sz w:val="17"/>
              </w:rPr>
              <w:t>Workset list + schedule check</w:t>
            </w:r>
          </w:p>
        </w:tc>
        <w:tc>
          <w:tcPr>
            <w:tcW w:type="dxa" w:w="1873"/>
          </w:tcPr>
          <w:p>
            <w:r>
              <w:rPr>
                <w:sz w:val="17"/>
              </w:rPr>
            </w:r>
            <w:r>
              <w:rPr>
                <w:sz w:val="17"/>
              </w:rPr>
              <w:t>Discipline Leads</w:t>
            </w:r>
          </w:p>
        </w:tc>
        <w:tc>
          <w:tcPr>
            <w:tcW w:type="dxa" w:w="2127"/>
          </w:tcPr>
          <w:p>
            <w:r>
              <w:rPr>
                <w:sz w:val="17"/>
              </w:rPr>
            </w:r>
            <w:r>
              <w:rPr>
                <w:sz w:val="17"/>
              </w:rPr>
              <w:t>Checklist in INIT PACK</w:t>
            </w:r>
          </w:p>
        </w:tc>
      </w:tr>
      <w:tr>
        <w:trPr>
          <w:cantSplit/>
        </w:trPr>
        <w:tc>
          <w:tcPr>
            <w:tcW w:type="dxa" w:w="4034"/>
          </w:tcPr>
          <w:p>
            <w:r>
              <w:rPr>
                <w:sz w:val="17"/>
              </w:rPr>
            </w:r>
            <w:r>
              <w:rPr>
                <w:sz w:val="17"/>
              </w:rPr>
              <w:t>CDE mirrors 2.4. READMEs present where exceptions exist</w:t>
            </w:r>
          </w:p>
        </w:tc>
        <w:tc>
          <w:tcPr>
            <w:tcW w:type="dxa" w:w="2432"/>
          </w:tcPr>
          <w:p>
            <w:r>
              <w:rPr>
                <w:sz w:val="17"/>
              </w:rPr>
            </w:r>
            <w:r>
              <w:rPr>
                <w:sz w:val="17"/>
              </w:rPr>
              <w:t>Tree diff vs canonical outline</w:t>
            </w:r>
          </w:p>
        </w:tc>
        <w:tc>
          <w:tcPr>
            <w:tcW w:type="dxa" w:w="1873"/>
          </w:tcPr>
          <w:p>
            <w:r>
              <w:rPr>
                <w:sz w:val="17"/>
              </w:rPr>
            </w:r>
            <w:r>
              <w:rPr>
                <w:sz w:val="17"/>
              </w:rPr>
              <w:t>Information Manager</w:t>
            </w:r>
          </w:p>
        </w:tc>
        <w:tc>
          <w:tcPr>
            <w:tcW w:type="dxa" w:w="2127"/>
          </w:tcPr>
          <w:p>
            <w:r>
              <w:rPr>
                <w:sz w:val="17"/>
              </w:rPr>
            </w:r>
            <w:r>
              <w:rPr>
                <w:sz w:val="17"/>
              </w:rPr>
              <w:t>Diff report in RECORD</w:t>
            </w:r>
          </w:p>
        </w:tc>
      </w:tr>
    </w:tbl>
    <w:p/>
    <w:p>
      <w:pPr/>
      <w:r>
        <w:t>Risks and mitigations</w:t>
      </w:r>
    </w:p>
    <w:p>
      <w:pPr/>
      <w:r>
        <w:t>Late coordinates: use labelled provisional local coordinates only for an approved limited purpose. Coordinate owner controls the later transform; test affected links/exports and record the change before survey/construction reliance.</w:t>
      </w:r>
    </w:p>
    <w:p>
      <w:pPr/>
      <w:r>
        <w:t>Template drift: Lock templates and prohibit per-view overrides at issue (4.12)</w:t>
      </w:r>
    </w:p>
    <w:p>
      <w:pPr/>
      <w:r>
        <w:t>Parameter collisions: Single source of truth for shared parameters. Prefix discipline-specific variants</w:t>
      </w:r>
    </w:p>
    <w:p>
      <w:pPr/>
      <w:r>
        <w:t>Handover to production</w:t>
      </w:r>
    </w:p>
    <w:p>
      <w:pPr/>
      <w:r>
        <w:t>LAP signs readiness. Teams may commence modeling only after INIT PACK acceptance and all critical checks pass</w:t>
      </w:r>
    </w:p>
    <w:p>
      <w:pPr/>
      <w:r>
        <w:t>Any deltas after T0+5 are tracked as 01-STANDARD-UPDATES with rationale and links to impacted sections</w:t>
      </w:r>
    </w:p>
    <w:p>
      <w:pPr>
        <w:pStyle w:val="Heading1"/>
      </w:pPr>
      <w:r>
        <w:t>9 QUALITY STANDARD</w:t>
      </w:r>
    </w:p>
    <w:p>
      <w:pPr>
        <w:pStyle w:val="Heading2"/>
      </w:pPr>
      <w:r>
        <w:t>9.1 QUALITY MANAGEMENT</w:t>
      </w:r>
    </w:p>
    <w:p>
      <w:pPr/>
      <w:r>
        <w:t>Purpose</w:t>
      </w:r>
    </w:p>
    <w:p>
      <w:pPr/>
      <w:r>
        <w:t xml:space="preserve">Define how information quality is planned, executed, and governed across the project so information is reliable at every gate. This section is the BIM and information part of the office quality management system: the office policy, scope, process map and RACI are in </w:t>
      </w:r>
      <w:r>
        <w:rPr>
          <w:color w:val="9A7B45"/>
          <w:u w:val="single"/>
        </w:rPr>
        <w:t>BBM-STD-96</w:t>
      </w:r>
      <w:r>
        <w:t xml:space="preserve">, the office procedures (proposals, project quality plan, design review per discipline, coordination, specifications, sustainability, authority submissions, supervision, document control, nonconformity and lessons, client feedback, audit, management review, subconsultants) are </w:t>
      </w:r>
      <w:r>
        <w:rPr>
          <w:color w:val="9A7B45"/>
          <w:u w:val="single"/>
        </w:rPr>
        <w:t>BBM-STD-97</w:t>
      </w:r>
      <w:r>
        <w:t xml:space="preserve"> QP-01 to QP-15, and the quality objectives are the KPIs of </w:t>
      </w:r>
      <w:r>
        <w:rPr>
          <w:color w:val="9A7B45"/>
          <w:u w:val="single"/>
        </w:rPr>
        <w:t>BBM-STD-98</w:t>
      </w:r>
      <w:r>
        <w:t>.</w:t>
      </w:r>
    </w:p>
    <w:p>
      <w:pPr/>
      <w:r>
        <w:t>Roles and cadence</w:t>
      </w:r>
    </w:p>
    <w:p>
      <w:pPr/>
      <w:r>
        <w:t>BIM Manager: Owns the office quality framework and its continuous improvement (O-DEC-009). Information Manager: Runs it per project, including audits and corrective actions</w:t>
      </w:r>
    </w:p>
    <w:p>
      <w:pPr/>
      <w:r>
        <w:t>QA-QC Lead: Runs checks, compiles reports, tracks corrective actions</w:t>
      </w:r>
    </w:p>
    <w:p>
      <w:pPr/>
      <w:r>
        <w:t>Discipline Leads: Ensure conformance within discipline models and sheets</w:t>
      </w:r>
    </w:p>
    <w:p>
      <w:pPr/>
      <w:r>
        <w:t>BIM Coordinator: Automates checks, aggregates results, and monitors trends</w:t>
      </w:r>
    </w:p>
    <w:p>
      <w:pPr/>
      <w:r>
        <w:t xml:space="preserve">Practice director: Owns the office QMS and chairs the management review (BBM-STD-96 §4; </w:t>
      </w:r>
      <w:r>
        <w:rPr>
          <w:color w:val="9A7B45"/>
          <w:u w:val="single"/>
        </w:rPr>
        <w:t>O-DEC-150</w:t>
      </w:r>
      <w:r>
        <w:t>). The BIM Manager's framework above is the information-quality part of it.</w:t>
      </w:r>
    </w:p>
    <w:p>
      <w:pPr/>
      <w:r>
        <w:t>Cadence: Weekly during active design. Pre-gate intensives at T−3, T−2, T−1, and T day</w:t>
      </w:r>
    </w:p>
    <w:p>
      <w:pPr/>
      <w:r>
        <w:t>Plan–Do–Check–Act (PDCA)</w:t>
      </w:r>
    </w:p>
    <w:p>
      <w:pPr/>
      <w:r>
        <w:t>Plan: Define thresholds, acceptance criteria, and checklists per section 2.3 and 7.3</w:t>
      </w:r>
    </w:p>
    <w:p>
      <w:pPr/>
      <w:r>
        <w:t>Do: Apply templates, naming, parameters, and workflows per sections 3–8</w:t>
      </w:r>
    </w:p>
    <w:p>
      <w:pPr/>
      <w:r>
        <w:t>Check: Run automated audits and targeted reviews; log deltas and owners</w:t>
      </w:r>
    </w:p>
    <w:p>
      <w:pPr/>
      <w:r>
        <w:t>Act: Correct issues, update standards if systemic, record 01-STANDARD-UPDATES</w:t>
      </w:r>
    </w:p>
    <w:p>
      <w:pPr/>
      <w:r>
        <w:t>Quality artifacts</w:t>
      </w:r>
    </w:p>
    <w:p>
      <w:pPr/>
      <w:r>
        <w:t>Quality Plan excerpt in BEP referencing this manual</w:t>
      </w:r>
    </w:p>
    <w:p>
      <w:pPr/>
      <w:r>
        <w:t>KPI dashboard: model health, data completeness, clash trends, template adherence</w:t>
      </w:r>
    </w:p>
    <w:p>
      <w:pPr/>
      <w:r>
        <w:t>Audit library: scripts, filters, and checklists versioned in SHARED/05-DOCUMENTS/02-STANDARDS</w:t>
      </w:r>
    </w:p>
    <w:p>
      <w:pPr/>
      <w:r>
        <w:t>Office checklists: BABOOM-BIM-STANDARD\07-QA-QC, one workbook per area: 01-BIM (BBM-STD-68-CHECKLIST), 02-DESIGN-REVIEW, 03-PROPOSALS, 04-SPECIFICATIONS, 05-SUSTAINABILITY, 06-SUBMISSIONS, 07-SUPERVISION, 08-DOCUMENT-CONTROL, 09-AUDIT (with the BBM-STD-98 KPI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818"/>
        <w:gridCol w:w="2818"/>
        <w:gridCol w:w="1707"/>
        <w:gridCol w:w="3124"/>
      </w:tblGrid>
      <w:tr>
        <w:trPr>
          <w:cantSplit/>
          <w:tblHeader/>
        </w:trPr>
        <w:tc>
          <w:tcPr>
            <w:tcW w:type="dxa" w:w="2818"/>
            <w:shd w:val="clear" w:color="auto" w:fill="111113"/>
          </w:tcPr>
          <w:p>
            <w:r>
              <w:rPr>
                <w:b/>
                <w:color w:val="FFFFFF"/>
                <w:sz w:val="17"/>
              </w:rPr>
            </w:r>
            <w:r>
              <w:rPr>
                <w:b/>
                <w:color w:val="FFFFFF"/>
                <w:sz w:val="17"/>
              </w:rPr>
              <w:t>Acceptance criteria</w:t>
            </w:r>
          </w:p>
        </w:tc>
        <w:tc>
          <w:tcPr>
            <w:tcW w:type="dxa" w:w="2818"/>
            <w:shd w:val="clear" w:color="auto" w:fill="111113"/>
          </w:tcPr>
          <w:p>
            <w:r>
              <w:rPr>
                <w:b/>
                <w:color w:val="FFFFFF"/>
                <w:sz w:val="17"/>
              </w:rPr>
            </w:r>
            <w:r>
              <w:rPr>
                <w:b/>
                <w:color w:val="FFFFFF"/>
                <w:sz w:val="17"/>
              </w:rPr>
              <w:t>Quality checks</w:t>
            </w:r>
          </w:p>
        </w:tc>
        <w:tc>
          <w:tcPr>
            <w:tcW w:type="dxa" w:w="1707"/>
            <w:shd w:val="clear" w:color="auto" w:fill="111113"/>
          </w:tcPr>
          <w:p>
            <w:r>
              <w:rPr>
                <w:b/>
                <w:color w:val="FFFFFF"/>
                <w:sz w:val="17"/>
              </w:rPr>
            </w:r>
            <w:r>
              <w:rPr>
                <w:b/>
                <w:color w:val="FFFFFF"/>
                <w:sz w:val="17"/>
              </w:rPr>
              <w:t>Owner</w:t>
            </w:r>
          </w:p>
        </w:tc>
        <w:tc>
          <w:tcPr>
            <w:tcW w:type="dxa" w:w="3124"/>
            <w:shd w:val="clear" w:color="auto" w:fill="111113"/>
          </w:tcPr>
          <w:p>
            <w:r>
              <w:rPr>
                <w:b/>
                <w:color w:val="FFFFFF"/>
                <w:sz w:val="17"/>
              </w:rPr>
            </w:r>
            <w:r>
              <w:rPr>
                <w:b/>
                <w:color w:val="FFFFFF"/>
                <w:sz w:val="17"/>
              </w:rPr>
              <w:t>Evidence</w:t>
            </w:r>
          </w:p>
        </w:tc>
      </w:tr>
      <w:tr>
        <w:trPr>
          <w:cantSplit/>
        </w:trPr>
        <w:tc>
          <w:tcPr>
            <w:tcW w:type="dxa" w:w="2818"/>
          </w:tcPr>
          <w:p>
            <w:r>
              <w:rPr>
                <w:sz w:val="17"/>
              </w:rPr>
            </w:r>
            <w:r>
              <w:rPr>
                <w:sz w:val="17"/>
              </w:rPr>
              <w:t>KPI dashboard updated weekly</w:t>
            </w:r>
          </w:p>
        </w:tc>
        <w:tc>
          <w:tcPr>
            <w:tcW w:type="dxa" w:w="2818"/>
          </w:tcPr>
          <w:p>
            <w:r>
              <w:rPr>
                <w:sz w:val="17"/>
              </w:rPr>
            </w:r>
            <w:r>
              <w:rPr>
                <w:sz w:val="17"/>
              </w:rPr>
              <w:t>Last-updated timestamp within 7 days</w:t>
            </w:r>
          </w:p>
        </w:tc>
        <w:tc>
          <w:tcPr>
            <w:tcW w:type="dxa" w:w="1707"/>
          </w:tcPr>
          <w:p>
            <w:r>
              <w:rPr>
                <w:sz w:val="17"/>
              </w:rPr>
            </w:r>
            <w:r>
              <w:rPr>
                <w:sz w:val="17"/>
              </w:rPr>
              <w:t>BIM Coordinator</w:t>
            </w:r>
          </w:p>
        </w:tc>
        <w:tc>
          <w:tcPr>
            <w:tcW w:type="dxa" w:w="3124"/>
          </w:tcPr>
          <w:p>
            <w:r>
              <w:rPr>
                <w:sz w:val="17"/>
              </w:rPr>
            </w:r>
            <w:r>
              <w:rPr>
                <w:sz w:val="17"/>
              </w:rPr>
              <w:t>Screenshot in 06-REPORTS/​00-PLANNING</w:t>
            </w:r>
          </w:p>
        </w:tc>
      </w:tr>
      <w:tr>
        <w:trPr>
          <w:cantSplit/>
        </w:trPr>
        <w:tc>
          <w:tcPr>
            <w:tcW w:type="dxa" w:w="2818"/>
          </w:tcPr>
          <w:p>
            <w:r>
              <w:rPr>
                <w:sz w:val="17"/>
              </w:rPr>
            </w:r>
            <w:r>
              <w:rPr>
                <w:sz w:val="17"/>
              </w:rPr>
              <w:t>Quality Plan aligned to gates</w:t>
            </w:r>
          </w:p>
        </w:tc>
        <w:tc>
          <w:tcPr>
            <w:tcW w:type="dxa" w:w="2818"/>
          </w:tcPr>
          <w:p>
            <w:r>
              <w:rPr>
                <w:sz w:val="17"/>
              </w:rPr>
            </w:r>
            <w:r>
              <w:rPr>
                <w:sz w:val="17"/>
              </w:rPr>
              <w:t>Cross-check vs 2.3 gate evidence list</w:t>
            </w:r>
          </w:p>
        </w:tc>
        <w:tc>
          <w:tcPr>
            <w:tcW w:type="dxa" w:w="1707"/>
          </w:tcPr>
          <w:p>
            <w:r>
              <w:rPr>
                <w:sz w:val="17"/>
              </w:rPr>
            </w:r>
            <w:r>
              <w:rPr>
                <w:sz w:val="17"/>
              </w:rPr>
              <w:t>Information Manager</w:t>
            </w:r>
          </w:p>
        </w:tc>
        <w:tc>
          <w:tcPr>
            <w:tcW w:type="dxa" w:w="3124"/>
          </w:tcPr>
          <w:p>
            <w:r>
              <w:rPr>
                <w:sz w:val="17"/>
              </w:rPr>
            </w:r>
            <w:r>
              <w:rPr>
                <w:sz w:val="17"/>
              </w:rPr>
              <w:t>Plan PDF in 02-STANDARDS</w:t>
            </w:r>
          </w:p>
        </w:tc>
      </w:tr>
      <w:tr>
        <w:trPr>
          <w:cantSplit/>
        </w:trPr>
        <w:tc>
          <w:tcPr>
            <w:tcW w:type="dxa" w:w="2818"/>
          </w:tcPr>
          <w:p>
            <w:r>
              <w:rPr>
                <w:sz w:val="17"/>
              </w:rPr>
            </w:r>
            <w:r>
              <w:rPr>
                <w:sz w:val="17"/>
              </w:rPr>
              <w:t>Findings assigned with due dates</w:t>
            </w:r>
          </w:p>
        </w:tc>
        <w:tc>
          <w:tcPr>
            <w:tcW w:type="dxa" w:w="2818"/>
          </w:tcPr>
          <w:p>
            <w:r>
              <w:rPr>
                <w:sz w:val="17"/>
              </w:rPr>
            </w:r>
            <w:r>
              <w:rPr>
                <w:sz w:val="17"/>
              </w:rPr>
              <w:t>Action register completeness</w:t>
            </w:r>
          </w:p>
        </w:tc>
        <w:tc>
          <w:tcPr>
            <w:tcW w:type="dxa" w:w="1707"/>
          </w:tcPr>
          <w:p>
            <w:r>
              <w:rPr>
                <w:sz w:val="17"/>
              </w:rPr>
            </w:r>
            <w:r>
              <w:rPr>
                <w:sz w:val="17"/>
              </w:rPr>
              <w:t>QA-QC Lead</w:t>
            </w:r>
          </w:p>
        </w:tc>
        <w:tc>
          <w:tcPr>
            <w:tcW w:type="dxa" w:w="3124"/>
          </w:tcPr>
          <w:p>
            <w:r>
              <w:rPr>
                <w:sz w:val="17"/>
              </w:rPr>
            </w:r>
            <w:r>
              <w:rPr>
                <w:sz w:val="17"/>
              </w:rPr>
              <w:t>00-PROJECT-LOG items with owners</w:t>
            </w:r>
          </w:p>
        </w:tc>
      </w:tr>
    </w:tbl>
    <w:p/>
    <w:p>
      <w:pPr>
        <w:pStyle w:val="Heading3"/>
      </w:pPr>
      <w:r>
        <w:t>9.1.1 OFFICE QMS AND IMPROVEMENT RECORD</w:t>
      </w:r>
    </w:p>
    <w:p>
      <w:pPr/>
      <w:r>
        <w:rPr>
          <w:b/>
        </w:rPr>
        <w:t>Decision (BIM Manager, 2026-10-14):</w:t>
      </w:r>
      <w:r>
        <w:t xml:space="preserve"> Review QMS performance quarterly and at material incident using actual controlled procedure IDs and evidence for overdue actions, rejected exchanges, recurring defects, security incidents and correction effectiveness. Basis: Management review tests effectiveness rather than attendance P04 (</w:t>
      </w:r>
      <w:r>
        <w:rPr>
          <w:color w:val="9A7B45"/>
          <w:u w:val="single"/>
        </w:rPr>
        <w:t>O-DEC-043</w:t>
      </w:r>
      <w:r>
        <w:t>).</w:t>
      </w:r>
    </w:p>
    <w:p>
      <w:pPr/>
      <w:r>
        <w:t>QMS procedures: document control BBM-STD-97 QP-10; subconsultants and suppliers QP-15; competence BBM-STD-82; nonconformity, corrective action and lessons learned QP-11; internal audit QP-13; management review QP-14 (quarterly and at material incident, as decided above). Inputs per ISO 9001:2026 9.3.2 include changes in the needs and expectations of interested parties.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51"/>
        <w:gridCol w:w="1614"/>
        <w:gridCol w:w="2167"/>
        <w:gridCol w:w="899"/>
        <w:gridCol w:w="1853"/>
        <w:gridCol w:w="2481"/>
      </w:tblGrid>
      <w:tr>
        <w:trPr>
          <w:cantSplit/>
          <w:tblHeader/>
        </w:trPr>
        <w:tc>
          <w:tcPr>
            <w:tcW w:type="dxa" w:w="1451"/>
            <w:shd w:val="clear" w:color="auto" w:fill="111113"/>
          </w:tcPr>
          <w:p>
            <w:r>
              <w:rPr>
                <w:b/>
                <w:color w:val="FFFFFF"/>
                <w:sz w:val="17"/>
              </w:rPr>
            </w:r>
            <w:r>
              <w:rPr>
                <w:b/>
                <w:color w:val="FFFFFF"/>
                <w:sz w:val="17"/>
              </w:rPr>
              <w:t>Finding ID /​ source</w:t>
            </w:r>
          </w:p>
        </w:tc>
        <w:tc>
          <w:tcPr>
            <w:tcW w:type="dxa" w:w="1614"/>
            <w:shd w:val="clear" w:color="auto" w:fill="111113"/>
          </w:tcPr>
          <w:p>
            <w:r>
              <w:rPr>
                <w:b/>
                <w:color w:val="FFFFFF"/>
                <w:sz w:val="17"/>
              </w:rPr>
            </w:r>
            <w:r>
              <w:rPr>
                <w:b/>
                <w:color w:val="FFFFFF"/>
                <w:sz w:val="17"/>
              </w:rPr>
              <w:t>Requirement /​ affected revisions</w:t>
            </w:r>
          </w:p>
        </w:tc>
        <w:tc>
          <w:tcPr>
            <w:tcW w:type="dxa" w:w="2167"/>
            <w:shd w:val="clear" w:color="auto" w:fill="111113"/>
          </w:tcPr>
          <w:p>
            <w:r>
              <w:rPr>
                <w:b/>
                <w:color w:val="FFFFFF"/>
                <w:sz w:val="17"/>
              </w:rPr>
            </w:r>
            <w:r>
              <w:rPr>
                <w:b/>
                <w:color w:val="FFFFFF"/>
                <w:sz w:val="17"/>
              </w:rPr>
              <w:t>Cause and corrective action</w:t>
            </w:r>
          </w:p>
        </w:tc>
        <w:tc>
          <w:tcPr>
            <w:tcW w:type="dxa" w:w="899"/>
            <w:shd w:val="clear" w:color="auto" w:fill="111113"/>
          </w:tcPr>
          <w:p>
            <w:r>
              <w:rPr>
                <w:b/>
                <w:color w:val="FFFFFF"/>
                <w:sz w:val="17"/>
              </w:rPr>
            </w:r>
            <w:r>
              <w:rPr>
                <w:b/>
                <w:color w:val="FFFFFF"/>
                <w:sz w:val="17"/>
              </w:rPr>
              <w:t>Owner /​ due date</w:t>
            </w:r>
          </w:p>
        </w:tc>
        <w:tc>
          <w:tcPr>
            <w:tcW w:type="dxa" w:w="1853"/>
            <w:shd w:val="clear" w:color="auto" w:fill="111113"/>
          </w:tcPr>
          <w:p>
            <w:r>
              <w:rPr>
                <w:b/>
                <w:color w:val="FFFFFF"/>
                <w:sz w:val="17"/>
              </w:rPr>
            </w:r>
            <w:r>
              <w:rPr>
                <w:b/>
                <w:color w:val="FFFFFF"/>
                <w:sz w:val="17"/>
              </w:rPr>
              <w:t>Retest and independent reviewer</w:t>
            </w:r>
          </w:p>
        </w:tc>
        <w:tc>
          <w:tcPr>
            <w:tcW w:type="dxa" w:w="2481"/>
            <w:shd w:val="clear" w:color="auto" w:fill="111113"/>
          </w:tcPr>
          <w:p>
            <w:r>
              <w:rPr>
                <w:b/>
                <w:color w:val="FFFFFF"/>
                <w:sz w:val="17"/>
              </w:rPr>
            </w:r>
            <w:r>
              <w:rPr>
                <w:b/>
                <w:color w:val="FFFFFF"/>
                <w:sz w:val="17"/>
              </w:rPr>
              <w:t>Effectiveness /​ closure decision</w:t>
            </w:r>
          </w:p>
        </w:tc>
      </w:tr>
      <w:tr>
        <w:trPr>
          <w:cantSplit/>
        </w:trPr>
        <w:tc>
          <w:tcPr>
            <w:tcW w:type="dxa" w:w="1451"/>
          </w:tcPr>
          <w:p>
            <w:r>
              <w:rPr>
                <w:sz w:val="17"/>
              </w:rPr>
            </w:r>
            <w:r>
              <w:rPr>
                <w:sz w:val="17"/>
              </w:rPr>
              <w:t>[NC ID; audit/​recipient/​incident]</w:t>
            </w:r>
          </w:p>
        </w:tc>
        <w:tc>
          <w:tcPr>
            <w:tcW w:type="dxa" w:w="1614"/>
          </w:tcPr>
          <w:p>
            <w:r>
              <w:rPr>
                <w:sz w:val="17"/>
              </w:rPr>
            </w:r>
            <w:r>
              <w:rPr>
                <w:sz w:val="17"/>
              </w:rPr>
              <w:t>[rule ID, container IDs/​revisions]</w:t>
            </w:r>
          </w:p>
        </w:tc>
        <w:tc>
          <w:tcPr>
            <w:tcW w:type="dxa" w:w="2167"/>
          </w:tcPr>
          <w:p>
            <w:r>
              <w:rPr>
                <w:sz w:val="17"/>
              </w:rPr>
            </w:r>
            <w:r>
              <w:rPr>
                <w:sz w:val="17"/>
              </w:rPr>
              <w:t>[root cause, correction and recurrence prevention]</w:t>
            </w:r>
          </w:p>
        </w:tc>
        <w:tc>
          <w:tcPr>
            <w:tcW w:type="dxa" w:w="899"/>
          </w:tcPr>
          <w:p>
            <w:r>
              <w:rPr>
                <w:sz w:val="17"/>
              </w:rPr>
            </w:r>
            <w:r>
              <w:rPr>
                <w:sz w:val="17"/>
              </w:rPr>
              <w:t>[role/​person, date]</w:t>
            </w:r>
          </w:p>
        </w:tc>
        <w:tc>
          <w:tcPr>
            <w:tcW w:type="dxa" w:w="1853"/>
          </w:tcPr>
          <w:p>
            <w:r>
              <w:rPr>
                <w:sz w:val="17"/>
              </w:rPr>
            </w:r>
            <w:r>
              <w:rPr>
                <w:sz w:val="17"/>
              </w:rPr>
              <w:t>[known failure case, result, evidence URI]</w:t>
            </w:r>
          </w:p>
        </w:tc>
        <w:tc>
          <w:tcPr>
            <w:tcW w:type="dxa" w:w="2481"/>
          </w:tcPr>
          <w:p>
            <w:r>
              <w:rPr>
                <w:sz w:val="17"/>
              </w:rPr>
            </w:r>
            <w:r>
              <w:rPr>
                <w:sz w:val="17"/>
              </w:rPr>
              <w:t>[monitoring period, recurrence check, approving role/​date]</w:t>
            </w:r>
          </w:p>
        </w:tc>
      </w:tr>
    </w:tbl>
    <w:p/>
    <w:p>
      <w:pPr/>
      <w:r>
        <w:t>Keep approved changes in the standards register with affected annex/guide IDs, training needs and rollback/version history. Pilot a changed rule on representative isolated content before office-wide adoption. Verify effectiveness after release rather than closing an action when a script was merely edited.</w:t>
      </w:r>
    </w:p>
    <w:p>
      <w:pPr>
        <w:pStyle w:val="Heading2"/>
      </w:pPr>
      <w:r>
        <w:t>9.2 QUALITY CONTROL</w:t>
      </w:r>
    </w:p>
    <w:p>
      <w:pPr/>
      <w:r>
        <w:t>Model health thresholds (typical baselines)</w:t>
      </w:r>
    </w:p>
    <w:p>
      <w:pPr/>
      <w:r>
        <w:t>Warnings: 0 warnings from the blocking list WRN-01..WRN-11 at share; all other warnings ≤ 100 per 10,000 model elements and no type above its count at the previous gate without a disposition; total recorded at each gate (</w:t>
      </w:r>
      <w:r>
        <w:rPr>
          <w:color w:val="9A7B45"/>
          <w:u w:val="single"/>
        </w:rPr>
        <w:t>BBM-STD-68</w:t>
      </w:r>
      <w:r>
        <w:t xml:space="preserve"> §2.1, </w:t>
      </w:r>
      <w:r>
        <w:rPr>
          <w:color w:val="9A7B45"/>
          <w:u w:val="single"/>
        </w:rPr>
        <w:t>O-DEC-164</w:t>
      </w:r>
      <w:r>
        <w:t>)</w:t>
      </w:r>
    </w:p>
    <w:p>
      <w:pPr/>
      <w:r>
        <w:t>Workset discipline: 0 elements on Workset1 at gate. Links pinned and isolated</w:t>
      </w:r>
    </w:p>
    <w:p>
      <w:pPr/>
      <w:r>
        <w:t>File hygiene: No imported DWG in production categories. Unused families and materials purged before gate</w:t>
      </w:r>
    </w:p>
    <w:p>
      <w:pPr/>
      <w:r>
        <w:t>Performance: per 11.3 targets (open ≤ 120 s, sync ≤ 60 s, IFC export ≤ 180 s for the representative seed, O-DEC-093); file-size investigation trigger stated per model class in the annex; software releases and builds per BBM-STD-91</w:t>
      </w:r>
    </w:p>
    <w:p>
      <w:pPr/>
      <w:r>
        <w:t>Data completeness thresholds</w:t>
      </w:r>
    </w:p>
    <w:p>
      <w:pPr/>
      <w:r>
        <w:t>Mandatory applicable requirements: 100% valid; non-mandatory coverage target per approved annex (3.2)</w:t>
      </w:r>
    </w:p>
    <w:p>
      <w:pPr/>
      <w:r>
        <w:t>Naming and tokens: 100% file/view/sheet names pass 12.3 regex and BBM-STD-93 code-list checks</w:t>
      </w:r>
    </w:p>
    <w:p>
      <w:pPr/>
      <w:r>
        <w:t>Keynotes: 100% placed keynotes resolve to table (4.8)</w:t>
      </w:r>
    </w:p>
    <w:p>
      <w:pPr/>
      <w:r>
        <w:t>Drawing set QC</w:t>
      </w:r>
    </w:p>
    <w:p>
      <w:pPr/>
      <w:r>
        <w:t>Template adherence: 100% issued views report locked templates (4.12)</w:t>
      </w:r>
    </w:p>
    <w:p>
      <w:pPr/>
      <w:r>
        <w:t>Legends and symbols: Required legends present. Only approved symbols and arrowheads used (4.14, 4.6, 4.7)</w:t>
      </w:r>
    </w:p>
    <w:p>
      <w:pPr/>
      <w:r>
        <w:t>Title blocks: Mandatory fields populated. Revisions coherent across index and sheets (4.10, 7.3)</w:t>
      </w:r>
    </w:p>
    <w:p>
      <w:pPr/>
      <w:r>
        <w:t>QC workflow</w:t>
      </w:r>
    </w:p>
    <w:p>
      <w:pPr/>
      <w:r>
        <w:t>Pre-check in working models with QA views and filters (4.13)</w:t>
      </w:r>
    </w:p>
    <w:p>
      <w:pPr/>
      <w:r>
        <w:t>Discipline pass: fix local issues, update schedules and parameters</w:t>
      </w:r>
    </w:p>
    <w:p>
      <w:pPr/>
      <w:r>
        <w:t>Consolidated pass: BIM Coordinator runs scripts and compiles delta list</w:t>
      </w:r>
    </w:p>
    <w:p>
      <w:pPr/>
      <w:r>
        <w:t>Sign-off: Discipline Leads confirm fixes. Information Manager validates naming and CDE placement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116"/>
        <w:gridCol w:w="2285"/>
        <w:gridCol w:w="1441"/>
        <w:gridCol w:w="2623"/>
      </w:tblGrid>
      <w:tr>
        <w:trPr>
          <w:cantSplit/>
          <w:tblHeader/>
        </w:trPr>
        <w:tc>
          <w:tcPr>
            <w:tcW w:type="dxa" w:w="4116"/>
            <w:shd w:val="clear" w:color="auto" w:fill="111113"/>
          </w:tcPr>
          <w:p>
            <w:r>
              <w:rPr>
                <w:b/>
                <w:color w:val="FFFFFF"/>
                <w:sz w:val="17"/>
              </w:rPr>
            </w:r>
            <w:r>
              <w:rPr>
                <w:b/>
                <w:color w:val="FFFFFF"/>
                <w:sz w:val="17"/>
              </w:rPr>
              <w:t>Acceptance criteria</w:t>
            </w:r>
          </w:p>
        </w:tc>
        <w:tc>
          <w:tcPr>
            <w:tcW w:type="dxa" w:w="2285"/>
            <w:shd w:val="clear" w:color="auto" w:fill="111113"/>
          </w:tcPr>
          <w:p>
            <w:r>
              <w:rPr>
                <w:b/>
                <w:color w:val="FFFFFF"/>
                <w:sz w:val="17"/>
              </w:rPr>
            </w:r>
            <w:r>
              <w:rPr>
                <w:b/>
                <w:color w:val="FFFFFF"/>
                <w:sz w:val="17"/>
              </w:rPr>
              <w:t>Quality checks</w:t>
            </w:r>
          </w:p>
        </w:tc>
        <w:tc>
          <w:tcPr>
            <w:tcW w:type="dxa" w:w="1441"/>
            <w:shd w:val="clear" w:color="auto" w:fill="111113"/>
          </w:tcPr>
          <w:p>
            <w:r>
              <w:rPr>
                <w:b/>
                <w:color w:val="FFFFFF"/>
                <w:sz w:val="17"/>
              </w:rPr>
            </w:r>
            <w:r>
              <w:rPr>
                <w:b/>
                <w:color w:val="FFFFFF"/>
                <w:sz w:val="17"/>
              </w:rPr>
              <w:t>Owner</w:t>
            </w:r>
          </w:p>
        </w:tc>
        <w:tc>
          <w:tcPr>
            <w:tcW w:type="dxa" w:w="2623"/>
            <w:shd w:val="clear" w:color="auto" w:fill="111113"/>
          </w:tcPr>
          <w:p>
            <w:r>
              <w:rPr>
                <w:b/>
                <w:color w:val="FFFFFF"/>
                <w:sz w:val="17"/>
              </w:rPr>
            </w:r>
            <w:r>
              <w:rPr>
                <w:b/>
                <w:color w:val="FFFFFF"/>
                <w:sz w:val="17"/>
              </w:rPr>
              <w:t>Evidence</w:t>
            </w:r>
          </w:p>
        </w:tc>
      </w:tr>
      <w:tr>
        <w:trPr>
          <w:cantSplit/>
        </w:trPr>
        <w:tc>
          <w:tcPr>
            <w:tcW w:type="dxa" w:w="4116"/>
          </w:tcPr>
          <w:p>
            <w:r>
              <w:rPr>
                <w:sz w:val="17"/>
              </w:rPr>
            </w:r>
            <w:r>
              <w:rPr>
                <w:sz w:val="17"/>
              </w:rPr>
              <w:t>Warnings below threshold</w:t>
            </w:r>
          </w:p>
        </w:tc>
        <w:tc>
          <w:tcPr>
            <w:tcW w:type="dxa" w:w="2285"/>
          </w:tcPr>
          <w:p>
            <w:r>
              <w:rPr>
                <w:sz w:val="17"/>
              </w:rPr>
            </w:r>
            <w:r>
              <w:rPr>
                <w:sz w:val="17"/>
              </w:rPr>
              <w:t>Warnings report vs baseline</w:t>
            </w:r>
          </w:p>
        </w:tc>
        <w:tc>
          <w:tcPr>
            <w:tcW w:type="dxa" w:w="1441"/>
          </w:tcPr>
          <w:p>
            <w:r>
              <w:rPr>
                <w:sz w:val="17"/>
              </w:rPr>
            </w:r>
            <w:r>
              <w:rPr>
                <w:sz w:val="17"/>
              </w:rPr>
              <w:t>Discipline Lead</w:t>
            </w:r>
          </w:p>
        </w:tc>
        <w:tc>
          <w:tcPr>
            <w:tcW w:type="dxa" w:w="2623"/>
          </w:tcPr>
          <w:p>
            <w:r>
              <w:rPr>
                <w:sz w:val="17"/>
              </w:rPr>
            </w:r>
            <w:r>
              <w:rPr>
                <w:sz w:val="17"/>
              </w:rPr>
              <w:t>Report in 06-REPORTS/​01-MODEL-HEALTH</w:t>
            </w:r>
          </w:p>
        </w:tc>
      </w:tr>
      <w:tr>
        <w:trPr>
          <w:cantSplit/>
        </w:trPr>
        <w:tc>
          <w:tcPr>
            <w:tcW w:type="dxa" w:w="4116"/>
          </w:tcPr>
          <w:p>
            <w:r>
              <w:rPr>
                <w:sz w:val="17"/>
              </w:rPr>
            </w:r>
            <w:r>
              <w:rPr>
                <w:sz w:val="17"/>
              </w:rPr>
              <w:t>Mandatory applicable requirements: 100% valid; non-mandatory coverage target per approved annex (3.2)</w:t>
            </w:r>
          </w:p>
        </w:tc>
        <w:tc>
          <w:tcPr>
            <w:tcW w:type="dxa" w:w="2285"/>
          </w:tcPr>
          <w:p>
            <w:r>
              <w:rPr>
                <w:sz w:val="17"/>
              </w:rPr>
            </w:r>
            <w:r>
              <w:rPr>
                <w:sz w:val="17"/>
              </w:rPr>
              <w:t>Completeness by class and stage</w:t>
            </w:r>
          </w:p>
        </w:tc>
        <w:tc>
          <w:tcPr>
            <w:tcW w:type="dxa" w:w="1441"/>
          </w:tcPr>
          <w:p>
            <w:r>
              <w:rPr>
                <w:sz w:val="17"/>
              </w:rPr>
            </w:r>
            <w:r>
              <w:rPr>
                <w:sz w:val="17"/>
              </w:rPr>
              <w:t>Information Manager</w:t>
            </w:r>
          </w:p>
        </w:tc>
        <w:tc>
          <w:tcPr>
            <w:tcW w:type="dxa" w:w="2623"/>
          </w:tcPr>
          <w:p>
            <w:r>
              <w:rPr>
                <w:sz w:val="17"/>
              </w:rPr>
            </w:r>
            <w:r>
              <w:rPr>
                <w:sz w:val="17"/>
              </w:rPr>
              <w:t>CSV + chart in 06-REPORTS</w:t>
            </w:r>
          </w:p>
        </w:tc>
      </w:tr>
      <w:tr>
        <w:trPr>
          <w:cantSplit/>
        </w:trPr>
        <w:tc>
          <w:tcPr>
            <w:tcW w:type="dxa" w:w="4116"/>
          </w:tcPr>
          <w:p>
            <w:r>
              <w:rPr>
                <w:sz w:val="17"/>
              </w:rPr>
            </w:r>
            <w:r>
              <w:rPr>
                <w:sz w:val="17"/>
              </w:rPr>
              <w:t>Naming and tokens 100% valid</w:t>
            </w:r>
          </w:p>
        </w:tc>
        <w:tc>
          <w:tcPr>
            <w:tcW w:type="dxa" w:w="2285"/>
          </w:tcPr>
          <w:p>
            <w:r>
              <w:rPr>
                <w:sz w:val="17"/>
              </w:rPr>
            </w:r>
            <w:r>
              <w:rPr>
                <w:sz w:val="17"/>
              </w:rPr>
              <w:t>Regex pass for files/​views/​sheets</w:t>
            </w:r>
          </w:p>
        </w:tc>
        <w:tc>
          <w:tcPr>
            <w:tcW w:type="dxa" w:w="1441"/>
          </w:tcPr>
          <w:p>
            <w:r>
              <w:rPr>
                <w:sz w:val="17"/>
              </w:rPr>
            </w:r>
            <w:r>
              <w:rPr>
                <w:sz w:val="17"/>
              </w:rPr>
              <w:t>Information Manager</w:t>
            </w:r>
          </w:p>
        </w:tc>
        <w:tc>
          <w:tcPr>
            <w:tcW w:type="dxa" w:w="2623"/>
          </w:tcPr>
          <w:p>
            <w:r>
              <w:rPr>
                <w:sz w:val="17"/>
              </w:rPr>
            </w:r>
            <w:r>
              <w:rPr>
                <w:sz w:val="17"/>
              </w:rPr>
              <w:t>Validation log in 06-REPORTS</w:t>
            </w:r>
          </w:p>
        </w:tc>
      </w:tr>
      <w:tr>
        <w:trPr>
          <w:cantSplit/>
        </w:trPr>
        <w:tc>
          <w:tcPr>
            <w:tcW w:type="dxa" w:w="4116"/>
          </w:tcPr>
          <w:p>
            <w:r>
              <w:rPr>
                <w:sz w:val="17"/>
              </w:rPr>
            </w:r>
            <w:r>
              <w:rPr>
                <w:sz w:val="17"/>
              </w:rPr>
              <w:t>Issued views use locked templates</w:t>
            </w:r>
          </w:p>
        </w:tc>
        <w:tc>
          <w:tcPr>
            <w:tcW w:type="dxa" w:w="2285"/>
          </w:tcPr>
          <w:p>
            <w:r>
              <w:rPr>
                <w:sz w:val="17"/>
              </w:rPr>
            </w:r>
            <w:r>
              <w:rPr>
                <w:sz w:val="17"/>
              </w:rPr>
              <w:t>Template usage audit = 100%</w:t>
            </w:r>
          </w:p>
        </w:tc>
        <w:tc>
          <w:tcPr>
            <w:tcW w:type="dxa" w:w="1441"/>
          </w:tcPr>
          <w:p>
            <w:r>
              <w:rPr>
                <w:sz w:val="17"/>
              </w:rPr>
            </w:r>
            <w:r>
              <w:rPr>
                <w:sz w:val="17"/>
              </w:rPr>
              <w:t>BIM Coordinator</w:t>
            </w:r>
          </w:p>
        </w:tc>
        <w:tc>
          <w:tcPr>
            <w:tcW w:type="dxa" w:w="2623"/>
          </w:tcPr>
          <w:p>
            <w:r>
              <w:rPr>
                <w:sz w:val="17"/>
              </w:rPr>
            </w:r>
            <w:r>
              <w:rPr>
                <w:sz w:val="17"/>
              </w:rPr>
              <w:t>Audit in 04-REPORTS of the pack</w:t>
            </w:r>
          </w:p>
        </w:tc>
      </w:tr>
    </w:tbl>
    <w:p/>
    <w:p>
      <w:pPr>
        <w:pStyle w:val="Heading2"/>
      </w:pPr>
      <w:r>
        <w:t>9.3 QUALITY ASSURANCE</w:t>
      </w:r>
    </w:p>
    <w:p>
      <w:pPr/>
      <w:r>
        <w:t>Purpose</w:t>
      </w:r>
    </w:p>
    <w:p>
      <w:pPr/>
      <w:r>
        <w:t>Provide independent oversight to ensure QC is effective, evidence is complete, and standards evolve with learning.</w:t>
      </w:r>
    </w:p>
    <w:p>
      <w:pPr/>
      <w:r>
        <w:t>Activities</w:t>
      </w:r>
    </w:p>
    <w:p>
      <w:pPr/>
      <w:r>
        <w:t>Independent audits each stage against acceptance criteria in sections 2–7</w:t>
      </w:r>
    </w:p>
    <w:p>
      <w:pPr/>
      <w:r>
        <w:t>Evidence sampling: validate a subset of sheets, models, and schedules against source requirements</w:t>
      </w:r>
    </w:p>
    <w:p>
      <w:pPr/>
      <w:r>
        <w:t>Process audits: verify that Publishing and Coordination Protocols were followed (8.1.4, 8.1.5)</w:t>
      </w:r>
    </w:p>
    <w:p>
      <w:pPr/>
      <w:r>
        <w:t>Continuous improvement: log 01-STANDARD-UPDATES with rationale and impact analysis</w:t>
      </w:r>
    </w:p>
    <w:p>
      <w:pPr/>
      <w:r>
        <w:t>Audit scope and sampling</w:t>
      </w:r>
    </w:p>
    <w:p>
      <w:pPr/>
      <w:r>
        <w:rPr>
          <w:b/>
        </w:rPr>
        <w:t>Decision (BIM Manager, 2026-10-14):</w:t>
      </w:r>
      <w:r>
        <w:t xml:space="preserve"> Independently review min(total sheets, max(10, ceiling(10% of total sheets))) per discipline plus every safety-critical/changed high-risk item; mandatory-field checks cover the full applicable scope. Basis: Risk-based visual sampling supplements complete mandatory validation P04, S04 (</w:t>
      </w:r>
      <w:r>
        <w:rPr>
          <w:color w:val="9A7B45"/>
          <w:u w:val="single"/>
        </w:rPr>
        <w:t>O-DEC-044</w:t>
      </w:r>
      <w:r>
        <w:t>).</w:t>
      </w:r>
    </w:p>
    <w:p>
      <w:pPr/>
      <w:r>
        <w:t>Retain the existing additional model/federation and schedule-type sampling requirements below.</w:t>
      </w:r>
    </w:p>
    <w:p>
      <w:pPr/>
      <w:r>
        <w:t>At least one model per discipline plus the federated model</w:t>
      </w:r>
    </w:p>
    <w:p>
      <w:pPr/>
      <w:r>
        <w:t>At least one schedule per required schedule type</w:t>
      </w:r>
    </w:p>
    <w:p>
      <w:pPr/>
      <w:r>
        <w:t>Non-conformance and corrective action</w:t>
      </w:r>
    </w:p>
    <w:p>
      <w:pPr/>
      <w:r>
        <w:t>NC-1 (blocking): Blocks gate; resolve and retest. Exceptions require the appointment-defined authority and competent design/safety concurrence; mandatory legal or safety duties cannot be waived by the LAP.</w:t>
      </w:r>
    </w:p>
    <w:p>
      <w:pPr/>
      <w:r>
        <w:t>NC-2 (conditional): Only non-blocking comments within expressly accepted scope; track owner, due date and receiving conditions in 00-PROJECT-LOG</w:t>
      </w:r>
    </w:p>
    <w:p>
      <w:pPr/>
      <w:r>
        <w:t>NC-3 (minor): Cosmetic; backlog with owner. These NC codes are separate from gate A/B/C and RACI A/C.</w:t>
      </w:r>
    </w:p>
    <w:p>
      <w:pPr/>
      <w:r>
        <w:t>All NCs (information, design, site, authority rejection, client complaint) are recorded in the one office NC log of BBM-STD-97 QP-11; corrective action requires a root cause and an effectiveness check.</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04"/>
        <w:gridCol w:w="4384"/>
        <w:gridCol w:w="1314"/>
        <w:gridCol w:w="1865"/>
      </w:tblGrid>
      <w:tr>
        <w:trPr>
          <w:cantSplit/>
          <w:tblHeader/>
        </w:trPr>
        <w:tc>
          <w:tcPr>
            <w:tcW w:type="dxa" w:w="2904"/>
            <w:shd w:val="clear" w:color="auto" w:fill="111113"/>
          </w:tcPr>
          <w:p>
            <w:r>
              <w:rPr>
                <w:b/>
                <w:color w:val="FFFFFF"/>
                <w:sz w:val="17"/>
              </w:rPr>
            </w:r>
            <w:r>
              <w:rPr>
                <w:b/>
                <w:color w:val="FFFFFF"/>
                <w:sz w:val="17"/>
              </w:rPr>
              <w:t>Acceptance criteria</w:t>
            </w:r>
          </w:p>
        </w:tc>
        <w:tc>
          <w:tcPr>
            <w:tcW w:type="dxa" w:w="4384"/>
            <w:shd w:val="clear" w:color="auto" w:fill="111113"/>
          </w:tcPr>
          <w:p>
            <w:r>
              <w:rPr>
                <w:b/>
                <w:color w:val="FFFFFF"/>
                <w:sz w:val="17"/>
              </w:rPr>
            </w:r>
            <w:r>
              <w:rPr>
                <w:b/>
                <w:color w:val="FFFFFF"/>
                <w:sz w:val="17"/>
              </w:rPr>
              <w:t>Quality checks</w:t>
            </w:r>
          </w:p>
        </w:tc>
        <w:tc>
          <w:tcPr>
            <w:tcW w:type="dxa" w:w="1314"/>
            <w:shd w:val="clear" w:color="auto" w:fill="111113"/>
          </w:tcPr>
          <w:p>
            <w:r>
              <w:rPr>
                <w:b/>
                <w:color w:val="FFFFFF"/>
                <w:sz w:val="17"/>
              </w:rPr>
            </w:r>
            <w:r>
              <w:rPr>
                <w:b/>
                <w:color w:val="FFFFFF"/>
                <w:sz w:val="17"/>
              </w:rPr>
              <w:t>Owner</w:t>
            </w:r>
          </w:p>
        </w:tc>
        <w:tc>
          <w:tcPr>
            <w:tcW w:type="dxa" w:w="1865"/>
            <w:shd w:val="clear" w:color="auto" w:fill="111113"/>
          </w:tcPr>
          <w:p>
            <w:r>
              <w:rPr>
                <w:b/>
                <w:color w:val="FFFFFF"/>
                <w:sz w:val="17"/>
              </w:rPr>
            </w:r>
            <w:r>
              <w:rPr>
                <w:b/>
                <w:color w:val="FFFFFF"/>
                <w:sz w:val="17"/>
              </w:rPr>
              <w:t>Evidence</w:t>
            </w:r>
          </w:p>
        </w:tc>
      </w:tr>
      <w:tr>
        <w:trPr>
          <w:cantSplit/>
        </w:trPr>
        <w:tc>
          <w:tcPr>
            <w:tcW w:type="dxa" w:w="2904"/>
          </w:tcPr>
          <w:p>
            <w:r>
              <w:rPr>
                <w:sz w:val="17"/>
              </w:rPr>
            </w:r>
            <w:r>
              <w:rPr>
                <w:sz w:val="17"/>
              </w:rPr>
              <w:t>Independent audit completed each stage</w:t>
            </w:r>
          </w:p>
        </w:tc>
        <w:tc>
          <w:tcPr>
            <w:tcW w:type="dxa" w:w="4384"/>
          </w:tcPr>
          <w:p>
            <w:r>
              <w:rPr>
                <w:sz w:val="17"/>
              </w:rPr>
            </w:r>
            <w:r>
              <w:rPr>
                <w:sz w:val="17"/>
              </w:rPr>
              <w:t>100% of applicable audit checklist items dispositioned; sampling scope recorded</w:t>
            </w:r>
          </w:p>
        </w:tc>
        <w:tc>
          <w:tcPr>
            <w:tcW w:type="dxa" w:w="1314"/>
          </w:tcPr>
          <w:p>
            <w:r>
              <w:rPr>
                <w:sz w:val="17"/>
              </w:rPr>
            </w:r>
            <w:r>
              <w:rPr>
                <w:sz w:val="17"/>
              </w:rPr>
              <w:t>QA-QC Lead</w:t>
            </w:r>
          </w:p>
        </w:tc>
        <w:tc>
          <w:tcPr>
            <w:tcW w:type="dxa" w:w="1865"/>
          </w:tcPr>
          <w:p>
            <w:r>
              <w:rPr>
                <w:sz w:val="17"/>
              </w:rPr>
            </w:r>
            <w:r>
              <w:rPr>
                <w:sz w:val="17"/>
              </w:rPr>
              <w:t>Signed checklist in 06-REPORTS</w:t>
            </w:r>
          </w:p>
        </w:tc>
      </w:tr>
      <w:tr>
        <w:trPr>
          <w:cantSplit/>
        </w:trPr>
        <w:tc>
          <w:tcPr>
            <w:tcW w:type="dxa" w:w="2904"/>
          </w:tcPr>
          <w:p>
            <w:r>
              <w:rPr>
                <w:sz w:val="17"/>
              </w:rPr>
            </w:r>
            <w:r>
              <w:rPr>
                <w:sz w:val="17"/>
              </w:rPr>
              <w:t>All NC-1 items closed or authorised permissible exceptions recorded</w:t>
            </w:r>
          </w:p>
        </w:tc>
        <w:tc>
          <w:tcPr>
            <w:tcW w:type="dxa" w:w="4384"/>
          </w:tcPr>
          <w:p>
            <w:r>
              <w:rPr>
                <w:sz w:val="17"/>
              </w:rPr>
            </w:r>
            <w:r>
              <w:rPr>
                <w:sz w:val="17"/>
              </w:rPr>
              <w:t>NC register status</w:t>
            </w:r>
          </w:p>
        </w:tc>
        <w:tc>
          <w:tcPr>
            <w:tcW w:type="dxa" w:w="1314"/>
          </w:tcPr>
          <w:p>
            <w:r>
              <w:rPr>
                <w:sz w:val="17"/>
              </w:rPr>
            </w:r>
            <w:r>
              <w:rPr>
                <w:sz w:val="17"/>
              </w:rPr>
              <w:t>LAP + Information Manager</w:t>
            </w:r>
          </w:p>
        </w:tc>
        <w:tc>
          <w:tcPr>
            <w:tcW w:type="dxa" w:w="1865"/>
          </w:tcPr>
          <w:p>
            <w:r>
              <w:rPr>
                <w:sz w:val="17"/>
              </w:rPr>
            </w:r>
            <w:r>
              <w:rPr>
                <w:sz w:val="17"/>
              </w:rPr>
              <w:t>NC log and waivers in RECORD</w:t>
            </w:r>
          </w:p>
        </w:tc>
      </w:tr>
      <w:tr>
        <w:trPr>
          <w:cantSplit/>
        </w:trPr>
        <w:tc>
          <w:tcPr>
            <w:tcW w:type="dxa" w:w="2904"/>
          </w:tcPr>
          <w:p>
            <w:r>
              <w:rPr>
                <w:sz w:val="17"/>
              </w:rPr>
            </w:r>
            <w:r>
              <w:rPr>
                <w:sz w:val="17"/>
              </w:rPr>
              <w:t>01-STANDARD-UPDATES logged with impact</w:t>
            </w:r>
          </w:p>
        </w:tc>
        <w:tc>
          <w:tcPr>
            <w:tcW w:type="dxa" w:w="4384"/>
          </w:tcPr>
          <w:p>
            <w:r>
              <w:rPr>
                <w:sz w:val="17"/>
              </w:rPr>
            </w:r>
            <w:r>
              <w:rPr>
                <w:sz w:val="17"/>
              </w:rPr>
              <w:t>Change log completeness</w:t>
            </w:r>
          </w:p>
        </w:tc>
        <w:tc>
          <w:tcPr>
            <w:tcW w:type="dxa" w:w="1314"/>
          </w:tcPr>
          <w:p>
            <w:r>
              <w:rPr>
                <w:sz w:val="17"/>
              </w:rPr>
            </w:r>
            <w:r>
              <w:rPr>
                <w:sz w:val="17"/>
              </w:rPr>
              <w:t>Information Manager</w:t>
            </w:r>
          </w:p>
        </w:tc>
        <w:tc>
          <w:tcPr>
            <w:tcW w:type="dxa" w:w="1865"/>
          </w:tcPr>
          <w:p>
            <w:r>
              <w:rPr>
                <w:sz w:val="17"/>
              </w:rPr>
            </w:r>
            <w:r>
              <w:rPr>
                <w:sz w:val="17"/>
              </w:rPr>
              <w:t>01-STANDARD-UPDATES entries</w:t>
            </w:r>
          </w:p>
        </w:tc>
      </w:tr>
    </w:tbl>
    <w:p/>
    <w:p>
      <w:pPr>
        <w:pStyle w:val="Heading2"/>
      </w:pPr>
      <w:r>
        <w:t>9.4 LIFECYCLE SECURITY AND HEALTH/SAFETY INFORMATION</w:t>
      </w:r>
    </w:p>
    <w:p>
      <w:pPr/>
      <w:r>
        <w:t>ISO 19650-5:2020 and NPSA security-minded digital-engineering guidance require proportionate sensitivity-led controls. ISO 19650-6:2025 provides the structured health and safety information basis. These procedures support competent design, construction and operational safety processes; a model check, slope parameter or clash pass does not establish compliance with all applicable codes.</w:t>
      </w:r>
    </w:p>
    <w:p>
      <w:pPr/>
      <w:r>
        <w:t xml:space="preserve">Interfaces: office ISMS (ISO/IEC 27001:2022 + Amd 1:2024 where certified or adopted); security triage (outcomes and SensitivityClass values per BBM-STD-87 §2, </w:t>
      </w:r>
      <w:r>
        <w:rPr>
          <w:color w:val="9A7B45"/>
          <w:u w:val="single"/>
        </w:rPr>
        <w:t>O-DEC-136</w:t>
      </w:r>
      <w:r>
        <w:t xml:space="preserve">) and security management plan per ISO 19650-5 in </w:t>
      </w:r>
      <w:r>
        <w:rPr>
          <w:color w:val="9A7B45"/>
          <w:u w:val="single"/>
        </w:rPr>
        <w:t>BBM-STD-87</w:t>
      </w:r>
      <w:r>
        <w:t xml:space="preserve">; structured H&amp;S information per ISO 19650-6:2025 in </w:t>
      </w:r>
      <w:r>
        <w:rPr>
          <w:color w:val="9A7B45"/>
          <w:u w:val="single"/>
        </w:rPr>
        <w:t>BBM-STD-88</w:t>
      </w:r>
      <w:r>
        <w:t xml:space="preserve">; personal data in directories, occupancy and CCTV/BMS data handled under the UAE PDPL (Federal Decree-Law No. 45 of 2021, effective 2 Jan 2022) and any executive regulations listed on uaelegislation.gov.ae at project start, or the free-zone law where the project sits in a free zone (rules in BBM-STD-90 §4); retention per </w:t>
      </w:r>
      <w:r>
        <w:rPr>
          <w:color w:val="9A7B45"/>
          <w:u w:val="single"/>
        </w:rPr>
        <w:t>BBM-STD-90</w:t>
      </w:r>
      <w:r>
        <w:t>. Security-system drawings follow the current SIRA/DM requirement for the plot, confirmed at permit stage.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1"/>
        <w:gridCol w:w="6372"/>
        <w:gridCol w:w="2883"/>
      </w:tblGrid>
      <w:tr>
        <w:trPr>
          <w:cantSplit/>
          <w:tblHeader/>
        </w:trPr>
        <w:tc>
          <w:tcPr>
            <w:tcW w:type="dxa" w:w="1211"/>
            <w:shd w:val="clear" w:color="auto" w:fill="111113"/>
          </w:tcPr>
          <w:p>
            <w:r>
              <w:rPr>
                <w:b/>
                <w:color w:val="FFFFFF"/>
                <w:sz w:val="17"/>
              </w:rPr>
            </w:r>
            <w:r>
              <w:rPr>
                <w:b/>
                <w:color w:val="FFFFFF"/>
                <w:sz w:val="17"/>
              </w:rPr>
              <w:t>Function</w:t>
            </w:r>
          </w:p>
        </w:tc>
        <w:tc>
          <w:tcPr>
            <w:tcW w:type="dxa" w:w="6372"/>
            <w:shd w:val="clear" w:color="auto" w:fill="111113"/>
          </w:tcPr>
          <w:p>
            <w:r>
              <w:rPr>
                <w:b/>
                <w:color w:val="FFFFFF"/>
                <w:sz w:val="17"/>
              </w:rPr>
            </w:r>
            <w:r>
              <w:rPr>
                <w:b/>
                <w:color w:val="FFFFFF"/>
                <w:sz w:val="17"/>
              </w:rPr>
              <w:t>Recommended office accountability</w:t>
            </w:r>
          </w:p>
        </w:tc>
        <w:tc>
          <w:tcPr>
            <w:tcW w:type="dxa" w:w="2883"/>
            <w:shd w:val="clear" w:color="auto" w:fill="111113"/>
          </w:tcPr>
          <w:p>
            <w:r>
              <w:rPr>
                <w:b/>
                <w:color w:val="FFFFFF"/>
                <w:sz w:val="17"/>
              </w:rPr>
            </w:r>
            <w:r>
              <w:rPr>
                <w:b/>
                <w:color w:val="FFFFFF"/>
                <w:sz w:val="17"/>
              </w:rPr>
              <w:t>Required project evidence</w:t>
            </w:r>
          </w:p>
        </w:tc>
      </w:tr>
      <w:tr>
        <w:trPr>
          <w:cantSplit/>
        </w:trPr>
        <w:tc>
          <w:tcPr>
            <w:tcW w:type="dxa" w:w="1211"/>
          </w:tcPr>
          <w:p>
            <w:r>
              <w:rPr>
                <w:sz w:val="17"/>
              </w:rPr>
            </w:r>
            <w:r>
              <w:rPr>
                <w:sz w:val="17"/>
              </w:rPr>
              <w:t>Security governance</w:t>
            </w:r>
          </w:p>
        </w:tc>
        <w:tc>
          <w:tcPr>
            <w:tcW w:type="dxa" w:w="6372"/>
          </w:tcPr>
          <w:p>
            <w:r>
              <w:rPr>
                <w:sz w:val="17"/>
              </w:rPr>
            </w:r>
            <w:r>
              <w:rPr>
                <w:b/>
                <w:sz w:val="17"/>
              </w:rPr>
              <w:t>Decision (BIM Manager, 2026-10-14):</w:t>
            </w:r>
            <w:r>
              <w:rPr>
                <w:sz w:val="17"/>
              </w:rPr>
              <w:t xml:space="preserve"> Assign office Security Lead with project IT/​data owners to sensitivity, access, suppliers, distribution, retention and incidents; record actual competent holders/​delegation before access. Basis: Security governance continues through operation and disposal S05, P06 (</w:t>
            </w:r>
            <w:r>
              <w:rPr>
                <w:color w:val="9A7B45"/>
                <w:sz w:val="17"/>
                <w:u w:val="single"/>
              </w:rPr>
              <w:t>O-DEC-045</w:t>
            </w:r>
            <w:r>
              <w:rPr>
                <w:sz w:val="17"/>
              </w:rPr>
              <w:t>).</w:t>
            </w:r>
          </w:p>
        </w:tc>
        <w:tc>
          <w:tcPr>
            <w:tcW w:type="dxa" w:w="2883"/>
          </w:tcPr>
          <w:p>
            <w:r>
              <w:rPr>
                <w:sz w:val="17"/>
              </w:rPr>
            </w:r>
            <w:r>
              <w:rPr>
                <w:sz w:val="17"/>
              </w:rPr>
              <w:t>Sensitivity assessment, approved distribution/​retention, supplier and incident controls</w:t>
            </w:r>
          </w:p>
        </w:tc>
      </w:tr>
      <w:tr>
        <w:trPr/>
        <w:tc>
          <w:tcPr>
            <w:tcW w:type="dxa" w:w="1211"/>
          </w:tcPr>
          <w:p>
            <w:r>
              <w:rPr>
                <w:sz w:val="17"/>
              </w:rPr>
            </w:r>
            <w:r>
              <w:rPr>
                <w:sz w:val="17"/>
              </w:rPr>
              <w:t>Safety information governance</w:t>
            </w:r>
          </w:p>
        </w:tc>
        <w:tc>
          <w:tcPr>
            <w:tcW w:type="dxa" w:w="6372"/>
          </w:tcPr>
          <w:p>
            <w:r>
              <w:rPr>
                <w:sz w:val="17"/>
              </w:rPr>
            </w:r>
            <w:r>
              <w:rPr>
                <w:b/>
                <w:sz w:val="17"/>
              </w:rPr>
              <w:t>Decision (BIM Manager, 2026-10-14):</w:t>
            </w:r>
            <w:r>
              <w:rPr>
                <w:sz w:val="17"/>
              </w:rPr>
              <w:t xml:space="preserve"> Assign competent Design Safety Lead during delivery and appointed asset/​operator safety owner at handover; record hazards/​objects/​locations, source revision, controls, reviewer, residual owner and receiving acknowledgment. Basis: Structured safety information does not transfer designer/​duty-holder duties S06 (</w:t>
            </w:r>
            <w:r>
              <w:rPr>
                <w:color w:val="9A7B45"/>
                <w:sz w:val="17"/>
                <w:u w:val="single"/>
              </w:rPr>
              <w:t>O-DEC-046</w:t>
            </w:r>
            <w:r>
              <w:rPr>
                <w:sz w:val="17"/>
              </w:rPr>
              <w:t>).</w:t>
            </w:r>
          </w:p>
        </w:tc>
        <w:tc>
          <w:tcPr>
            <w:tcW w:type="dxa" w:w="2883"/>
          </w:tcPr>
          <w:p>
            <w:r>
              <w:rPr>
                <w:sz w:val="17"/>
              </w:rPr>
            </w:r>
            <w:r>
              <w:rPr>
                <w:sz w:val="17"/>
              </w:rPr>
              <w:t>Requirements, competent discipline reviewers, structured residual-risk transfer and receiving acknowledgment</w:t>
            </w:r>
          </w:p>
        </w:tc>
      </w:tr>
      <w:tr>
        <w:trPr>
          <w:cantSplit/>
        </w:trPr>
        <w:tc>
          <w:tcPr>
            <w:tcW w:type="dxa" w:w="1211"/>
          </w:tcPr>
          <w:p>
            <w:r>
              <w:rPr>
                <w:sz w:val="17"/>
              </w:rPr>
            </w:r>
            <w:r>
              <w:rPr>
                <w:sz w:val="17"/>
              </w:rPr>
              <w:t>Production /​ maintenance</w:t>
            </w:r>
          </w:p>
        </w:tc>
        <w:tc>
          <w:tcPr>
            <w:tcW w:type="dxa" w:w="6372"/>
          </w:tcPr>
          <w:p>
            <w:r>
              <w:rPr>
                <w:sz w:val="17"/>
              </w:rPr>
            </w:r>
            <w:r>
              <w:rPr>
                <w:sz w:val="17"/>
              </w:rPr>
              <w:t>Task-team leads create/​update records; Information Manager controls exchange metadata</w:t>
            </w:r>
          </w:p>
        </w:tc>
        <w:tc>
          <w:tcPr>
            <w:tcW w:type="dxa" w:w="2883"/>
          </w:tcPr>
          <w:p>
            <w:r>
              <w:rPr>
                <w:sz w:val="17"/>
              </w:rPr>
            </w:r>
            <w:r>
              <w:rPr>
                <w:sz w:val="17"/>
              </w:rPr>
              <w:t>Source revision, location/​object IDs, changed records and access policy</w:t>
            </w:r>
          </w:p>
        </w:tc>
      </w:tr>
      <w:tr>
        <w:trPr>
          <w:cantSplit/>
        </w:trPr>
        <w:tc>
          <w:tcPr>
            <w:tcW w:type="dxa" w:w="1211"/>
          </w:tcPr>
          <w:p>
            <w:r>
              <w:rPr>
                <w:sz w:val="17"/>
              </w:rPr>
            </w:r>
            <w:r>
              <w:rPr>
                <w:sz w:val="17"/>
              </w:rPr>
              <w:t>Release /​ receiving</w:t>
            </w:r>
          </w:p>
        </w:tc>
        <w:tc>
          <w:tcPr>
            <w:tcW w:type="dxa" w:w="6372"/>
          </w:tcPr>
          <w:p>
            <w:r>
              <w:rPr>
                <w:sz w:val="17"/>
              </w:rPr>
            </w:r>
            <w:r>
              <w:rPr>
                <w:sz w:val="17"/>
              </w:rPr>
              <w:t>LAP authorises submission; delegated appointing-party/​operational recipient accepts</w:t>
            </w:r>
          </w:p>
        </w:tc>
        <w:tc>
          <w:tcPr>
            <w:tcW w:type="dxa" w:w="2883"/>
          </w:tcPr>
          <w:p>
            <w:r>
              <w:rPr>
                <w:sz w:val="17"/>
              </w:rPr>
            </w:r>
            <w:r>
              <w:rPr>
                <w:sz w:val="17"/>
              </w:rPr>
              <w:t>Separate documented decisions within appointment scope</w:t>
            </w:r>
          </w:p>
        </w:tc>
      </w:tr>
    </w:tbl>
    <w:p/>
    <w:p>
      <w:pPr/>
      <w:r>
        <w:rPr>
          <w:b/>
        </w:rPr>
        <w:t>Security procedure.</w:t>
      </w:r>
      <w:r>
        <w:t xml:space="preserve"> Before choosing sharing tools, assess whether asset/information disclosure, aggregation, incorrect change or loss could cause harm. Record sensitivity by dataset and recipient, consequence, legal/contract restrictions and controls; restrict assessment details themselves. Approve least-privilege role access and supplier conditions, then test allowed and denied read/write/download routes. Record induction/awareness and joiner/mover/leaver changes; review access at each gate and when the team/asset sensitivity changes. Use approved protected transfer/storage; never put sensitive input into an unapproved plugin, AI service or public test upload.</w:t>
      </w:r>
    </w:p>
    <w:p>
      <w:pPr/>
      <w:r>
        <w:t>At an incident, users report immediately to the security lead through the approved channel; preserve evidence, contain access with IT, identify affected revisions/recipients, and let the designated legal/security authority decide notifications. Restore only a verified baseline; record corrective action and retest. At retention expiry or authorised offboarding, remove access, address downloaded copies and backup/legal-hold constraints, and retain deletion/disposition evidence. Do not set a universal retention duration without the appointment and records schedule; design records are kept at least 10 years after handover plus the 3-year claim period (decennial liability, Federal Decree-Law No. 25 of 2025 Art. 821/824; Federal Law 5/1985 Art. 880 for contracts signed before 1 Jun 2026), with the final schedule ruled by the legal owner in BBM-STD-90 §3 (</w:t>
      </w:r>
      <w:r>
        <w:rPr>
          <w:color w:val="9A7B45"/>
          <w:u w:val="single"/>
        </w:rPr>
        <w:t>O-DEC-138</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48"/>
        <w:gridCol w:w="2201"/>
        <w:gridCol w:w="1892"/>
        <w:gridCol w:w="1868"/>
        <w:gridCol w:w="1811"/>
        <w:gridCol w:w="1946"/>
      </w:tblGrid>
      <w:tr>
        <w:trPr>
          <w:cantSplit/>
          <w:tblHeader/>
        </w:trPr>
        <w:tc>
          <w:tcPr>
            <w:tcW w:type="dxa" w:w="748"/>
            <w:shd w:val="clear" w:color="auto" w:fill="111113"/>
          </w:tcPr>
          <w:p>
            <w:r>
              <w:rPr>
                <w:b/>
                <w:color w:val="FFFFFF"/>
                <w:sz w:val="17"/>
              </w:rPr>
            </w:r>
            <w:r>
              <w:rPr>
                <w:b/>
                <w:color w:val="FFFFFF"/>
                <w:sz w:val="17"/>
              </w:rPr>
              <w:t>SEC record</w:t>
            </w:r>
          </w:p>
        </w:tc>
        <w:tc>
          <w:tcPr>
            <w:tcW w:type="dxa" w:w="2201"/>
            <w:shd w:val="clear" w:color="auto" w:fill="111113"/>
          </w:tcPr>
          <w:p>
            <w:r>
              <w:rPr>
                <w:b/>
                <w:color w:val="FFFFFF"/>
                <w:sz w:val="17"/>
              </w:rPr>
            </w:r>
            <w:r>
              <w:rPr>
                <w:b/>
                <w:color w:val="FFFFFF"/>
                <w:sz w:val="17"/>
              </w:rPr>
              <w:t>Dataset /​ sensitivity and consequence</w:t>
            </w:r>
          </w:p>
        </w:tc>
        <w:tc>
          <w:tcPr>
            <w:tcW w:type="dxa" w:w="1892"/>
            <w:shd w:val="clear" w:color="auto" w:fill="111113"/>
          </w:tcPr>
          <w:p>
            <w:r>
              <w:rPr>
                <w:b/>
                <w:color w:val="FFFFFF"/>
                <w:sz w:val="17"/>
              </w:rPr>
            </w:r>
            <w:r>
              <w:rPr>
                <w:b/>
                <w:color w:val="FFFFFF"/>
                <w:sz w:val="17"/>
              </w:rPr>
              <w:t>Recipient /​ minimum permission</w:t>
            </w:r>
          </w:p>
        </w:tc>
        <w:tc>
          <w:tcPr>
            <w:tcW w:type="dxa" w:w="1868"/>
            <w:shd w:val="clear" w:color="auto" w:fill="111113"/>
          </w:tcPr>
          <w:p>
            <w:r>
              <w:rPr>
                <w:b/>
                <w:color w:val="FFFFFF"/>
                <w:sz w:val="17"/>
              </w:rPr>
            </w:r>
            <w:r>
              <w:rPr>
                <w:b/>
                <w:color w:val="FFFFFF"/>
                <w:sz w:val="17"/>
              </w:rPr>
              <w:t>Controls /​ verification</w:t>
            </w:r>
          </w:p>
        </w:tc>
        <w:tc>
          <w:tcPr>
            <w:tcW w:type="dxa" w:w="1811"/>
            <w:shd w:val="clear" w:color="auto" w:fill="111113"/>
          </w:tcPr>
          <w:p>
            <w:r>
              <w:rPr>
                <w:b/>
                <w:color w:val="FFFFFF"/>
                <w:sz w:val="17"/>
              </w:rPr>
            </w:r>
            <w:r>
              <w:rPr>
                <w:b/>
                <w:color w:val="FFFFFF"/>
                <w:sz w:val="17"/>
              </w:rPr>
              <w:t>Retention /​ removal</w:t>
            </w:r>
          </w:p>
        </w:tc>
        <w:tc>
          <w:tcPr>
            <w:tcW w:type="dxa" w:w="1946"/>
            <w:shd w:val="clear" w:color="auto" w:fill="111113"/>
          </w:tcPr>
          <w:p>
            <w:r>
              <w:rPr>
                <w:b/>
                <w:color w:val="FFFFFF"/>
                <w:sz w:val="17"/>
              </w:rPr>
            </w:r>
            <w:r>
              <w:rPr>
                <w:b/>
                <w:color w:val="FFFFFF"/>
                <w:sz w:val="17"/>
              </w:rPr>
              <w:t>Owner /​ review /​ incident route</w:t>
            </w:r>
          </w:p>
        </w:tc>
      </w:tr>
      <w:tr>
        <w:trPr>
          <w:cantSplit/>
        </w:trPr>
        <w:tc>
          <w:tcPr>
            <w:tcW w:type="dxa" w:w="748"/>
          </w:tcPr>
          <w:p>
            <w:r>
              <w:rPr>
                <w:sz w:val="17"/>
              </w:rPr>
            </w:r>
            <w:r>
              <w:rPr>
                <w:sz w:val="17"/>
              </w:rPr>
              <w:t>[ID]</w:t>
            </w:r>
          </w:p>
        </w:tc>
        <w:tc>
          <w:tcPr>
            <w:tcW w:type="dxa" w:w="2201"/>
          </w:tcPr>
          <w:p>
            <w:r>
              <w:rPr>
                <w:sz w:val="17"/>
              </w:rPr>
            </w:r>
            <w:r>
              <w:rPr>
                <w:sz w:val="17"/>
              </w:rPr>
              <w:t>[asset/​information scope, rationale]</w:t>
            </w:r>
          </w:p>
        </w:tc>
        <w:tc>
          <w:tcPr>
            <w:tcW w:type="dxa" w:w="1892"/>
          </w:tcPr>
          <w:p>
            <w:r>
              <w:rPr>
                <w:sz w:val="17"/>
              </w:rPr>
            </w:r>
            <w:r>
              <w:rPr>
                <w:sz w:val="17"/>
              </w:rPr>
              <w:t>[role, organisation, read/​write/​download]</w:t>
            </w:r>
          </w:p>
        </w:tc>
        <w:tc>
          <w:tcPr>
            <w:tcW w:type="dxa" w:w="1868"/>
          </w:tcPr>
          <w:p>
            <w:r>
              <w:rPr>
                <w:sz w:val="17"/>
              </w:rPr>
            </w:r>
            <w:r>
              <w:rPr>
                <w:sz w:val="17"/>
              </w:rPr>
              <w:t>[approved platform, allowed/​denied test IDs]</w:t>
            </w:r>
          </w:p>
        </w:tc>
        <w:tc>
          <w:tcPr>
            <w:tcW w:type="dxa" w:w="1811"/>
          </w:tcPr>
          <w:p>
            <w:r>
              <w:rPr>
                <w:sz w:val="17"/>
              </w:rPr>
            </w:r>
            <w:r>
              <w:rPr>
                <w:sz w:val="17"/>
              </w:rPr>
              <w:t>[trigger, duration, hold, disposal authority]</w:t>
            </w:r>
          </w:p>
        </w:tc>
        <w:tc>
          <w:tcPr>
            <w:tcW w:type="dxa" w:w="1946"/>
          </w:tcPr>
          <w:p>
            <w:r>
              <w:rPr>
                <w:sz w:val="17"/>
              </w:rPr>
            </w:r>
            <w:r>
              <w:rPr>
                <w:sz w:val="17"/>
              </w:rPr>
              <w:t>[role, next review, protected reporting channel]</w:t>
            </w:r>
          </w:p>
        </w:tc>
      </w:tr>
    </w:tbl>
    <w:p/>
    <w:p>
      <w:pPr/>
      <w:r>
        <w:rPr>
          <w:b/>
        </w:rPr>
        <w:t>Safety procedure.</w:t>
      </w:r>
      <w:r>
        <w:t xml:space="preserve"> At briefing, identify decision-specific safety information and responsible designers. At each design/coordination change, update structured records and trace them to objects, zones and controlled documents. A competent reviewer verifies significance, evidence, proposed controls and residual-risk communication before sharing. At construction/handover, verify current condition/provenance and transmit outstanding risks to the appointed recipient and operational owner; record acknowledgment, understanding and update responsibility. At replacement, inspection, incident or decommissioning, reopen relevant records and update the AIM and associated documents.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25"/>
        <w:gridCol w:w="1214"/>
        <w:gridCol w:w="1633"/>
        <w:gridCol w:w="1593"/>
        <w:gridCol w:w="1814"/>
        <w:gridCol w:w="1615"/>
        <w:gridCol w:w="1571"/>
      </w:tblGrid>
      <w:tr>
        <w:trPr>
          <w:cantSplit/>
          <w:tblHeader/>
        </w:trPr>
        <w:tc>
          <w:tcPr>
            <w:tcW w:type="dxa" w:w="1025"/>
            <w:shd w:val="clear" w:color="auto" w:fill="111113"/>
          </w:tcPr>
          <w:p>
            <w:r>
              <w:rPr>
                <w:b/>
                <w:color w:val="FFFFFF"/>
                <w:sz w:val="17"/>
              </w:rPr>
            </w:r>
            <w:r>
              <w:rPr>
                <w:b/>
                <w:color w:val="FFFFFF"/>
                <w:sz w:val="17"/>
              </w:rPr>
              <w:t>HSI record ID</w:t>
            </w:r>
          </w:p>
        </w:tc>
        <w:tc>
          <w:tcPr>
            <w:tcW w:type="dxa" w:w="1214"/>
            <w:shd w:val="clear" w:color="auto" w:fill="111113"/>
          </w:tcPr>
          <w:p>
            <w:r>
              <w:rPr>
                <w:b/>
                <w:color w:val="FFFFFF"/>
                <w:sz w:val="17"/>
              </w:rPr>
            </w:r>
            <w:r>
              <w:rPr>
                <w:b/>
                <w:color w:val="FFFFFF"/>
                <w:sz w:val="17"/>
              </w:rPr>
              <w:t>Hazard /​ location /​ object</w:t>
            </w:r>
          </w:p>
        </w:tc>
        <w:tc>
          <w:tcPr>
            <w:tcW w:type="dxa" w:w="1633"/>
            <w:shd w:val="clear" w:color="auto" w:fill="111113"/>
          </w:tcPr>
          <w:p>
            <w:r>
              <w:rPr>
                <w:b/>
                <w:color w:val="FFFFFF"/>
                <w:sz w:val="17"/>
              </w:rPr>
            </w:r>
            <w:r>
              <w:rPr>
                <w:b/>
                <w:color w:val="FFFFFF"/>
                <w:sz w:val="17"/>
              </w:rPr>
              <w:t>Cause /​ consequence /​ lifecycle activity</w:t>
            </w:r>
          </w:p>
        </w:tc>
        <w:tc>
          <w:tcPr>
            <w:tcW w:type="dxa" w:w="1593"/>
            <w:shd w:val="clear" w:color="auto" w:fill="111113"/>
          </w:tcPr>
          <w:p>
            <w:r>
              <w:rPr>
                <w:b/>
                <w:color w:val="FFFFFF"/>
                <w:sz w:val="17"/>
              </w:rPr>
            </w:r>
            <w:r>
              <w:rPr>
                <w:b/>
                <w:color w:val="FFFFFF"/>
                <w:sz w:val="17"/>
              </w:rPr>
              <w:t>Source revision /​ uncertainty</w:t>
            </w:r>
          </w:p>
        </w:tc>
        <w:tc>
          <w:tcPr>
            <w:tcW w:type="dxa" w:w="1814"/>
            <w:shd w:val="clear" w:color="auto" w:fill="111113"/>
          </w:tcPr>
          <w:p>
            <w:r>
              <w:rPr>
                <w:b/>
                <w:color w:val="FFFFFF"/>
                <w:sz w:val="17"/>
              </w:rPr>
            </w:r>
            <w:r>
              <w:rPr>
                <w:b/>
                <w:color w:val="FFFFFF"/>
                <w:sz w:val="17"/>
              </w:rPr>
              <w:t>Control /​ designer and reviewer</w:t>
            </w:r>
          </w:p>
        </w:tc>
        <w:tc>
          <w:tcPr>
            <w:tcW w:type="dxa" w:w="1615"/>
            <w:shd w:val="clear" w:color="auto" w:fill="111113"/>
          </w:tcPr>
          <w:p>
            <w:r>
              <w:rPr>
                <w:b/>
                <w:color w:val="FFFFFF"/>
                <w:sz w:val="17"/>
              </w:rPr>
            </w:r>
            <w:r>
              <w:rPr>
                <w:b/>
                <w:color w:val="FFFFFF"/>
                <w:sz w:val="17"/>
              </w:rPr>
              <w:t>Residual risk /​ action owner</w:t>
            </w:r>
          </w:p>
        </w:tc>
        <w:tc>
          <w:tcPr>
            <w:tcW w:type="dxa" w:w="1571"/>
            <w:shd w:val="clear" w:color="auto" w:fill="111113"/>
          </w:tcPr>
          <w:p>
            <w:r>
              <w:rPr>
                <w:b/>
                <w:color w:val="FFFFFF"/>
                <w:sz w:val="17"/>
              </w:rPr>
            </w:r>
            <w:r>
              <w:rPr>
                <w:b/>
                <w:color w:val="FFFFFF"/>
                <w:sz w:val="17"/>
              </w:rPr>
              <w:t>Exchange /​ recipient acknowledgment</w:t>
            </w:r>
          </w:p>
        </w:tc>
      </w:tr>
      <w:tr>
        <w:trPr>
          <w:cantSplit/>
        </w:trPr>
        <w:tc>
          <w:tcPr>
            <w:tcW w:type="dxa" w:w="1025"/>
          </w:tcPr>
          <w:p>
            <w:r>
              <w:rPr>
                <w:sz w:val="17"/>
              </w:rPr>
            </w:r>
            <w:r>
              <w:rPr>
                <w:sz w:val="17"/>
              </w:rPr>
              <w:t>SYN-H01 (synthetic)</w:t>
            </w:r>
          </w:p>
        </w:tc>
        <w:tc>
          <w:tcPr>
            <w:tcW w:type="dxa" w:w="1214"/>
          </w:tcPr>
          <w:p>
            <w:r>
              <w:rPr>
                <w:sz w:val="17"/>
              </w:rPr>
            </w:r>
            <w:r>
              <w:rPr>
                <w:sz w:val="17"/>
              </w:rPr>
              <w:t>Restricted maintenance access; equipment EQ-01</w:t>
            </w:r>
          </w:p>
        </w:tc>
        <w:tc>
          <w:tcPr>
            <w:tcW w:type="dxa" w:w="1633"/>
          </w:tcPr>
          <w:p>
            <w:r>
              <w:rPr>
                <w:sz w:val="17"/>
              </w:rPr>
            </w:r>
            <w:r>
              <w:rPr>
                <w:sz w:val="17"/>
              </w:rPr>
              <w:t>Service activity in confined access zone; unsafe access if clearance lost</w:t>
            </w:r>
          </w:p>
        </w:tc>
        <w:tc>
          <w:tcPr>
            <w:tcW w:type="dxa" w:w="1593"/>
          </w:tcPr>
          <w:p>
            <w:r>
              <w:rPr>
                <w:sz w:val="17"/>
              </w:rPr>
            </w:r>
            <w:r>
              <w:rPr>
                <w:sz w:val="17"/>
              </w:rPr>
              <w:t>Coordination model R01; access method awaiting approval</w:t>
            </w:r>
          </w:p>
        </w:tc>
        <w:tc>
          <w:tcPr>
            <w:tcW w:type="dxa" w:w="1814"/>
          </w:tcPr>
          <w:p>
            <w:r>
              <w:rPr>
                <w:sz w:val="17"/>
              </w:rPr>
            </w:r>
            <w:r>
              <w:rPr>
                <w:sz w:val="17"/>
              </w:rPr>
              <w:t>Competent designer confirms access envelope and maintenance method; review record required</w:t>
            </w:r>
          </w:p>
        </w:tc>
        <w:tc>
          <w:tcPr>
            <w:tcW w:type="dxa" w:w="1615"/>
          </w:tcPr>
          <w:p>
            <w:r>
              <w:rPr>
                <w:sz w:val="17"/>
              </w:rPr>
            </w:r>
            <w:r>
              <w:rPr>
                <w:sz w:val="17"/>
              </w:rPr>
              <w:t>Recheck after layout change; operational safety owner receives remaining restrictions</w:t>
            </w:r>
          </w:p>
        </w:tc>
        <w:tc>
          <w:tcPr>
            <w:tcW w:type="dxa" w:w="1571"/>
          </w:tcPr>
          <w:p>
            <w:r>
              <w:rPr>
                <w:sz w:val="17"/>
              </w:rPr>
            </w:r>
            <w:r>
              <w:rPr>
                <w:sz w:val="17"/>
              </w:rPr>
              <w:t>EX-02; date, recipient decision and linked approved method</w:t>
            </w:r>
          </w:p>
        </w:tc>
      </w:tr>
      <w:tr>
        <w:trPr>
          <w:cantSplit/>
        </w:trPr>
        <w:tc>
          <w:tcPr>
            <w:tcW w:type="dxa" w:w="1025"/>
          </w:tcPr>
          <w:p>
            <w:r>
              <w:rPr>
                <w:sz w:val="17"/>
              </w:rPr>
            </w:r>
            <w:r>
              <w:rPr>
                <w:sz w:val="17"/>
              </w:rPr>
              <w:t>[ID]</w:t>
            </w:r>
          </w:p>
        </w:tc>
        <w:tc>
          <w:tcPr>
            <w:tcW w:type="dxa" w:w="1214"/>
          </w:tcPr>
          <w:p>
            <w:r>
              <w:rPr>
                <w:sz w:val="17"/>
              </w:rPr>
            </w:r>
            <w:r>
              <w:rPr>
                <w:sz w:val="17"/>
              </w:rPr>
              <w:t>[hazard, zone, stable ID]</w:t>
            </w:r>
          </w:p>
        </w:tc>
        <w:tc>
          <w:tcPr>
            <w:tcW w:type="dxa" w:w="1633"/>
          </w:tcPr>
          <w:p>
            <w:r>
              <w:rPr>
                <w:sz w:val="17"/>
              </w:rPr>
            </w:r>
            <w:r>
              <w:rPr>
                <w:sz w:val="17"/>
              </w:rPr>
              <w:t>[cause/​event/​consequence, stage/​trigger]</w:t>
            </w:r>
          </w:p>
        </w:tc>
        <w:tc>
          <w:tcPr>
            <w:tcW w:type="dxa" w:w="1593"/>
          </w:tcPr>
          <w:p>
            <w:r>
              <w:rPr>
                <w:sz w:val="17"/>
              </w:rPr>
            </w:r>
            <w:r>
              <w:rPr>
                <w:sz w:val="17"/>
              </w:rPr>
              <w:t>[document/​model revision, known limits]</w:t>
            </w:r>
          </w:p>
        </w:tc>
        <w:tc>
          <w:tcPr>
            <w:tcW w:type="dxa" w:w="1814"/>
          </w:tcPr>
          <w:p>
            <w:r>
              <w:rPr>
                <w:sz w:val="17"/>
              </w:rPr>
            </w:r>
            <w:r>
              <w:rPr>
                <w:sz w:val="17"/>
              </w:rPr>
              <w:t>[prevention/​control, competent reviewers]</w:t>
            </w:r>
          </w:p>
        </w:tc>
        <w:tc>
          <w:tcPr>
            <w:tcW w:type="dxa" w:w="1615"/>
          </w:tcPr>
          <w:p>
            <w:r>
              <w:rPr>
                <w:sz w:val="17"/>
              </w:rPr>
            </w:r>
            <w:r>
              <w:rPr>
                <w:sz w:val="17"/>
              </w:rPr>
              <w:t>[remaining risk, owner, due date]</w:t>
            </w:r>
          </w:p>
        </w:tc>
        <w:tc>
          <w:tcPr>
            <w:tcW w:type="dxa" w:w="1571"/>
          </w:tcPr>
          <w:p>
            <w:r>
              <w:rPr>
                <w:sz w:val="17"/>
              </w:rPr>
            </w:r>
            <w:r>
              <w:rPr>
                <w:sz w:val="17"/>
              </w:rPr>
              <w:t>[exchange ID, evidence, decision/​date]</w:t>
            </w:r>
          </w:p>
        </w:tc>
      </w:tr>
    </w:tbl>
    <w:p/>
    <w:p>
      <w:pPr/>
      <w:r>
        <w:t>Release check: all in-scope significant safety records have a responsible owner, reviewed control/residual-risk decision, current location/document links and authorised recipient. Unresolved mandatory safety requirements block the affected exchange; an information-manager waiver cannot remove design duties.</w:t>
      </w:r>
    </w:p>
    <w:p>
      <w:pPr/>
      <w:r>
        <w:rPr>
          <w:b/>
        </w:rPr>
        <w:t>Decision (BIM Manager, 2026-10-14):</w:t>
      </w:r>
      <w:r>
        <w:t xml:space="preserve"> Use 1–5 likelihood × 1–5 impact for information-delivery risk; scores 15–25 require escalation and competent residual-risk disposition before affected release; any unresolved mandatory failure blocks release regardless of score; specialist design/safety methods remain separate. Basis: The office scale defines escalation without replacing specialist assessment P04, S06 (</w:t>
      </w:r>
      <w:r>
        <w:rPr>
          <w:color w:val="9A7B45"/>
          <w:u w:val="single"/>
        </w:rPr>
        <w:t>O-DEC-047</w:t>
      </w:r>
      <w:r>
        <w:t>).</w:t>
      </w:r>
    </w:p>
    <w:p>
      <w:pPr/>
      <w:r>
        <w:t>Record declared likelihood/impact definitions, escalation authority, mitigations and residual risk in the risk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80"/>
        <w:gridCol w:w="1641"/>
        <w:gridCol w:w="2289"/>
        <w:gridCol w:w="1148"/>
        <w:gridCol w:w="1742"/>
        <w:gridCol w:w="1727"/>
        <w:gridCol w:w="1039"/>
      </w:tblGrid>
      <w:tr>
        <w:trPr>
          <w:cantSplit/>
          <w:tblHeader/>
        </w:trPr>
        <w:tc>
          <w:tcPr>
            <w:tcW w:type="dxa" w:w="880"/>
            <w:shd w:val="clear" w:color="auto" w:fill="111113"/>
          </w:tcPr>
          <w:p>
            <w:r>
              <w:rPr>
                <w:b/>
                <w:color w:val="FFFFFF"/>
                <w:sz w:val="17"/>
              </w:rPr>
            </w:r>
            <w:r>
              <w:rPr>
                <w:b/>
                <w:color w:val="FFFFFF"/>
                <w:sz w:val="17"/>
              </w:rPr>
              <w:t>Risk ID</w:t>
            </w:r>
          </w:p>
        </w:tc>
        <w:tc>
          <w:tcPr>
            <w:tcW w:type="dxa" w:w="1641"/>
            <w:shd w:val="clear" w:color="auto" w:fill="111113"/>
          </w:tcPr>
          <w:p>
            <w:r>
              <w:rPr>
                <w:b/>
                <w:color w:val="FFFFFF"/>
                <w:sz w:val="17"/>
              </w:rPr>
            </w:r>
            <w:r>
              <w:rPr>
                <w:b/>
                <w:color w:val="FFFFFF"/>
                <w:sz w:val="17"/>
              </w:rPr>
              <w:t>Cause → event → consequence</w:t>
            </w:r>
          </w:p>
        </w:tc>
        <w:tc>
          <w:tcPr>
            <w:tcW w:type="dxa" w:w="2289"/>
            <w:shd w:val="clear" w:color="auto" w:fill="111113"/>
          </w:tcPr>
          <w:p>
            <w:r>
              <w:rPr>
                <w:b/>
                <w:color w:val="FFFFFF"/>
                <w:sz w:val="17"/>
              </w:rPr>
            </w:r>
            <w:r>
              <w:rPr>
                <w:b/>
                <w:color w:val="FFFFFF"/>
                <w:sz w:val="17"/>
              </w:rPr>
              <w:t>Category /​ linked requirements</w:t>
            </w:r>
          </w:p>
        </w:tc>
        <w:tc>
          <w:tcPr>
            <w:tcW w:type="dxa" w:w="1148"/>
            <w:shd w:val="clear" w:color="auto" w:fill="111113"/>
          </w:tcPr>
          <w:p>
            <w:r>
              <w:rPr>
                <w:b/>
                <w:color w:val="FFFFFF"/>
                <w:sz w:val="17"/>
              </w:rPr>
            </w:r>
            <w:r>
              <w:rPr>
                <w:b/>
                <w:color w:val="FFFFFF"/>
                <w:sz w:val="17"/>
              </w:rPr>
              <w:t>Initial evaluation</w:t>
            </w:r>
          </w:p>
        </w:tc>
        <w:tc>
          <w:tcPr>
            <w:tcW w:type="dxa" w:w="1742"/>
            <w:shd w:val="clear" w:color="auto" w:fill="111113"/>
          </w:tcPr>
          <w:p>
            <w:r>
              <w:rPr>
                <w:b/>
                <w:color w:val="FFFFFF"/>
                <w:sz w:val="17"/>
              </w:rPr>
            </w:r>
            <w:r>
              <w:rPr>
                <w:b/>
                <w:color w:val="FFFFFF"/>
                <w:sz w:val="17"/>
              </w:rPr>
              <w:t>Mitigation /​ owner /​ due date</w:t>
            </w:r>
          </w:p>
        </w:tc>
        <w:tc>
          <w:tcPr>
            <w:tcW w:type="dxa" w:w="1727"/>
            <w:shd w:val="clear" w:color="auto" w:fill="111113"/>
          </w:tcPr>
          <w:p>
            <w:r>
              <w:rPr>
                <w:b/>
                <w:color w:val="FFFFFF"/>
                <w:sz w:val="17"/>
              </w:rPr>
            </w:r>
            <w:r>
              <w:rPr>
                <w:b/>
                <w:color w:val="FFFFFF"/>
                <w:sz w:val="17"/>
              </w:rPr>
              <w:t>Residual evaluation /​ acceptance</w:t>
            </w:r>
          </w:p>
        </w:tc>
        <w:tc>
          <w:tcPr>
            <w:tcW w:type="dxa" w:w="1039"/>
            <w:shd w:val="clear" w:color="auto" w:fill="111113"/>
          </w:tcPr>
          <w:p>
            <w:r>
              <w:rPr>
                <w:b/>
                <w:color w:val="FFFFFF"/>
                <w:sz w:val="17"/>
              </w:rPr>
            </w:r>
            <w:r>
              <w:rPr>
                <w:b/>
                <w:color w:val="FFFFFF"/>
                <w:sz w:val="17"/>
              </w:rPr>
              <w:t>Review trigger</w:t>
            </w:r>
          </w:p>
        </w:tc>
      </w:tr>
      <w:tr>
        <w:trPr>
          <w:cantSplit/>
        </w:trPr>
        <w:tc>
          <w:tcPr>
            <w:tcW w:type="dxa" w:w="880"/>
          </w:tcPr>
          <w:p>
            <w:r>
              <w:rPr>
                <w:sz w:val="17"/>
              </w:rPr>
            </w:r>
            <w:r>
              <w:rPr>
                <w:sz w:val="17"/>
              </w:rPr>
              <w:t>SYN-R01</w:t>
            </w:r>
          </w:p>
        </w:tc>
        <w:tc>
          <w:tcPr>
            <w:tcW w:type="dxa" w:w="1641"/>
          </w:tcPr>
          <w:p>
            <w:r>
              <w:rPr>
                <w:sz w:val="17"/>
              </w:rPr>
            </w:r>
            <w:r>
              <w:rPr>
                <w:sz w:val="17"/>
              </w:rPr>
              <w:t>Survey not approved → assumed coordinates reused → wrong recipient alignment</w:t>
            </w:r>
          </w:p>
        </w:tc>
        <w:tc>
          <w:tcPr>
            <w:tcW w:type="dxa" w:w="2289"/>
          </w:tcPr>
          <w:p>
            <w:r>
              <w:rPr>
                <w:sz w:val="17"/>
              </w:rPr>
            </w:r>
            <w:r>
              <w:rPr>
                <w:sz w:val="17"/>
              </w:rPr>
              <w:t>Technology/​dependency; EX-01</w:t>
            </w:r>
          </w:p>
        </w:tc>
        <w:tc>
          <w:tcPr>
            <w:tcW w:type="dxa" w:w="1148"/>
          </w:tcPr>
          <w:p>
            <w:r>
              <w:rPr>
                <w:sz w:val="17"/>
              </w:rPr>
            </w:r>
            <w:r>
              <w:rPr>
                <w:sz w:val="17"/>
              </w:rPr>
              <w:t>Pending project assessment</w:t>
            </w:r>
          </w:p>
        </w:tc>
        <w:tc>
          <w:tcPr>
            <w:tcW w:type="dxa" w:w="1742"/>
          </w:tcPr>
          <w:p>
            <w:r>
              <w:rPr>
                <w:sz w:val="17"/>
              </w:rPr>
            </w:r>
            <w:r>
              <w:rPr>
                <w:sz w:val="17"/>
              </w:rPr>
              <w:t>Coordinate owner approves controls and recipient transform test before external release</w:t>
            </w:r>
          </w:p>
        </w:tc>
        <w:tc>
          <w:tcPr>
            <w:tcW w:type="dxa" w:w="1727"/>
          </w:tcPr>
          <w:p>
            <w:r>
              <w:rPr>
                <w:sz w:val="17"/>
              </w:rPr>
            </w:r>
            <w:r>
              <w:rPr>
                <w:sz w:val="17"/>
              </w:rPr>
              <w:t>Record reviewer and residual decision; no fictitious score</w:t>
            </w:r>
          </w:p>
        </w:tc>
        <w:tc>
          <w:tcPr>
            <w:tcW w:type="dxa" w:w="1039"/>
          </w:tcPr>
          <w:p>
            <w:r>
              <w:rPr>
                <w:sz w:val="17"/>
              </w:rPr>
            </w:r>
            <w:r>
              <w:rPr>
                <w:sz w:val="17"/>
              </w:rPr>
              <w:t>New survey, model split or coordinate change</w:t>
            </w:r>
          </w:p>
        </w:tc>
      </w:tr>
      <w:tr>
        <w:trPr>
          <w:cantSplit/>
        </w:trPr>
        <w:tc>
          <w:tcPr>
            <w:tcW w:type="dxa" w:w="880"/>
          </w:tcPr>
          <w:p>
            <w:r>
              <w:rPr>
                <w:sz w:val="17"/>
              </w:rPr>
            </w:r>
            <w:r>
              <w:rPr>
                <w:sz w:val="17"/>
              </w:rPr>
              <w:t>[ID]</w:t>
            </w:r>
          </w:p>
        </w:tc>
        <w:tc>
          <w:tcPr>
            <w:tcW w:type="dxa" w:w="1641"/>
          </w:tcPr>
          <w:p>
            <w:r>
              <w:rPr>
                <w:sz w:val="17"/>
              </w:rPr>
            </w:r>
            <w:r>
              <w:rPr>
                <w:sz w:val="17"/>
              </w:rPr>
              <w:t>[cause, event, consequence]</w:t>
            </w:r>
          </w:p>
        </w:tc>
        <w:tc>
          <w:tcPr>
            <w:tcW w:type="dxa" w:w="2289"/>
          </w:tcPr>
          <w:p>
            <w:r>
              <w:rPr>
                <w:sz w:val="17"/>
              </w:rPr>
            </w:r>
            <w:r>
              <w:rPr>
                <w:sz w:val="17"/>
              </w:rPr>
              <w:t>[resource, requirement, security, safety, dependency]</w:t>
            </w:r>
          </w:p>
        </w:tc>
        <w:tc>
          <w:tcPr>
            <w:tcW w:type="dxa" w:w="1148"/>
          </w:tcPr>
          <w:p>
            <w:r>
              <w:rPr>
                <w:sz w:val="17"/>
              </w:rPr>
            </w:r>
            <w:r>
              <w:rPr>
                <w:sz w:val="17"/>
              </w:rPr>
              <w:t>[method/​score]</w:t>
            </w:r>
          </w:p>
        </w:tc>
        <w:tc>
          <w:tcPr>
            <w:tcW w:type="dxa" w:w="1742"/>
          </w:tcPr>
          <w:p>
            <w:r>
              <w:rPr>
                <w:sz w:val="17"/>
              </w:rPr>
            </w:r>
            <w:r>
              <w:rPr>
                <w:sz w:val="17"/>
              </w:rPr>
              <w:t>[action, owner, date]</w:t>
            </w:r>
          </w:p>
        </w:tc>
        <w:tc>
          <w:tcPr>
            <w:tcW w:type="dxa" w:w="1727"/>
          </w:tcPr>
          <w:p>
            <w:r>
              <w:rPr>
                <w:sz w:val="17"/>
              </w:rPr>
            </w:r>
            <w:r>
              <w:rPr>
                <w:sz w:val="17"/>
              </w:rPr>
              <w:t>[score, competent authority, evidence]</w:t>
            </w:r>
          </w:p>
        </w:tc>
        <w:tc>
          <w:tcPr>
            <w:tcW w:type="dxa" w:w="1039"/>
          </w:tcPr>
          <w:p>
            <w:r>
              <w:rPr>
                <w:sz w:val="17"/>
              </w:rPr>
            </w:r>
            <w:r>
              <w:rPr>
                <w:sz w:val="17"/>
              </w:rPr>
              <w:t>[date/​event]</w:t>
            </w:r>
          </w:p>
        </w:tc>
      </w:tr>
    </w:tbl>
    <w:p/>
    <w:p>
      <w:pPr>
        <w:pStyle w:val="Heading1"/>
      </w:pPr>
      <w:r>
        <w:t>10 COORDINATION AND CLASH</w:t>
      </w:r>
    </w:p>
    <w:p>
      <w:pPr>
        <w:pStyle w:val="Heading2"/>
      </w:pPr>
      <w:r>
        <w:t>10.1 CLASH MATRIX AND RESPONSIBILITY</w:t>
      </w:r>
    </w:p>
    <w:p>
      <w:pPr/>
      <w:r>
        <w:t>Purpose</w:t>
      </w:r>
    </w:p>
    <w:p>
      <w:pPr/>
      <w:r>
        <w:t>Define who is responsible for preventing, detecting, and resolving clashes by discipline, system, and interface.</w:t>
      </w:r>
    </w:p>
    <w:p>
      <w:pPr/>
      <w:r>
        <w:t>Clash responsibility matrix</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96"/>
        <w:gridCol w:w="1110"/>
        <w:gridCol w:w="1258"/>
        <w:gridCol w:w="6203"/>
      </w:tblGrid>
      <w:tr>
        <w:trPr>
          <w:cantSplit/>
          <w:tblHeader/>
        </w:trPr>
        <w:tc>
          <w:tcPr>
            <w:tcW w:type="dxa" w:w="1896"/>
            <w:shd w:val="clear" w:color="auto" w:fill="111113"/>
          </w:tcPr>
          <w:p>
            <w:r>
              <w:rPr>
                <w:b/>
                <w:color w:val="FFFFFF"/>
                <w:sz w:val="17"/>
              </w:rPr>
            </w:r>
            <w:r>
              <w:rPr>
                <w:b/>
                <w:color w:val="FFFFFF"/>
                <w:sz w:val="17"/>
              </w:rPr>
              <w:t>Interface</w:t>
            </w:r>
          </w:p>
        </w:tc>
        <w:tc>
          <w:tcPr>
            <w:tcW w:type="dxa" w:w="1110"/>
            <w:shd w:val="clear" w:color="auto" w:fill="111113"/>
          </w:tcPr>
          <w:p>
            <w:r>
              <w:rPr>
                <w:b/>
                <w:color w:val="FFFFFF"/>
                <w:sz w:val="17"/>
              </w:rPr>
            </w:r>
            <w:r>
              <w:rPr>
                <w:b/>
                <w:color w:val="FFFFFF"/>
                <w:sz w:val="17"/>
              </w:rPr>
              <w:t>Primary owner</w:t>
            </w:r>
          </w:p>
        </w:tc>
        <w:tc>
          <w:tcPr>
            <w:tcW w:type="dxa" w:w="1258"/>
            <w:shd w:val="clear" w:color="auto" w:fill="111113"/>
          </w:tcPr>
          <w:p>
            <w:r>
              <w:rPr>
                <w:b/>
                <w:color w:val="FFFFFF"/>
                <w:sz w:val="17"/>
              </w:rPr>
            </w:r>
            <w:r>
              <w:rPr>
                <w:b/>
                <w:color w:val="FFFFFF"/>
                <w:sz w:val="17"/>
              </w:rPr>
              <w:t>Secondary owner</w:t>
            </w:r>
          </w:p>
        </w:tc>
        <w:tc>
          <w:tcPr>
            <w:tcW w:type="dxa" w:w="6203"/>
            <w:shd w:val="clear" w:color="auto" w:fill="111113"/>
          </w:tcPr>
          <w:p>
            <w:r>
              <w:rPr>
                <w:b/>
                <w:color w:val="FFFFFF"/>
                <w:sz w:val="17"/>
              </w:rPr>
            </w:r>
            <w:r>
              <w:rPr>
                <w:b/>
                <w:color w:val="FFFFFF"/>
                <w:sz w:val="17"/>
              </w:rPr>
              <w:t>Notes</w:t>
            </w:r>
          </w:p>
        </w:tc>
      </w:tr>
      <w:tr>
        <w:trPr>
          <w:cantSplit/>
        </w:trPr>
        <w:tc>
          <w:tcPr>
            <w:tcW w:type="dxa" w:w="1896"/>
          </w:tcPr>
          <w:p>
            <w:r>
              <w:rPr>
                <w:sz w:val="17"/>
              </w:rPr>
            </w:r>
            <w:r>
              <w:rPr>
                <w:sz w:val="17"/>
              </w:rPr>
              <w:t>ARC vs STR</w:t>
            </w:r>
          </w:p>
        </w:tc>
        <w:tc>
          <w:tcPr>
            <w:tcW w:type="dxa" w:w="1110"/>
          </w:tcPr>
          <w:p>
            <w:r>
              <w:rPr>
                <w:sz w:val="17"/>
              </w:rPr>
            </w:r>
            <w:r>
              <w:rPr>
                <w:sz w:val="17"/>
              </w:rPr>
              <w:t>STR</w:t>
            </w:r>
          </w:p>
        </w:tc>
        <w:tc>
          <w:tcPr>
            <w:tcW w:type="dxa" w:w="1258"/>
          </w:tcPr>
          <w:p>
            <w:r>
              <w:rPr>
                <w:sz w:val="17"/>
              </w:rPr>
            </w:r>
            <w:r>
              <w:rPr>
                <w:sz w:val="17"/>
              </w:rPr>
              <w:t>ARC</w:t>
            </w:r>
          </w:p>
        </w:tc>
        <w:tc>
          <w:tcPr>
            <w:tcW w:type="dxa" w:w="6203"/>
          </w:tcPr>
          <w:p>
            <w:r>
              <w:rPr>
                <w:sz w:val="17"/>
              </w:rPr>
            </w:r>
            <w:r>
              <w:rPr>
                <w:sz w:val="17"/>
              </w:rPr>
              <w:t>Structure governs penetrations and tolerances. ARC coordinates openings</w:t>
            </w:r>
          </w:p>
        </w:tc>
      </w:tr>
      <w:tr>
        <w:trPr>
          <w:cantSplit/>
        </w:trPr>
        <w:tc>
          <w:tcPr>
            <w:tcW w:type="dxa" w:w="1896"/>
          </w:tcPr>
          <w:p>
            <w:r>
              <w:rPr>
                <w:sz w:val="17"/>
              </w:rPr>
            </w:r>
            <w:r>
              <w:rPr>
                <w:sz w:val="17"/>
              </w:rPr>
              <w:t>ARC vs MEP (HVAC)</w:t>
            </w:r>
          </w:p>
        </w:tc>
        <w:tc>
          <w:tcPr>
            <w:tcW w:type="dxa" w:w="1110"/>
          </w:tcPr>
          <w:p>
            <w:r>
              <w:rPr>
                <w:sz w:val="17"/>
              </w:rPr>
            </w:r>
            <w:r>
              <w:rPr>
                <w:sz w:val="17"/>
              </w:rPr>
              <w:t>MEP</w:t>
            </w:r>
          </w:p>
        </w:tc>
        <w:tc>
          <w:tcPr>
            <w:tcW w:type="dxa" w:w="1258"/>
          </w:tcPr>
          <w:p>
            <w:r>
              <w:rPr>
                <w:sz w:val="17"/>
              </w:rPr>
            </w:r>
            <w:r>
              <w:rPr>
                <w:sz w:val="17"/>
              </w:rPr>
              <w:t>ARC</w:t>
            </w:r>
          </w:p>
        </w:tc>
        <w:tc>
          <w:tcPr>
            <w:tcW w:type="dxa" w:w="6203"/>
          </w:tcPr>
          <w:p>
            <w:r>
              <w:rPr>
                <w:sz w:val="17"/>
              </w:rPr>
            </w:r>
            <w:r>
              <w:rPr>
                <w:sz w:val="17"/>
              </w:rPr>
              <w:t>MEP routes within ARC zones and clearances. ARC provides ceiling and shaft constraints</w:t>
            </w:r>
          </w:p>
        </w:tc>
      </w:tr>
      <w:tr>
        <w:trPr>
          <w:cantSplit/>
        </w:trPr>
        <w:tc>
          <w:tcPr>
            <w:tcW w:type="dxa" w:w="1896"/>
          </w:tcPr>
          <w:p>
            <w:r>
              <w:rPr>
                <w:sz w:val="17"/>
              </w:rPr>
            </w:r>
            <w:r>
              <w:rPr>
                <w:sz w:val="17"/>
              </w:rPr>
              <w:t>STR vs MEP (all)</w:t>
            </w:r>
          </w:p>
        </w:tc>
        <w:tc>
          <w:tcPr>
            <w:tcW w:type="dxa" w:w="1110"/>
          </w:tcPr>
          <w:p>
            <w:r>
              <w:rPr>
                <w:sz w:val="17"/>
              </w:rPr>
            </w:r>
            <w:r>
              <w:rPr>
                <w:sz w:val="17"/>
              </w:rPr>
              <w:t>MEP</w:t>
            </w:r>
          </w:p>
        </w:tc>
        <w:tc>
          <w:tcPr>
            <w:tcW w:type="dxa" w:w="1258"/>
          </w:tcPr>
          <w:p>
            <w:r>
              <w:rPr>
                <w:sz w:val="17"/>
              </w:rPr>
            </w:r>
            <w:r>
              <w:rPr>
                <w:sz w:val="17"/>
              </w:rPr>
              <w:t>STR</w:t>
            </w:r>
          </w:p>
        </w:tc>
        <w:tc>
          <w:tcPr>
            <w:tcW w:type="dxa" w:w="6203"/>
          </w:tcPr>
          <w:p>
            <w:r>
              <w:rPr>
                <w:sz w:val="17"/>
              </w:rPr>
            </w:r>
            <w:r>
              <w:rPr>
                <w:sz w:val="17"/>
              </w:rPr>
              <w:t>MEP requests openings. STR approves size and placement</w:t>
            </w:r>
          </w:p>
        </w:tc>
      </w:tr>
      <w:tr>
        <w:trPr>
          <w:cantSplit/>
        </w:trPr>
        <w:tc>
          <w:tcPr>
            <w:tcW w:type="dxa" w:w="1896"/>
          </w:tcPr>
          <w:p>
            <w:r>
              <w:rPr>
                <w:sz w:val="17"/>
              </w:rPr>
            </w:r>
            <w:r>
              <w:rPr>
                <w:sz w:val="17"/>
              </w:rPr>
              <w:t>MEP internal (MEC vs ELE vs PLU)</w:t>
            </w:r>
          </w:p>
        </w:tc>
        <w:tc>
          <w:tcPr>
            <w:tcW w:type="dxa" w:w="1110"/>
          </w:tcPr>
          <w:p>
            <w:r>
              <w:rPr>
                <w:sz w:val="17"/>
              </w:rPr>
            </w:r>
            <w:r>
              <w:rPr>
                <w:sz w:val="17"/>
              </w:rPr>
              <w:t>MEP system owner</w:t>
            </w:r>
          </w:p>
        </w:tc>
        <w:tc>
          <w:tcPr>
            <w:tcW w:type="dxa" w:w="1258"/>
          </w:tcPr>
          <w:p>
            <w:r>
              <w:rPr>
                <w:sz w:val="17"/>
              </w:rPr>
            </w:r>
            <w:r>
              <w:rPr>
                <w:sz w:val="17"/>
              </w:rPr>
              <w:t>MEP</w:t>
            </w:r>
          </w:p>
        </w:tc>
        <w:tc>
          <w:tcPr>
            <w:tcW w:type="dxa" w:w="6203"/>
          </w:tcPr>
          <w:p>
            <w:r>
              <w:rPr>
                <w:sz w:val="17"/>
              </w:rPr>
            </w:r>
            <w:r>
              <w:rPr>
                <w:sz w:val="17"/>
              </w:rPr>
              <w:t>System owner resolves internal conflicts before cross-discipline review</w:t>
            </w:r>
          </w:p>
        </w:tc>
      </w:tr>
      <w:tr>
        <w:trPr>
          <w:cantSplit/>
        </w:trPr>
        <w:tc>
          <w:tcPr>
            <w:tcW w:type="dxa" w:w="1896"/>
          </w:tcPr>
          <w:p>
            <w:r>
              <w:rPr>
                <w:sz w:val="17"/>
              </w:rPr>
            </w:r>
            <w:r>
              <w:rPr>
                <w:sz w:val="17"/>
              </w:rPr>
              <w:t>ARC vs FLS</w:t>
            </w:r>
          </w:p>
        </w:tc>
        <w:tc>
          <w:tcPr>
            <w:tcW w:type="dxa" w:w="1110"/>
          </w:tcPr>
          <w:p>
            <w:r>
              <w:rPr>
                <w:sz w:val="17"/>
              </w:rPr>
            </w:r>
            <w:r>
              <w:rPr>
                <w:sz w:val="17"/>
              </w:rPr>
              <w:t>ARC</w:t>
            </w:r>
          </w:p>
        </w:tc>
        <w:tc>
          <w:tcPr>
            <w:tcW w:type="dxa" w:w="1258"/>
          </w:tcPr>
          <w:p>
            <w:r>
              <w:rPr>
                <w:sz w:val="17"/>
              </w:rPr>
            </w:r>
            <w:r>
              <w:rPr>
                <w:sz w:val="17"/>
              </w:rPr>
              <w:t>FLS</w:t>
            </w:r>
          </w:p>
        </w:tc>
        <w:tc>
          <w:tcPr>
            <w:tcW w:type="dxa" w:w="6203"/>
          </w:tcPr>
          <w:p>
            <w:r>
              <w:rPr>
                <w:sz w:val="17"/>
              </w:rPr>
            </w:r>
            <w:r>
              <w:rPr>
                <w:sz w:val="17"/>
              </w:rPr>
              <w:t>Fire and life-safety clearances prevail. FLS flags violations; ARC resolves routes</w:t>
            </w:r>
          </w:p>
        </w:tc>
      </w:tr>
      <w:tr>
        <w:trPr>
          <w:cantSplit/>
        </w:trPr>
        <w:tc>
          <w:tcPr>
            <w:tcW w:type="dxa" w:w="1896"/>
          </w:tcPr>
          <w:p>
            <w:r>
              <w:rPr>
                <w:sz w:val="17"/>
              </w:rPr>
            </w:r>
            <w:r>
              <w:rPr>
                <w:sz w:val="17"/>
              </w:rPr>
              <w:t>ARC vs LSC (Landscape)</w:t>
            </w:r>
          </w:p>
        </w:tc>
        <w:tc>
          <w:tcPr>
            <w:tcW w:type="dxa" w:w="1110"/>
          </w:tcPr>
          <w:p>
            <w:r>
              <w:rPr>
                <w:sz w:val="17"/>
              </w:rPr>
            </w:r>
            <w:r>
              <w:rPr>
                <w:sz w:val="17"/>
              </w:rPr>
              <w:t>ARC</w:t>
            </w:r>
          </w:p>
        </w:tc>
        <w:tc>
          <w:tcPr>
            <w:tcW w:type="dxa" w:w="1258"/>
          </w:tcPr>
          <w:p>
            <w:r>
              <w:rPr>
                <w:sz w:val="17"/>
              </w:rPr>
            </w:r>
            <w:r>
              <w:rPr>
                <w:sz w:val="17"/>
              </w:rPr>
              <w:t>LSC</w:t>
            </w:r>
          </w:p>
        </w:tc>
        <w:tc>
          <w:tcPr>
            <w:tcW w:type="dxa" w:w="6203"/>
          </w:tcPr>
          <w:p>
            <w:r>
              <w:rPr>
                <w:sz w:val="17"/>
              </w:rPr>
            </w:r>
            <w:r>
              <w:rPr>
                <w:sz w:val="17"/>
              </w:rPr>
              <w:t>Interfaces at podium, planters, paving and drainage; ARC coordinates levels and waterproofing</w:t>
            </w:r>
          </w:p>
        </w:tc>
      </w:tr>
    </w:tbl>
    <w:p/>
    <w:p>
      <w:pPr/>
      <w:r>
        <w:t>Severity and SLAs</w:t>
      </w:r>
    </w:p>
    <w:p>
      <w:pPr/>
      <w:r>
        <w:t>Severity 1 Critical: Blocks construction or design intent. Resolve/retest pre-gate; any permissible residual exception requires authorised recipient and competent design/safety approval. SLA: 2 working days</w:t>
      </w:r>
    </w:p>
    <w:p>
      <w:pPr/>
      <w:r>
        <w:t>Severity 2 Major: Impacts coordination or documentation. SLA: 5 working days</w:t>
      </w:r>
    </w:p>
    <w:p>
      <w:pPr/>
      <w:r>
        <w:t>Severity 3 Minor: Cosmetic or low impact. SLA: before next gate</w:t>
      </w:r>
    </w:p>
    <w:p>
      <w:pPr/>
      <w:r>
        <w:t>Clash rules of engagement</w:t>
      </w:r>
    </w:p>
    <w:p>
      <w:pPr/>
      <w:r>
        <w:t>Federated model sources: Only latest SHARED models allowed (2.4, 8.1.5)</w:t>
      </w:r>
    </w:p>
    <w:p>
      <w:pPr/>
      <w:r>
        <w:t>Tolerances: Apply approved rules by pair, purpose, zone, units and source revisions. Do not mark an intersection or safety/access failure harmless merely because it falls inside a numerical threshold; disposition and retest are required (11.3).</w:t>
      </w:r>
    </w:p>
    <w:p>
      <w:pPr/>
      <w:r>
        <w:t>Ownership: Primary owner proposes fix. Secondary owner concurs. Escalate to LAP if stalemate</w:t>
      </w:r>
    </w:p>
    <w:p>
      <w:pPr/>
      <w:r>
        <w:t>Evidence: All Severity 1 and 2 clashes require a viewpoint, comment, and proposed action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590"/>
        <w:gridCol w:w="1940"/>
        <w:gridCol w:w="1667"/>
        <w:gridCol w:w="3269"/>
      </w:tblGrid>
      <w:tr>
        <w:trPr>
          <w:cantSplit/>
          <w:tblHeader/>
        </w:trPr>
        <w:tc>
          <w:tcPr>
            <w:tcW w:type="dxa" w:w="3590"/>
            <w:shd w:val="clear" w:color="auto" w:fill="111113"/>
          </w:tcPr>
          <w:p>
            <w:r>
              <w:rPr>
                <w:b/>
                <w:color w:val="FFFFFF"/>
                <w:sz w:val="17"/>
              </w:rPr>
            </w:r>
            <w:r>
              <w:rPr>
                <w:b/>
                <w:color w:val="FFFFFF"/>
                <w:sz w:val="17"/>
              </w:rPr>
              <w:t>Acceptance criteria</w:t>
            </w:r>
          </w:p>
        </w:tc>
        <w:tc>
          <w:tcPr>
            <w:tcW w:type="dxa" w:w="1940"/>
            <w:shd w:val="clear" w:color="auto" w:fill="111113"/>
          </w:tcPr>
          <w:p>
            <w:r>
              <w:rPr>
                <w:b/>
                <w:color w:val="FFFFFF"/>
                <w:sz w:val="17"/>
              </w:rPr>
            </w:r>
            <w:r>
              <w:rPr>
                <w:b/>
                <w:color w:val="FFFFFF"/>
                <w:sz w:val="17"/>
              </w:rPr>
              <w:t>Quality checks</w:t>
            </w:r>
          </w:p>
        </w:tc>
        <w:tc>
          <w:tcPr>
            <w:tcW w:type="dxa" w:w="1667"/>
            <w:shd w:val="clear" w:color="auto" w:fill="111113"/>
          </w:tcPr>
          <w:p>
            <w:r>
              <w:rPr>
                <w:b/>
                <w:color w:val="FFFFFF"/>
                <w:sz w:val="17"/>
              </w:rPr>
            </w:r>
            <w:r>
              <w:rPr>
                <w:b/>
                <w:color w:val="FFFFFF"/>
                <w:sz w:val="17"/>
              </w:rPr>
              <w:t>Owner</w:t>
            </w:r>
          </w:p>
        </w:tc>
        <w:tc>
          <w:tcPr>
            <w:tcW w:type="dxa" w:w="3269"/>
            <w:shd w:val="clear" w:color="auto" w:fill="111113"/>
          </w:tcPr>
          <w:p>
            <w:r>
              <w:rPr>
                <w:b/>
                <w:color w:val="FFFFFF"/>
                <w:sz w:val="17"/>
              </w:rPr>
            </w:r>
            <w:r>
              <w:rPr>
                <w:b/>
                <w:color w:val="FFFFFF"/>
                <w:sz w:val="17"/>
              </w:rPr>
              <w:t>Evidence</w:t>
            </w:r>
          </w:p>
        </w:tc>
      </w:tr>
      <w:tr>
        <w:trPr>
          <w:cantSplit/>
        </w:trPr>
        <w:tc>
          <w:tcPr>
            <w:tcW w:type="dxa" w:w="3590"/>
          </w:tcPr>
          <w:p>
            <w:r>
              <w:rPr>
                <w:sz w:val="17"/>
              </w:rPr>
            </w:r>
            <w:r>
              <w:rPr>
                <w:sz w:val="17"/>
              </w:rPr>
              <w:t>Clash matrix published and referenced in BEP</w:t>
            </w:r>
          </w:p>
        </w:tc>
        <w:tc>
          <w:tcPr>
            <w:tcW w:type="dxa" w:w="1940"/>
          </w:tcPr>
          <w:p>
            <w:r>
              <w:rPr>
                <w:sz w:val="17"/>
              </w:rPr>
            </w:r>
            <w:r>
              <w:rPr>
                <w:sz w:val="17"/>
              </w:rPr>
              <w:t>Presence and link check</w:t>
            </w:r>
          </w:p>
        </w:tc>
        <w:tc>
          <w:tcPr>
            <w:tcW w:type="dxa" w:w="1667"/>
          </w:tcPr>
          <w:p>
            <w:r>
              <w:rPr>
                <w:sz w:val="17"/>
              </w:rPr>
            </w:r>
            <w:r>
              <w:rPr>
                <w:sz w:val="17"/>
              </w:rPr>
              <w:t>Information Manager</w:t>
            </w:r>
          </w:p>
        </w:tc>
        <w:tc>
          <w:tcPr>
            <w:tcW w:type="dxa" w:w="3269"/>
          </w:tcPr>
          <w:p>
            <w:r>
              <w:rPr>
                <w:sz w:val="17"/>
              </w:rPr>
            </w:r>
            <w:r>
              <w:rPr>
                <w:sz w:val="17"/>
              </w:rPr>
              <w:t>Matrix table in this section + BEP link</w:t>
            </w:r>
          </w:p>
        </w:tc>
      </w:tr>
      <w:tr>
        <w:trPr>
          <w:cantSplit/>
        </w:trPr>
        <w:tc>
          <w:tcPr>
            <w:tcW w:type="dxa" w:w="3590"/>
          </w:tcPr>
          <w:p>
            <w:r>
              <w:rPr>
                <w:sz w:val="17"/>
              </w:rPr>
            </w:r>
            <w:r>
              <w:rPr>
                <w:sz w:val="17"/>
              </w:rPr>
              <w:t>Severity definitions applied consistently</w:t>
            </w:r>
          </w:p>
        </w:tc>
        <w:tc>
          <w:tcPr>
            <w:tcW w:type="dxa" w:w="1940"/>
          </w:tcPr>
          <w:p>
            <w:r>
              <w:rPr>
                <w:sz w:val="17"/>
              </w:rPr>
            </w:r>
            <w:r>
              <w:rPr>
                <w:sz w:val="17"/>
              </w:rPr>
              <w:t>Sample of 20 issues</w:t>
            </w:r>
          </w:p>
        </w:tc>
        <w:tc>
          <w:tcPr>
            <w:tcW w:type="dxa" w:w="1667"/>
          </w:tcPr>
          <w:p>
            <w:r>
              <w:rPr>
                <w:sz w:val="17"/>
              </w:rPr>
            </w:r>
            <w:r>
              <w:rPr>
                <w:sz w:val="17"/>
              </w:rPr>
              <w:t>QA-QC Lead</w:t>
            </w:r>
          </w:p>
        </w:tc>
        <w:tc>
          <w:tcPr>
            <w:tcW w:type="dxa" w:w="3269"/>
          </w:tcPr>
          <w:p>
            <w:r>
              <w:rPr>
                <w:sz w:val="17"/>
              </w:rPr>
            </w:r>
            <w:r>
              <w:rPr>
                <w:sz w:val="17"/>
              </w:rPr>
              <w:t>Issue list annotation</w:t>
            </w:r>
          </w:p>
        </w:tc>
      </w:tr>
      <w:tr>
        <w:trPr>
          <w:cantSplit/>
        </w:trPr>
        <w:tc>
          <w:tcPr>
            <w:tcW w:type="dxa" w:w="3590"/>
          </w:tcPr>
          <w:p>
            <w:r>
              <w:rPr>
                <w:sz w:val="17"/>
              </w:rPr>
            </w:r>
            <w:r>
              <w:rPr>
                <w:sz w:val="17"/>
              </w:rPr>
              <w:t>Only SHARED models in federated set</w:t>
            </w:r>
          </w:p>
        </w:tc>
        <w:tc>
          <w:tcPr>
            <w:tcW w:type="dxa" w:w="1940"/>
          </w:tcPr>
          <w:p>
            <w:r>
              <w:rPr>
                <w:sz w:val="17"/>
              </w:rPr>
            </w:r>
            <w:r>
              <w:rPr>
                <w:sz w:val="17"/>
              </w:rPr>
              <w:t>Link path audit</w:t>
            </w:r>
          </w:p>
        </w:tc>
        <w:tc>
          <w:tcPr>
            <w:tcW w:type="dxa" w:w="1667"/>
          </w:tcPr>
          <w:p>
            <w:r>
              <w:rPr>
                <w:sz w:val="17"/>
              </w:rPr>
            </w:r>
            <w:r>
              <w:rPr>
                <w:sz w:val="17"/>
              </w:rPr>
              <w:t>BIM Coordinator</w:t>
            </w:r>
          </w:p>
        </w:tc>
        <w:tc>
          <w:tcPr>
            <w:tcW w:type="dxa" w:w="3269"/>
          </w:tcPr>
          <w:p>
            <w:r>
              <w:rPr>
                <w:sz w:val="17"/>
              </w:rPr>
            </w:r>
            <w:r>
              <w:rPr>
                <w:sz w:val="17"/>
              </w:rPr>
              <w:t>Report in 06-REPORTS/​02-CLASHES</w:t>
            </w:r>
          </w:p>
        </w:tc>
      </w:tr>
    </w:tbl>
    <w:p/>
    <w:p>
      <w:pPr>
        <w:pStyle w:val="Heading2"/>
      </w:pPr>
      <w:r>
        <w:t>10.2 COORDINATION CYCLES</w:t>
      </w:r>
    </w:p>
    <w:p>
      <w:pPr/>
      <w:r>
        <w:t>Purpose</w:t>
      </w:r>
    </w:p>
    <w:p>
      <w:pPr/>
      <w:r>
        <w:t>Establish a predictable loop of coordination that reduces rework, drives decisions, and produces evidence for gates (2.1, 2.3).</w:t>
      </w:r>
    </w:p>
    <w:p>
      <w:pPr/>
      <w:r>
        <w:t>Cycle types</w:t>
      </w:r>
    </w:p>
    <w:p>
      <w:pPr/>
      <w:r>
        <w:t>Weekly cycle (design stages RIBA 3–4)</w:t>
      </w:r>
    </w:p>
    <w:p>
      <w:pPr/>
      <w:r>
        <w:t>Biweekly cycle (other stages unless project dictates)</w:t>
      </w:r>
    </w:p>
    <w:p>
      <w:pPr/>
      <w:r>
        <w:t>Pre-issue mini-cycle (T−2..T day, aligned with 7.3 and 8.1.4)</w:t>
      </w:r>
    </w:p>
    <w:p>
      <w:pPr/>
      <w:r>
        <w:t>Inputs and prerequisites</w:t>
      </w:r>
    </w:p>
    <w:p>
      <w:pPr/>
      <w:r>
        <w:t>Federated model composed from latest SHARED discipline models (12.1)</w:t>
      </w:r>
    </w:p>
    <w:p>
      <w:pPr/>
      <w:r>
        <w:t>Open issues from prior cycle with status and owners (10.3)</w:t>
      </w:r>
    </w:p>
    <w:p>
      <w:pPr/>
      <w:r>
        <w:t>Change log since previous cycle and agenda published 24h in advance</w:t>
      </w:r>
    </w:p>
    <w:p>
      <w:pPr/>
      <w:r>
        <w:t>Standard agenda (time-boxed 60–90 minutes)</w:t>
      </w:r>
    </w:p>
    <w:p>
      <w:pPr/>
      <w:r>
        <w:t>Roll-call and scope confirmation (5 min)</w:t>
      </w:r>
    </w:p>
    <w:p>
      <w:pPr/>
      <w:r>
        <w:t>Review of metrics trend (warnings, critical clashes, data completeness) (10 min)</w:t>
      </w:r>
    </w:p>
    <w:p>
      <w:pPr/>
      <w:r>
        <w:t>Top clashes by severity and system with owner updates (20–30 min)</w:t>
      </w:r>
    </w:p>
    <w:p>
      <w:pPr/>
      <w:r>
        <w:t>Interfaces review per Clash Matrix (10.1) (10–15 min)</w:t>
      </w:r>
    </w:p>
    <w:p>
      <w:pPr/>
      <w:r>
        <w:t>Decisions and actions, due dates, and escalations (10–15 min)</w:t>
      </w:r>
    </w:p>
    <w:p>
      <w:pPr/>
      <w:r>
        <w:t>Wrap: confirm evidence posting and next steps (5 min)</w:t>
      </w:r>
    </w:p>
    <w:p>
      <w:pPr/>
      <w:r>
        <w:t>Evidence and posting rules</w:t>
      </w:r>
    </w:p>
    <w:p>
      <w:pPr/>
      <w:r>
        <w:t>Within 24h, publish: clash report, viewpoints, metrics snapshot, and action list to 02-SHARED/06-REPORTS/02-CLASHES</w:t>
      </w:r>
    </w:p>
    <w:p>
      <w:pPr/>
      <w:r>
        <w:t>Update 00-PROJECT-LOG with decisions and deltas since last cycle</w:t>
      </w:r>
    </w:p>
    <w:p>
      <w:pPr/>
      <w:r>
        <w:t>Tag items blocking the next gate as Gate-Critical in the issue tracker</w:t>
      </w:r>
    </w:p>
    <w:p>
      <w:pPr/>
      <w:r>
        <w:t>Tools and configurations (baseline)</w:t>
      </w:r>
    </w:p>
    <w:p>
      <w:pPr/>
      <w:r>
        <w:t>Clash test sets by discipline and interface, versioned with rule-set ID</w:t>
      </w:r>
    </w:p>
    <w:p>
      <w:pPr/>
      <w:r>
        <w:t>Color by system where applicable; section boxes standardized for typical zones/levels</w:t>
      </w:r>
    </w:p>
    <w:p>
      <w:pPr/>
      <w:r>
        <w:t>Viewpoint naming: &lt;SEV&gt;-&lt;DISC/CROSS&gt;-&lt;ZONE/LEVEL&gt;-&lt;SHORTDESC&gt;-YYYYMMDD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424"/>
        <w:gridCol w:w="2936"/>
        <w:gridCol w:w="1726"/>
        <w:gridCol w:w="2379"/>
      </w:tblGrid>
      <w:tr>
        <w:trPr>
          <w:cantSplit/>
          <w:tblHeader/>
        </w:trPr>
        <w:tc>
          <w:tcPr>
            <w:tcW w:type="dxa" w:w="3424"/>
            <w:shd w:val="clear" w:color="auto" w:fill="111113"/>
          </w:tcPr>
          <w:p>
            <w:r>
              <w:rPr>
                <w:b/>
                <w:color w:val="FFFFFF"/>
                <w:sz w:val="17"/>
              </w:rPr>
            </w:r>
            <w:r>
              <w:rPr>
                <w:b/>
                <w:color w:val="FFFFFF"/>
                <w:sz w:val="17"/>
              </w:rPr>
              <w:t>Acceptance criteria</w:t>
            </w:r>
          </w:p>
        </w:tc>
        <w:tc>
          <w:tcPr>
            <w:tcW w:type="dxa" w:w="2936"/>
            <w:shd w:val="clear" w:color="auto" w:fill="111113"/>
          </w:tcPr>
          <w:p>
            <w:r>
              <w:rPr>
                <w:b/>
                <w:color w:val="FFFFFF"/>
                <w:sz w:val="17"/>
              </w:rPr>
            </w:r>
            <w:r>
              <w:rPr>
                <w:b/>
                <w:color w:val="FFFFFF"/>
                <w:sz w:val="17"/>
              </w:rPr>
              <w:t>Quality checks</w:t>
            </w:r>
          </w:p>
        </w:tc>
        <w:tc>
          <w:tcPr>
            <w:tcW w:type="dxa" w:w="1726"/>
            <w:shd w:val="clear" w:color="auto" w:fill="111113"/>
          </w:tcPr>
          <w:p>
            <w:r>
              <w:rPr>
                <w:b/>
                <w:color w:val="FFFFFF"/>
                <w:sz w:val="17"/>
              </w:rPr>
            </w:r>
            <w:r>
              <w:rPr>
                <w:b/>
                <w:color w:val="FFFFFF"/>
                <w:sz w:val="17"/>
              </w:rPr>
              <w:t>Owner</w:t>
            </w:r>
          </w:p>
        </w:tc>
        <w:tc>
          <w:tcPr>
            <w:tcW w:type="dxa" w:w="2379"/>
            <w:shd w:val="clear" w:color="auto" w:fill="111113"/>
          </w:tcPr>
          <w:p>
            <w:r>
              <w:rPr>
                <w:b/>
                <w:color w:val="FFFFFF"/>
                <w:sz w:val="17"/>
              </w:rPr>
            </w:r>
            <w:r>
              <w:rPr>
                <w:b/>
                <w:color w:val="FFFFFF"/>
                <w:sz w:val="17"/>
              </w:rPr>
              <w:t>Evidence</w:t>
            </w:r>
          </w:p>
        </w:tc>
      </w:tr>
      <w:tr>
        <w:trPr>
          <w:cantSplit/>
        </w:trPr>
        <w:tc>
          <w:tcPr>
            <w:tcW w:type="dxa" w:w="3424"/>
          </w:tcPr>
          <w:p>
            <w:r>
              <w:rPr>
                <w:sz w:val="17"/>
              </w:rPr>
            </w:r>
            <w:r>
              <w:rPr>
                <w:sz w:val="17"/>
              </w:rPr>
              <w:t>Cycle held per cadence with agenda and minutes</w:t>
            </w:r>
          </w:p>
        </w:tc>
        <w:tc>
          <w:tcPr>
            <w:tcW w:type="dxa" w:w="2936"/>
          </w:tcPr>
          <w:p>
            <w:r>
              <w:rPr>
                <w:sz w:val="17"/>
              </w:rPr>
            </w:r>
            <w:r>
              <w:rPr>
                <w:sz w:val="17"/>
              </w:rPr>
              <w:t>Calendar vs minutes posted within 24h</w:t>
            </w:r>
          </w:p>
        </w:tc>
        <w:tc>
          <w:tcPr>
            <w:tcW w:type="dxa" w:w="1726"/>
          </w:tcPr>
          <w:p>
            <w:r>
              <w:rPr>
                <w:sz w:val="17"/>
              </w:rPr>
            </w:r>
            <w:r>
              <w:rPr>
                <w:sz w:val="17"/>
              </w:rPr>
              <w:t>BIM Coordinator</w:t>
            </w:r>
          </w:p>
        </w:tc>
        <w:tc>
          <w:tcPr>
            <w:tcW w:type="dxa" w:w="2379"/>
          </w:tcPr>
          <w:p>
            <w:r>
              <w:rPr>
                <w:sz w:val="17"/>
              </w:rPr>
            </w:r>
            <w:r>
              <w:rPr>
                <w:sz w:val="17"/>
              </w:rPr>
              <w:t>MOMs + 00-PROJECT-LOG entries</w:t>
            </w:r>
          </w:p>
        </w:tc>
      </w:tr>
      <w:tr>
        <w:trPr>
          <w:cantSplit/>
        </w:trPr>
        <w:tc>
          <w:tcPr>
            <w:tcW w:type="dxa" w:w="3424"/>
          </w:tcPr>
          <w:p>
            <w:r>
              <w:rPr>
                <w:sz w:val="17"/>
              </w:rPr>
            </w:r>
            <w:r>
              <w:rPr>
                <w:sz w:val="17"/>
              </w:rPr>
              <w:t>Metrics snapshot attached each cycle</w:t>
            </w:r>
          </w:p>
        </w:tc>
        <w:tc>
          <w:tcPr>
            <w:tcW w:type="dxa" w:w="2936"/>
          </w:tcPr>
          <w:p>
            <w:r>
              <w:rPr>
                <w:sz w:val="17"/>
              </w:rPr>
            </w:r>
            <w:r>
              <w:rPr>
                <w:sz w:val="17"/>
              </w:rPr>
              <w:t>Presence of snapshot files</w:t>
            </w:r>
          </w:p>
        </w:tc>
        <w:tc>
          <w:tcPr>
            <w:tcW w:type="dxa" w:w="1726"/>
          </w:tcPr>
          <w:p>
            <w:r>
              <w:rPr>
                <w:sz w:val="17"/>
              </w:rPr>
            </w:r>
            <w:r>
              <w:rPr>
                <w:sz w:val="17"/>
              </w:rPr>
              <w:t>QA-QC Lead</w:t>
            </w:r>
          </w:p>
        </w:tc>
        <w:tc>
          <w:tcPr>
            <w:tcW w:type="dxa" w:w="2379"/>
          </w:tcPr>
          <w:p>
            <w:r>
              <w:rPr>
                <w:sz w:val="17"/>
              </w:rPr>
            </w:r>
            <w:r>
              <w:rPr>
                <w:sz w:val="17"/>
              </w:rPr>
              <w:t>Reports in 02-CLASHES</w:t>
            </w:r>
          </w:p>
        </w:tc>
      </w:tr>
      <w:tr>
        <w:trPr>
          <w:cantSplit/>
        </w:trPr>
        <w:tc>
          <w:tcPr>
            <w:tcW w:type="dxa" w:w="3424"/>
          </w:tcPr>
          <w:p>
            <w:r>
              <w:rPr>
                <w:sz w:val="17"/>
              </w:rPr>
            </w:r>
            <w:r>
              <w:rPr>
                <w:sz w:val="17"/>
              </w:rPr>
              <w:t>Gate-Critical items flagged and tracked</w:t>
            </w:r>
          </w:p>
        </w:tc>
        <w:tc>
          <w:tcPr>
            <w:tcW w:type="dxa" w:w="2936"/>
          </w:tcPr>
          <w:p>
            <w:r>
              <w:rPr>
                <w:sz w:val="17"/>
              </w:rPr>
            </w:r>
            <w:r>
              <w:rPr>
                <w:sz w:val="17"/>
              </w:rPr>
              <w:t>Issue fields contain Gate-Critical tag</w:t>
            </w:r>
          </w:p>
        </w:tc>
        <w:tc>
          <w:tcPr>
            <w:tcW w:type="dxa" w:w="1726"/>
          </w:tcPr>
          <w:p>
            <w:r>
              <w:rPr>
                <w:sz w:val="17"/>
              </w:rPr>
            </w:r>
            <w:r>
              <w:rPr>
                <w:sz w:val="17"/>
              </w:rPr>
              <w:t>Information Manager</w:t>
            </w:r>
          </w:p>
        </w:tc>
        <w:tc>
          <w:tcPr>
            <w:tcW w:type="dxa" w:w="2379"/>
          </w:tcPr>
          <w:p>
            <w:r>
              <w:rPr>
                <w:sz w:val="17"/>
              </w:rPr>
            </w:r>
            <w:r>
              <w:rPr>
                <w:sz w:val="17"/>
              </w:rPr>
              <w:t>Issue list export</w:t>
            </w:r>
          </w:p>
        </w:tc>
      </w:tr>
      <w:tr>
        <w:trPr>
          <w:cantSplit/>
        </w:trPr>
        <w:tc>
          <w:tcPr>
            <w:tcW w:type="dxa" w:w="3424"/>
          </w:tcPr>
          <w:p>
            <w:r>
              <w:rPr>
                <w:sz w:val="17"/>
              </w:rPr>
            </w:r>
            <w:r>
              <w:rPr>
                <w:sz w:val="17"/>
              </w:rPr>
              <w:t>Evidence posted within 24h</w:t>
            </w:r>
          </w:p>
        </w:tc>
        <w:tc>
          <w:tcPr>
            <w:tcW w:type="dxa" w:w="2936"/>
          </w:tcPr>
          <w:p>
            <w:r>
              <w:rPr>
                <w:sz w:val="17"/>
              </w:rPr>
            </w:r>
            <w:r>
              <w:rPr>
                <w:sz w:val="17"/>
              </w:rPr>
              <w:t>Timestamps within window</w:t>
            </w:r>
          </w:p>
        </w:tc>
        <w:tc>
          <w:tcPr>
            <w:tcW w:type="dxa" w:w="1726"/>
          </w:tcPr>
          <w:p>
            <w:r>
              <w:rPr>
                <w:sz w:val="17"/>
              </w:rPr>
            </w:r>
            <w:r>
              <w:rPr>
                <w:sz w:val="17"/>
              </w:rPr>
              <w:t>BIM Coordinator</w:t>
            </w:r>
          </w:p>
        </w:tc>
        <w:tc>
          <w:tcPr>
            <w:tcW w:type="dxa" w:w="2379"/>
          </w:tcPr>
          <w:p>
            <w:r>
              <w:rPr>
                <w:sz w:val="17"/>
              </w:rPr>
            </w:r>
            <w:r>
              <w:rPr>
                <w:sz w:val="17"/>
              </w:rPr>
              <w:t>Folder timestamps</w:t>
            </w:r>
          </w:p>
        </w:tc>
      </w:tr>
    </w:tbl>
    <w:p/>
    <w:p>
      <w:pPr/>
      <w:r>
        <w:t>Interlocks</w:t>
      </w:r>
    </w:p>
    <w:p>
      <w:pPr/>
      <w:r>
        <w:t>Uses owners and interfaces defined in 10.1 Clash Matrix</w:t>
      </w:r>
    </w:p>
    <w:p>
      <w:pPr/>
      <w:r>
        <w:t>Feeds Publishing checklist in 7.3 and evidence in 2.3</w:t>
      </w:r>
    </w:p>
    <w:p>
      <w:pPr/>
      <w:r>
        <w:t>Aligns with Coordination Protocol 8.1.5 for steps and SLAs</w:t>
      </w:r>
    </w:p>
    <w:p>
      <w:pPr>
        <w:pStyle w:val="Heading2"/>
      </w:pPr>
      <w:r>
        <w:t>10.3 ISSUE TRACKING</w:t>
      </w:r>
    </w:p>
    <w:p>
      <w:pPr/>
      <w:r>
        <w:t>Purpose</w:t>
      </w:r>
    </w:p>
    <w:p>
      <w:pPr/>
      <w:r>
        <w:t>Track, triage, and close coordination and quality issues with clear ownership, dates, and evidence, feeding gates and publishing (2.1, 2.3, 7.3).</w:t>
      </w:r>
    </w:p>
    <w:p>
      <w:pPr/>
      <w:r>
        <w:t>Tracker fields (minimum schema)</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86"/>
        <w:gridCol w:w="1679"/>
        <w:gridCol w:w="1908"/>
        <w:gridCol w:w="5093"/>
      </w:tblGrid>
      <w:tr>
        <w:trPr>
          <w:cantSplit/>
          <w:tblHeader/>
        </w:trPr>
        <w:tc>
          <w:tcPr>
            <w:tcW w:type="dxa" w:w="1786"/>
            <w:shd w:val="clear" w:color="auto" w:fill="111113"/>
          </w:tcPr>
          <w:p>
            <w:r>
              <w:rPr>
                <w:b/>
                <w:color w:val="FFFFFF"/>
                <w:sz w:val="17"/>
              </w:rPr>
            </w:r>
            <w:r>
              <w:rPr>
                <w:b/>
                <w:color w:val="FFFFFF"/>
                <w:sz w:val="17"/>
              </w:rPr>
              <w:t>Field</w:t>
            </w:r>
          </w:p>
        </w:tc>
        <w:tc>
          <w:tcPr>
            <w:tcW w:type="dxa" w:w="1679"/>
            <w:shd w:val="clear" w:color="auto" w:fill="111113"/>
          </w:tcPr>
          <w:p>
            <w:r>
              <w:rPr>
                <w:b/>
                <w:color w:val="FFFFFF"/>
                <w:sz w:val="17"/>
              </w:rPr>
            </w:r>
            <w:r>
              <w:rPr>
                <w:b/>
                <w:color w:val="FFFFFF"/>
                <w:sz w:val="17"/>
              </w:rPr>
              <w:t>Type</w:t>
            </w:r>
          </w:p>
        </w:tc>
        <w:tc>
          <w:tcPr>
            <w:tcW w:type="dxa" w:w="1908"/>
            <w:shd w:val="clear" w:color="auto" w:fill="111113"/>
          </w:tcPr>
          <w:p>
            <w:r>
              <w:rPr>
                <w:b/>
                <w:color w:val="FFFFFF"/>
                <w:sz w:val="17"/>
              </w:rPr>
            </w:r>
            <w:r>
              <w:rPr>
                <w:b/>
                <w:color w:val="FFFFFF"/>
                <w:sz w:val="17"/>
              </w:rPr>
              <w:t>Required?</w:t>
            </w:r>
          </w:p>
        </w:tc>
        <w:tc>
          <w:tcPr>
            <w:tcW w:type="dxa" w:w="5093"/>
            <w:shd w:val="clear" w:color="auto" w:fill="111113"/>
          </w:tcPr>
          <w:p>
            <w:r>
              <w:rPr>
                <w:b/>
                <w:color w:val="FFFFFF"/>
                <w:sz w:val="17"/>
              </w:rPr>
            </w:r>
            <w:r>
              <w:rPr>
                <w:b/>
                <w:color w:val="FFFFFF"/>
                <w:sz w:val="17"/>
              </w:rPr>
              <w:t>Notes</w:t>
            </w:r>
          </w:p>
        </w:tc>
      </w:tr>
      <w:tr>
        <w:trPr>
          <w:cantSplit/>
        </w:trPr>
        <w:tc>
          <w:tcPr>
            <w:tcW w:type="dxa" w:w="1786"/>
          </w:tcPr>
          <w:p>
            <w:r>
              <w:rPr>
                <w:sz w:val="17"/>
              </w:rPr>
            </w:r>
            <w:r>
              <w:rPr>
                <w:sz w:val="17"/>
              </w:rPr>
              <w:t>ID</w:t>
            </w:r>
          </w:p>
        </w:tc>
        <w:tc>
          <w:tcPr>
            <w:tcW w:type="dxa" w:w="1679"/>
          </w:tcPr>
          <w:p>
            <w:r>
              <w:rPr>
                <w:sz w:val="17"/>
              </w:rPr>
            </w:r>
            <w:r>
              <w:rPr>
                <w:sz w:val="17"/>
              </w:rPr>
              <w:t>Auto or short code</w:t>
            </w:r>
          </w:p>
        </w:tc>
        <w:tc>
          <w:tcPr>
            <w:tcW w:type="dxa" w:w="1908"/>
          </w:tcPr>
          <w:p>
            <w:r>
              <w:rPr>
                <w:sz w:val="17"/>
              </w:rPr>
            </w:r>
            <w:r>
              <w:rPr>
                <w:sz w:val="17"/>
              </w:rPr>
              <w:t>Yes</w:t>
            </w:r>
          </w:p>
        </w:tc>
        <w:tc>
          <w:tcPr>
            <w:tcW w:type="dxa" w:w="5093"/>
          </w:tcPr>
          <w:p>
            <w:r>
              <w:rPr>
                <w:sz w:val="17"/>
              </w:rPr>
            </w:r>
            <w:r>
              <w:rPr>
                <w:sz w:val="17"/>
              </w:rPr>
              <w:t>Monotonic per project. Used in filenames and viewpoints</w:t>
            </w:r>
          </w:p>
        </w:tc>
      </w:tr>
      <w:tr>
        <w:trPr>
          <w:cantSplit/>
        </w:trPr>
        <w:tc>
          <w:tcPr>
            <w:tcW w:type="dxa" w:w="1786"/>
          </w:tcPr>
          <w:p>
            <w:r>
              <w:rPr>
                <w:sz w:val="17"/>
              </w:rPr>
            </w:r>
            <w:r>
              <w:rPr>
                <w:sz w:val="17"/>
              </w:rPr>
              <w:t>Title</w:t>
            </w:r>
          </w:p>
        </w:tc>
        <w:tc>
          <w:tcPr>
            <w:tcW w:type="dxa" w:w="1679"/>
          </w:tcPr>
          <w:p>
            <w:r>
              <w:rPr>
                <w:sz w:val="17"/>
              </w:rPr>
            </w:r>
            <w:r>
              <w:rPr>
                <w:sz w:val="17"/>
              </w:rPr>
              <w:t>Text</w:t>
            </w:r>
          </w:p>
        </w:tc>
        <w:tc>
          <w:tcPr>
            <w:tcW w:type="dxa" w:w="1908"/>
          </w:tcPr>
          <w:p>
            <w:r>
              <w:rPr>
                <w:sz w:val="17"/>
              </w:rPr>
            </w:r>
            <w:r>
              <w:rPr>
                <w:sz w:val="17"/>
              </w:rPr>
              <w:t>Yes</w:t>
            </w:r>
          </w:p>
        </w:tc>
        <w:tc>
          <w:tcPr>
            <w:tcW w:type="dxa" w:w="5093"/>
          </w:tcPr>
          <w:p>
            <w:r>
              <w:rPr>
                <w:sz w:val="17"/>
              </w:rPr>
            </w:r>
            <w:r>
              <w:rPr>
                <w:sz w:val="17"/>
              </w:rPr>
              <w:t>Verb-first and concise, e.g., "Resize opening at Grid B2"</w:t>
            </w:r>
          </w:p>
        </w:tc>
      </w:tr>
      <w:tr>
        <w:trPr>
          <w:cantSplit/>
        </w:trPr>
        <w:tc>
          <w:tcPr>
            <w:tcW w:type="dxa" w:w="1786"/>
          </w:tcPr>
          <w:p>
            <w:r>
              <w:rPr>
                <w:sz w:val="17"/>
              </w:rPr>
            </w:r>
            <w:r>
              <w:rPr>
                <w:sz w:val="17"/>
              </w:rPr>
              <w:t>Discipline</w:t>
            </w:r>
          </w:p>
        </w:tc>
        <w:tc>
          <w:tcPr>
            <w:tcW w:type="dxa" w:w="1679"/>
          </w:tcPr>
          <w:p>
            <w:r>
              <w:rPr>
                <w:sz w:val="17"/>
              </w:rPr>
            </w:r>
            <w:r>
              <w:rPr>
                <w:sz w:val="17"/>
              </w:rPr>
              <w:t>Select</w:t>
            </w:r>
          </w:p>
        </w:tc>
        <w:tc>
          <w:tcPr>
            <w:tcW w:type="dxa" w:w="1908"/>
          </w:tcPr>
          <w:p>
            <w:r>
              <w:rPr>
                <w:sz w:val="17"/>
              </w:rPr>
            </w:r>
            <w:r>
              <w:rPr>
                <w:sz w:val="17"/>
              </w:rPr>
              <w:t>Yes</w:t>
            </w:r>
          </w:p>
        </w:tc>
        <w:tc>
          <w:tcPr>
            <w:tcW w:type="dxa" w:w="5093"/>
          </w:tcPr>
          <w:p>
            <w:r>
              <w:rPr>
                <w:sz w:val="17"/>
              </w:rPr>
            </w:r>
            <w:r>
              <w:rPr>
                <w:sz w:val="17"/>
              </w:rPr>
              <w:t>3-letter code from BBM-STD-93 (ARC, STR, MEC, ELE, LSC, PLU, FLS, INT, CIV, SUR, QTY, CON, GEN)</w:t>
            </w:r>
          </w:p>
        </w:tc>
      </w:tr>
      <w:tr>
        <w:trPr>
          <w:cantSplit/>
        </w:trPr>
        <w:tc>
          <w:tcPr>
            <w:tcW w:type="dxa" w:w="1786"/>
          </w:tcPr>
          <w:p>
            <w:r>
              <w:rPr>
                <w:sz w:val="17"/>
              </w:rPr>
            </w:r>
            <w:r>
              <w:rPr>
                <w:sz w:val="17"/>
              </w:rPr>
              <w:t>Owner</w:t>
            </w:r>
          </w:p>
        </w:tc>
        <w:tc>
          <w:tcPr>
            <w:tcW w:type="dxa" w:w="1679"/>
          </w:tcPr>
          <w:p>
            <w:r>
              <w:rPr>
                <w:sz w:val="17"/>
              </w:rPr>
            </w:r>
            <w:r>
              <w:rPr>
                <w:sz w:val="17"/>
              </w:rPr>
              <w:t>Person</w:t>
            </w:r>
          </w:p>
        </w:tc>
        <w:tc>
          <w:tcPr>
            <w:tcW w:type="dxa" w:w="1908"/>
          </w:tcPr>
          <w:p>
            <w:r>
              <w:rPr>
                <w:sz w:val="17"/>
              </w:rPr>
            </w:r>
            <w:r>
              <w:rPr>
                <w:sz w:val="17"/>
              </w:rPr>
              <w:t>Yes</w:t>
            </w:r>
          </w:p>
        </w:tc>
        <w:tc>
          <w:tcPr>
            <w:tcW w:type="dxa" w:w="5093"/>
          </w:tcPr>
          <w:p>
            <w:r>
              <w:rPr>
                <w:sz w:val="17"/>
              </w:rPr>
            </w:r>
            <w:r>
              <w:rPr>
                <w:sz w:val="17"/>
              </w:rPr>
              <w:t>Single accountable individual</w:t>
            </w:r>
          </w:p>
        </w:tc>
      </w:tr>
      <w:tr>
        <w:trPr>
          <w:cantSplit/>
        </w:trPr>
        <w:tc>
          <w:tcPr>
            <w:tcW w:type="dxa" w:w="1786"/>
          </w:tcPr>
          <w:p>
            <w:r>
              <w:rPr>
                <w:sz w:val="17"/>
              </w:rPr>
            </w:r>
            <w:r>
              <w:rPr>
                <w:sz w:val="17"/>
              </w:rPr>
              <w:t>Severity</w:t>
            </w:r>
          </w:p>
        </w:tc>
        <w:tc>
          <w:tcPr>
            <w:tcW w:type="dxa" w:w="1679"/>
          </w:tcPr>
          <w:p>
            <w:r>
              <w:rPr>
                <w:sz w:val="17"/>
              </w:rPr>
            </w:r>
            <w:r>
              <w:rPr>
                <w:sz w:val="17"/>
              </w:rPr>
              <w:t>Select</w:t>
            </w:r>
          </w:p>
        </w:tc>
        <w:tc>
          <w:tcPr>
            <w:tcW w:type="dxa" w:w="1908"/>
          </w:tcPr>
          <w:p>
            <w:r>
              <w:rPr>
                <w:sz w:val="17"/>
              </w:rPr>
            </w:r>
            <w:r>
              <w:rPr>
                <w:sz w:val="17"/>
              </w:rPr>
              <w:t>Yes</w:t>
            </w:r>
          </w:p>
        </w:tc>
        <w:tc>
          <w:tcPr>
            <w:tcW w:type="dxa" w:w="5093"/>
          </w:tcPr>
          <w:p>
            <w:r>
              <w:rPr>
                <w:sz w:val="17"/>
              </w:rPr>
            </w:r>
            <w:r>
              <w:rPr>
                <w:sz w:val="17"/>
              </w:rPr>
              <w:t>S1 Critical, S2 Major, S3 Minor (10.1)</w:t>
            </w:r>
          </w:p>
        </w:tc>
      </w:tr>
      <w:tr>
        <w:trPr>
          <w:cantSplit/>
        </w:trPr>
        <w:tc>
          <w:tcPr>
            <w:tcW w:type="dxa" w:w="1786"/>
          </w:tcPr>
          <w:p>
            <w:r>
              <w:rPr>
                <w:sz w:val="17"/>
              </w:rPr>
            </w:r>
            <w:r>
              <w:rPr>
                <w:sz w:val="17"/>
              </w:rPr>
              <w:t>Status</w:t>
            </w:r>
          </w:p>
        </w:tc>
        <w:tc>
          <w:tcPr>
            <w:tcW w:type="dxa" w:w="1679"/>
          </w:tcPr>
          <w:p>
            <w:r>
              <w:rPr>
                <w:sz w:val="17"/>
              </w:rPr>
            </w:r>
            <w:r>
              <w:rPr>
                <w:sz w:val="17"/>
              </w:rPr>
              <w:t>Status</w:t>
            </w:r>
          </w:p>
        </w:tc>
        <w:tc>
          <w:tcPr>
            <w:tcW w:type="dxa" w:w="1908"/>
          </w:tcPr>
          <w:p>
            <w:r>
              <w:rPr>
                <w:sz w:val="17"/>
              </w:rPr>
            </w:r>
            <w:r>
              <w:rPr>
                <w:sz w:val="17"/>
              </w:rPr>
              <w:t>Yes</w:t>
            </w:r>
          </w:p>
        </w:tc>
        <w:tc>
          <w:tcPr>
            <w:tcW w:type="dxa" w:w="5093"/>
          </w:tcPr>
          <w:p>
            <w:r>
              <w:rPr>
                <w:sz w:val="17"/>
              </w:rPr>
            </w:r>
            <w:r>
              <w:rPr>
                <w:sz w:val="17"/>
              </w:rPr>
              <w:t>Open → In Progress → Ready for Review → Closed</w:t>
            </w:r>
          </w:p>
        </w:tc>
      </w:tr>
      <w:tr>
        <w:trPr>
          <w:cantSplit/>
        </w:trPr>
        <w:tc>
          <w:tcPr>
            <w:tcW w:type="dxa" w:w="1786"/>
          </w:tcPr>
          <w:p>
            <w:r>
              <w:rPr>
                <w:sz w:val="17"/>
              </w:rPr>
            </w:r>
            <w:r>
              <w:rPr>
                <w:sz w:val="17"/>
              </w:rPr>
              <w:t>Due date</w:t>
            </w:r>
          </w:p>
        </w:tc>
        <w:tc>
          <w:tcPr>
            <w:tcW w:type="dxa" w:w="1679"/>
          </w:tcPr>
          <w:p>
            <w:r>
              <w:rPr>
                <w:sz w:val="17"/>
              </w:rPr>
            </w:r>
            <w:r>
              <w:rPr>
                <w:sz w:val="17"/>
              </w:rPr>
              <w:t>Date</w:t>
            </w:r>
          </w:p>
        </w:tc>
        <w:tc>
          <w:tcPr>
            <w:tcW w:type="dxa" w:w="1908"/>
          </w:tcPr>
          <w:p>
            <w:r>
              <w:rPr>
                <w:sz w:val="17"/>
              </w:rPr>
            </w:r>
            <w:r>
              <w:rPr>
                <w:sz w:val="17"/>
              </w:rPr>
              <w:t>Yes (S1/​S2)</w:t>
            </w:r>
          </w:p>
        </w:tc>
        <w:tc>
          <w:tcPr>
            <w:tcW w:type="dxa" w:w="5093"/>
          </w:tcPr>
          <w:p>
            <w:r>
              <w:rPr>
                <w:sz w:val="17"/>
              </w:rPr>
            </w:r>
            <w:r>
              <w:rPr>
                <w:sz w:val="17"/>
              </w:rPr>
              <w:t>Per SLA (below)</w:t>
            </w:r>
          </w:p>
        </w:tc>
      </w:tr>
      <w:tr>
        <w:trPr>
          <w:cantSplit/>
        </w:trPr>
        <w:tc>
          <w:tcPr>
            <w:tcW w:type="dxa" w:w="1786"/>
          </w:tcPr>
          <w:p>
            <w:r>
              <w:rPr>
                <w:sz w:val="17"/>
              </w:rPr>
            </w:r>
            <w:r>
              <w:rPr>
                <w:sz w:val="17"/>
              </w:rPr>
              <w:t>Gate-Critical</w:t>
            </w:r>
          </w:p>
        </w:tc>
        <w:tc>
          <w:tcPr>
            <w:tcW w:type="dxa" w:w="1679"/>
          </w:tcPr>
          <w:p>
            <w:r>
              <w:rPr>
                <w:sz w:val="17"/>
              </w:rPr>
            </w:r>
            <w:r>
              <w:rPr>
                <w:sz w:val="17"/>
              </w:rPr>
              <w:t>Checkbox</w:t>
            </w:r>
          </w:p>
        </w:tc>
        <w:tc>
          <w:tcPr>
            <w:tcW w:type="dxa" w:w="1908"/>
          </w:tcPr>
          <w:p>
            <w:r>
              <w:rPr>
                <w:sz w:val="17"/>
              </w:rPr>
            </w:r>
            <w:r>
              <w:rPr>
                <w:sz w:val="17"/>
              </w:rPr>
              <w:t>Conditional</w:t>
            </w:r>
          </w:p>
        </w:tc>
        <w:tc>
          <w:tcPr>
            <w:tcW w:type="dxa" w:w="5093"/>
          </w:tcPr>
          <w:p>
            <w:r>
              <w:rPr>
                <w:sz w:val="17"/>
              </w:rPr>
            </w:r>
            <w:r>
              <w:rPr>
                <w:sz w:val="17"/>
              </w:rPr>
              <w:t>True if blocks upcoming gate (2.3)</w:t>
            </w:r>
          </w:p>
        </w:tc>
      </w:tr>
      <w:tr>
        <w:trPr>
          <w:cantSplit/>
        </w:trPr>
        <w:tc>
          <w:tcPr>
            <w:tcW w:type="dxa" w:w="1786"/>
          </w:tcPr>
          <w:p>
            <w:r>
              <w:rPr>
                <w:sz w:val="17"/>
              </w:rPr>
            </w:r>
            <w:r>
              <w:rPr>
                <w:sz w:val="17"/>
              </w:rPr>
              <w:t>Location (CDE path)</w:t>
            </w:r>
          </w:p>
        </w:tc>
        <w:tc>
          <w:tcPr>
            <w:tcW w:type="dxa" w:w="1679"/>
          </w:tcPr>
          <w:p>
            <w:r>
              <w:rPr>
                <w:sz w:val="17"/>
              </w:rPr>
            </w:r>
            <w:r>
              <w:rPr>
                <w:sz w:val="17"/>
              </w:rPr>
              <w:t>Text /​ URL</w:t>
            </w:r>
          </w:p>
        </w:tc>
        <w:tc>
          <w:tcPr>
            <w:tcW w:type="dxa" w:w="1908"/>
          </w:tcPr>
          <w:p>
            <w:r>
              <w:rPr>
                <w:sz w:val="17"/>
              </w:rPr>
            </w:r>
            <w:r>
              <w:rPr>
                <w:sz w:val="17"/>
              </w:rPr>
              <w:t>Yes</w:t>
            </w:r>
          </w:p>
        </w:tc>
        <w:tc>
          <w:tcPr>
            <w:tcW w:type="dxa" w:w="5093"/>
          </w:tcPr>
          <w:p>
            <w:r>
              <w:rPr>
                <w:sz w:val="17"/>
              </w:rPr>
            </w:r>
            <w:r>
              <w:rPr>
                <w:sz w:val="17"/>
              </w:rPr>
              <w:t>Exact 12.1 path to affected artifact</w:t>
            </w:r>
          </w:p>
        </w:tc>
      </w:tr>
      <w:tr>
        <w:trPr>
          <w:cantSplit/>
        </w:trPr>
        <w:tc>
          <w:tcPr>
            <w:tcW w:type="dxa" w:w="1786"/>
          </w:tcPr>
          <w:p>
            <w:r>
              <w:rPr>
                <w:sz w:val="17"/>
              </w:rPr>
            </w:r>
            <w:r>
              <w:rPr>
                <w:sz w:val="17"/>
              </w:rPr>
              <w:t>Linked items</w:t>
            </w:r>
          </w:p>
        </w:tc>
        <w:tc>
          <w:tcPr>
            <w:tcW w:type="dxa" w:w="1679"/>
          </w:tcPr>
          <w:p>
            <w:r>
              <w:rPr>
                <w:sz w:val="17"/>
              </w:rPr>
            </w:r>
            <w:r>
              <w:rPr>
                <w:sz w:val="17"/>
              </w:rPr>
              <w:t>Relation</w:t>
            </w:r>
          </w:p>
        </w:tc>
        <w:tc>
          <w:tcPr>
            <w:tcW w:type="dxa" w:w="1908"/>
          </w:tcPr>
          <w:p>
            <w:r>
              <w:rPr>
                <w:sz w:val="17"/>
              </w:rPr>
            </w:r>
            <w:r>
              <w:rPr>
                <w:sz w:val="17"/>
              </w:rPr>
              <w:t>Optional</w:t>
            </w:r>
          </w:p>
        </w:tc>
        <w:tc>
          <w:tcPr>
            <w:tcW w:type="dxa" w:w="5093"/>
          </w:tcPr>
          <w:p>
            <w:r>
              <w:rPr>
                <w:sz w:val="17"/>
              </w:rPr>
            </w:r>
            <w:r>
              <w:rPr>
                <w:sz w:val="17"/>
              </w:rPr>
              <w:t>Sheets, models, viewpoints, RFIs</w:t>
            </w:r>
          </w:p>
        </w:tc>
      </w:tr>
      <w:tr>
        <w:trPr>
          <w:cantSplit/>
        </w:trPr>
        <w:tc>
          <w:tcPr>
            <w:tcW w:type="dxa" w:w="1786"/>
          </w:tcPr>
          <w:p>
            <w:r>
              <w:rPr>
                <w:sz w:val="17"/>
              </w:rPr>
            </w:r>
            <w:r>
              <w:rPr>
                <w:sz w:val="17"/>
              </w:rPr>
              <w:t>Evidence</w:t>
            </w:r>
          </w:p>
        </w:tc>
        <w:tc>
          <w:tcPr>
            <w:tcW w:type="dxa" w:w="1679"/>
          </w:tcPr>
          <w:p>
            <w:r>
              <w:rPr>
                <w:sz w:val="17"/>
              </w:rPr>
            </w:r>
            <w:r>
              <w:rPr>
                <w:sz w:val="17"/>
              </w:rPr>
              <w:t>File /​ URL</w:t>
            </w:r>
          </w:p>
        </w:tc>
        <w:tc>
          <w:tcPr>
            <w:tcW w:type="dxa" w:w="1908"/>
          </w:tcPr>
          <w:p>
            <w:r>
              <w:rPr>
                <w:sz w:val="17"/>
              </w:rPr>
            </w:r>
            <w:r>
              <w:rPr>
                <w:sz w:val="17"/>
              </w:rPr>
              <w:t>Yes at Ready/​Closed</w:t>
            </w:r>
          </w:p>
        </w:tc>
        <w:tc>
          <w:tcPr>
            <w:tcW w:type="dxa" w:w="5093"/>
          </w:tcPr>
          <w:p>
            <w:r>
              <w:rPr>
                <w:sz w:val="17"/>
              </w:rPr>
            </w:r>
            <w:r>
              <w:rPr>
                <w:sz w:val="17"/>
              </w:rPr>
              <w:t>Screenshot, viewpoint, report excerpt</w:t>
            </w:r>
          </w:p>
        </w:tc>
      </w:tr>
    </w:tbl>
    <w:p/>
    <w:p>
      <w:pPr/>
      <w:r>
        <w:t>Status flow and rules</w:t>
      </w:r>
    </w:p>
    <w:p>
      <w:pPr/>
      <w:r>
        <w:t>Open: New item with owner and severity set. Due date required for S1/S2</w:t>
      </w:r>
    </w:p>
    <w:p>
      <w:pPr/>
      <w:r>
        <w:t>In Progress: Owner actively working. Provide interim comment or sketch if change is non-trivial</w:t>
      </w:r>
    </w:p>
    <w:p>
      <w:pPr/>
      <w:r>
        <w:t>Ready for Review: Fix implemented. Attach evidence and list impacted files/views/sheets</w:t>
      </w:r>
    </w:p>
    <w:p>
      <w:pPr/>
      <w:r>
        <w:t>Closed: Reviewer confirms acceptance; reference commit, export, or sheet rev if applicable</w:t>
      </w:r>
    </w:p>
    <w:p>
      <w:pPr/>
      <w:r>
        <w:t>Forbidden: Open → Closed without Ready for Review</w:t>
      </w:r>
    </w:p>
    <w:p>
      <w:pPr/>
      <w:r>
        <w:t>SLAs</w:t>
      </w:r>
    </w:p>
    <w:p>
      <w:pPr/>
      <w:r>
        <w:t>S1 Critical: acknowledge within 4 working hours. Due in 2 working days unless waived (10.1)</w:t>
      </w:r>
    </w:p>
    <w:p>
      <w:pPr/>
      <w:r>
        <w:t>S2 Major: due in 5 working days</w:t>
      </w:r>
    </w:p>
    <w:p>
      <w:pPr/>
      <w:r>
        <w:t>S3 Minor: due before next gate</w:t>
      </w:r>
    </w:p>
    <w:p>
      <w:pPr/>
      <w:r>
        <w:t>Views and reporting</w:t>
      </w:r>
    </w:p>
    <w:p>
      <w:pPr/>
      <w:r>
        <w:t>Board view grouped by Status for standups</w:t>
      </w:r>
    </w:p>
    <w:p>
      <w:pPr/>
      <w:r>
        <w:t>Table view filtered to Gate-Critical = true during T−3..T window</w:t>
      </w:r>
    </w:p>
    <w:p>
      <w:pPr/>
      <w:r>
        <w:t>Weekly export of open items to 02-SHARED/06-REPORTS/02-CLASHES with timestamp</w:t>
      </w:r>
    </w:p>
    <w:p>
      <w:pPr/>
      <w:r>
        <w:t>Governance and evidence</w:t>
      </w:r>
    </w:p>
    <w:p>
      <w:pPr/>
      <w:r>
        <w:t>Every Closed item must have evidence attached and CDE path updated</w:t>
      </w:r>
    </w:p>
    <w:p>
      <w:pPr/>
      <w:r>
        <w:t>Gate packs include an extract of Gate-Critical items and their outcomes (7.3)</w:t>
      </w:r>
    </w:p>
    <w:p>
      <w:pPr/>
      <w:r>
        <w:t>Non-conformances elevated to QA with severity mapping (9.3)</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93"/>
        <w:gridCol w:w="2938"/>
        <w:gridCol w:w="1731"/>
        <w:gridCol w:w="2104"/>
      </w:tblGrid>
      <w:tr>
        <w:trPr>
          <w:cantSplit/>
          <w:tblHeader/>
        </w:trPr>
        <w:tc>
          <w:tcPr>
            <w:tcW w:type="dxa" w:w="3693"/>
            <w:shd w:val="clear" w:color="auto" w:fill="111113"/>
          </w:tcPr>
          <w:p>
            <w:r>
              <w:rPr>
                <w:b/>
                <w:color w:val="FFFFFF"/>
                <w:sz w:val="17"/>
              </w:rPr>
            </w:r>
            <w:r>
              <w:rPr>
                <w:b/>
                <w:color w:val="FFFFFF"/>
                <w:sz w:val="17"/>
              </w:rPr>
              <w:t>Acceptance criteria</w:t>
            </w:r>
          </w:p>
        </w:tc>
        <w:tc>
          <w:tcPr>
            <w:tcW w:type="dxa" w:w="2938"/>
            <w:shd w:val="clear" w:color="auto" w:fill="111113"/>
          </w:tcPr>
          <w:p>
            <w:r>
              <w:rPr>
                <w:b/>
                <w:color w:val="FFFFFF"/>
                <w:sz w:val="17"/>
              </w:rPr>
            </w:r>
            <w:r>
              <w:rPr>
                <w:b/>
                <w:color w:val="FFFFFF"/>
                <w:sz w:val="17"/>
              </w:rPr>
              <w:t>Quality checks</w:t>
            </w:r>
          </w:p>
        </w:tc>
        <w:tc>
          <w:tcPr>
            <w:tcW w:type="dxa" w:w="1731"/>
            <w:shd w:val="clear" w:color="auto" w:fill="111113"/>
          </w:tcPr>
          <w:p>
            <w:r>
              <w:rPr>
                <w:b/>
                <w:color w:val="FFFFFF"/>
                <w:sz w:val="17"/>
              </w:rPr>
            </w:r>
            <w:r>
              <w:rPr>
                <w:b/>
                <w:color w:val="FFFFFF"/>
                <w:sz w:val="17"/>
              </w:rPr>
              <w:t>Owner</w:t>
            </w:r>
          </w:p>
        </w:tc>
        <w:tc>
          <w:tcPr>
            <w:tcW w:type="dxa" w:w="2104"/>
            <w:shd w:val="clear" w:color="auto" w:fill="111113"/>
          </w:tcPr>
          <w:p>
            <w:r>
              <w:rPr>
                <w:b/>
                <w:color w:val="FFFFFF"/>
                <w:sz w:val="17"/>
              </w:rPr>
            </w:r>
            <w:r>
              <w:rPr>
                <w:b/>
                <w:color w:val="FFFFFF"/>
                <w:sz w:val="17"/>
              </w:rPr>
              <w:t>Evidence</w:t>
            </w:r>
          </w:p>
        </w:tc>
      </w:tr>
      <w:tr>
        <w:trPr>
          <w:cantSplit/>
        </w:trPr>
        <w:tc>
          <w:tcPr>
            <w:tcW w:type="dxa" w:w="3693"/>
          </w:tcPr>
          <w:p>
            <w:r>
              <w:rPr>
                <w:sz w:val="17"/>
              </w:rPr>
            </w:r>
            <w:r>
              <w:rPr>
                <w:sz w:val="17"/>
              </w:rPr>
              <w:t>100% issues have Owner, Severity, and Status</w:t>
            </w:r>
          </w:p>
        </w:tc>
        <w:tc>
          <w:tcPr>
            <w:tcW w:type="dxa" w:w="2938"/>
          </w:tcPr>
          <w:p>
            <w:r>
              <w:rPr>
                <w:sz w:val="17"/>
              </w:rPr>
            </w:r>
            <w:r>
              <w:rPr>
                <w:sz w:val="17"/>
              </w:rPr>
              <w:t>Weekly completeness audit</w:t>
            </w:r>
          </w:p>
        </w:tc>
        <w:tc>
          <w:tcPr>
            <w:tcW w:type="dxa" w:w="1731"/>
          </w:tcPr>
          <w:p>
            <w:r>
              <w:rPr>
                <w:sz w:val="17"/>
              </w:rPr>
            </w:r>
            <w:r>
              <w:rPr>
                <w:sz w:val="17"/>
              </w:rPr>
              <w:t>Information Manager</w:t>
            </w:r>
          </w:p>
        </w:tc>
        <w:tc>
          <w:tcPr>
            <w:tcW w:type="dxa" w:w="2104"/>
          </w:tcPr>
          <w:p>
            <w:r>
              <w:rPr>
                <w:sz w:val="17"/>
              </w:rPr>
            </w:r>
            <w:r>
              <w:rPr>
                <w:sz w:val="17"/>
              </w:rPr>
              <w:t>Audit log in 02-CLASHES</w:t>
            </w:r>
          </w:p>
        </w:tc>
      </w:tr>
      <w:tr>
        <w:trPr>
          <w:cantSplit/>
        </w:trPr>
        <w:tc>
          <w:tcPr>
            <w:tcW w:type="dxa" w:w="3693"/>
          </w:tcPr>
          <w:p>
            <w:r>
              <w:rPr>
                <w:sz w:val="17"/>
              </w:rPr>
            </w:r>
            <w:r>
              <w:rPr>
                <w:sz w:val="17"/>
              </w:rPr>
              <w:t>S1/​S2 have valid Due dates within SLA</w:t>
            </w:r>
          </w:p>
        </w:tc>
        <w:tc>
          <w:tcPr>
            <w:tcW w:type="dxa" w:w="2938"/>
          </w:tcPr>
          <w:p>
            <w:r>
              <w:rPr>
                <w:sz w:val="17"/>
              </w:rPr>
            </w:r>
            <w:r>
              <w:rPr>
                <w:sz w:val="17"/>
              </w:rPr>
              <w:t>Due-date SLA check</w:t>
            </w:r>
          </w:p>
        </w:tc>
        <w:tc>
          <w:tcPr>
            <w:tcW w:type="dxa" w:w="1731"/>
          </w:tcPr>
          <w:p>
            <w:r>
              <w:rPr>
                <w:sz w:val="17"/>
              </w:rPr>
            </w:r>
            <w:r>
              <w:rPr>
                <w:sz w:val="17"/>
              </w:rPr>
              <w:t>BIM Coordinator</w:t>
            </w:r>
          </w:p>
        </w:tc>
        <w:tc>
          <w:tcPr>
            <w:tcW w:type="dxa" w:w="2104"/>
          </w:tcPr>
          <w:p>
            <w:r>
              <w:rPr>
                <w:sz w:val="17"/>
              </w:rPr>
            </w:r>
            <w:r>
              <w:rPr>
                <w:sz w:val="17"/>
              </w:rPr>
              <w:t>Report snapshot</w:t>
            </w:r>
          </w:p>
        </w:tc>
      </w:tr>
      <w:tr>
        <w:trPr>
          <w:cantSplit/>
        </w:trPr>
        <w:tc>
          <w:tcPr>
            <w:tcW w:type="dxa" w:w="3693"/>
          </w:tcPr>
          <w:p>
            <w:r>
              <w:rPr>
                <w:sz w:val="17"/>
              </w:rPr>
            </w:r>
            <w:r>
              <w:rPr>
                <w:sz w:val="17"/>
              </w:rPr>
              <w:t>No Open → Closed transitions</w:t>
            </w:r>
          </w:p>
        </w:tc>
        <w:tc>
          <w:tcPr>
            <w:tcW w:type="dxa" w:w="2938"/>
          </w:tcPr>
          <w:p>
            <w:r>
              <w:rPr>
                <w:sz w:val="17"/>
              </w:rPr>
            </w:r>
            <w:r>
              <w:rPr>
                <w:sz w:val="17"/>
              </w:rPr>
              <w:t>Status transition audit</w:t>
            </w:r>
          </w:p>
        </w:tc>
        <w:tc>
          <w:tcPr>
            <w:tcW w:type="dxa" w:w="1731"/>
          </w:tcPr>
          <w:p>
            <w:r>
              <w:rPr>
                <w:sz w:val="17"/>
              </w:rPr>
            </w:r>
            <w:r>
              <w:rPr>
                <w:sz w:val="17"/>
              </w:rPr>
              <w:t>QA-QC Lead</w:t>
            </w:r>
          </w:p>
        </w:tc>
        <w:tc>
          <w:tcPr>
            <w:tcW w:type="dxa" w:w="2104"/>
          </w:tcPr>
          <w:p>
            <w:r>
              <w:rPr>
                <w:sz w:val="17"/>
              </w:rPr>
            </w:r>
            <w:r>
              <w:rPr>
                <w:sz w:val="17"/>
              </w:rPr>
              <w:t>Transition log</w:t>
            </w:r>
          </w:p>
        </w:tc>
      </w:tr>
      <w:tr>
        <w:trPr>
          <w:cantSplit/>
        </w:trPr>
        <w:tc>
          <w:tcPr>
            <w:tcW w:type="dxa" w:w="3693"/>
          </w:tcPr>
          <w:p>
            <w:r>
              <w:rPr>
                <w:sz w:val="17"/>
              </w:rPr>
            </w:r>
            <w:r>
              <w:rPr>
                <w:sz w:val="17"/>
              </w:rPr>
              <w:t>Closed issues include evidence and CDE path</w:t>
            </w:r>
          </w:p>
        </w:tc>
        <w:tc>
          <w:tcPr>
            <w:tcW w:type="dxa" w:w="2938"/>
          </w:tcPr>
          <w:p>
            <w:r>
              <w:rPr>
                <w:sz w:val="17"/>
              </w:rPr>
            </w:r>
            <w:r>
              <w:rPr>
                <w:sz w:val="17"/>
              </w:rPr>
              <w:t>Attachment and path presence check</w:t>
            </w:r>
          </w:p>
        </w:tc>
        <w:tc>
          <w:tcPr>
            <w:tcW w:type="dxa" w:w="1731"/>
          </w:tcPr>
          <w:p>
            <w:r>
              <w:rPr>
                <w:sz w:val="17"/>
              </w:rPr>
            </w:r>
            <w:r>
              <w:rPr>
                <w:sz w:val="17"/>
              </w:rPr>
              <w:t>QA-QC Lead</w:t>
            </w:r>
          </w:p>
        </w:tc>
        <w:tc>
          <w:tcPr>
            <w:tcW w:type="dxa" w:w="2104"/>
          </w:tcPr>
          <w:p>
            <w:r>
              <w:rPr>
                <w:sz w:val="17"/>
              </w:rPr>
            </w:r>
            <w:r>
              <w:rPr>
                <w:sz w:val="17"/>
              </w:rPr>
              <w:t>Sampled checklist</w:t>
            </w:r>
          </w:p>
        </w:tc>
      </w:tr>
    </w:tbl>
    <w:p/>
    <w:p>
      <w:pPr/>
      <w:r>
        <w:t>Interlocks</w:t>
      </w:r>
    </w:p>
    <w:p>
      <w:pPr/>
      <w:r>
        <w:t>Uses severity and ownership model in 10.1</w:t>
      </w:r>
    </w:p>
    <w:p>
      <w:pPr/>
      <w:r>
        <w:t>Consumed by 10.2 Coordination Cycles and 7.3 Publishing</w:t>
      </w:r>
    </w:p>
    <w:p>
      <w:pPr/>
      <w:r>
        <w:t>Evidence stored per 12.1 paths and referenced in 2.3 gate packs</w:t>
      </w:r>
    </w:p>
    <w:p>
      <w:pPr>
        <w:pStyle w:val="Heading1"/>
      </w:pPr>
      <w:r>
        <w:t>11 DATA EXCHANGE AND IFC</w:t>
      </w:r>
    </w:p>
    <w:p>
      <w:pPr>
        <w:pStyle w:val="Heading2"/>
      </w:pPr>
      <w:r>
        <w:t>11.1 EXCHANGE REQUIREMENTS</w:t>
      </w:r>
    </w:p>
    <w:p>
      <w:pPr/>
      <w:r>
        <w:t>Purpose</w:t>
      </w:r>
    </w:p>
    <w:p>
      <w:pPr/>
      <w:r>
        <w:t>Define the required open-standard exchanges, model views, and data payloads per stage so external stakeholders can reliably consume the information.</w:t>
      </w:r>
    </w:p>
    <w:p>
      <w:pPr/>
      <w:r>
        <w:t>Schemas and model view definitions (MVD)</w:t>
      </w:r>
    </w:p>
    <w:p>
      <w:pPr/>
      <w:r>
        <w:t>IFC schema: Default office qualification profile IFC4 ADD2 TC1 (IFC 4.0.2.1) Reference View; project use requires the approved exchange profile and receiving test. IFC 4.3.2.0 only by recorded approval when sender build and receiver both pass a test exchange; IFC2x3 only when an appointment or authority profile requires it; authority submissions use the schema the authority states (O-DEC-105; 11.4). ISO 16739-1:2024 is the current research reference, not an instruction to upgrade every project.</w:t>
      </w:r>
    </w:p>
    <w:p>
      <w:pPr/>
      <w:r>
        <w:t>Primary MVDs</w:t>
      </w:r>
    </w:p>
    <w:p>
      <w:pPr/>
      <w:r>
        <w:t>Design: IFC4 Reference View (RV)</w:t>
      </w:r>
    </w:p>
    <w:p>
      <w:pPr/>
      <w:r>
        <w:t>Coordination: Reference View for agreed reference/federation use. Design Transfer View is a separate candidate for specified transfer purposes and tested receiver capability; it does not promise lossless native editability.</w:t>
      </w:r>
    </w:p>
    <w:p>
      <w:pPr/>
      <w:r>
        <w:t>Asset data: IFC4 RV plus COBie XLSX when the AIR/EIR require it; COBie version as specified in the EIR, default COBie 2.4 (NBIMS-US V3) unless the EIR names COBie v3 (O-DEC-114); BS 1192-4 withdrawn 16 Sep 2022</w:t>
      </w:r>
    </w:p>
    <w:p>
      <w:pPr/>
      <w:r>
        <w:t>Exchange matrix by stage and discipline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59"/>
        <w:gridCol w:w="1554"/>
        <w:gridCol w:w="3172"/>
        <w:gridCol w:w="4880"/>
      </w:tblGrid>
      <w:tr>
        <w:trPr>
          <w:cantSplit/>
          <w:tblHeader/>
        </w:trPr>
        <w:tc>
          <w:tcPr>
            <w:tcW w:type="dxa" w:w="859"/>
            <w:shd w:val="clear" w:color="auto" w:fill="111113"/>
          </w:tcPr>
          <w:p>
            <w:r>
              <w:rPr>
                <w:b/>
                <w:color w:val="FFFFFF"/>
                <w:sz w:val="17"/>
              </w:rPr>
            </w:r>
            <w:r>
              <w:rPr>
                <w:b/>
                <w:color w:val="FFFFFF"/>
                <w:sz w:val="17"/>
              </w:rPr>
              <w:t>Stage</w:t>
            </w:r>
          </w:p>
        </w:tc>
        <w:tc>
          <w:tcPr>
            <w:tcW w:type="dxa" w:w="1554"/>
            <w:shd w:val="clear" w:color="auto" w:fill="111113"/>
          </w:tcPr>
          <w:p>
            <w:r>
              <w:rPr>
                <w:b/>
                <w:color w:val="FFFFFF"/>
                <w:sz w:val="17"/>
              </w:rPr>
            </w:r>
            <w:r>
              <w:rPr>
                <w:b/>
                <w:color w:val="FFFFFF"/>
                <w:sz w:val="17"/>
              </w:rPr>
              <w:t>Discipline</w:t>
            </w:r>
          </w:p>
        </w:tc>
        <w:tc>
          <w:tcPr>
            <w:tcW w:type="dxa" w:w="3172"/>
            <w:shd w:val="clear" w:color="auto" w:fill="111113"/>
          </w:tcPr>
          <w:p>
            <w:r>
              <w:rPr>
                <w:b/>
                <w:color w:val="FFFFFF"/>
                <w:sz w:val="17"/>
              </w:rPr>
            </w:r>
            <w:r>
              <w:rPr>
                <w:b/>
                <w:color w:val="FFFFFF"/>
                <w:sz w:val="17"/>
              </w:rPr>
              <w:t>IFC Schema + MVD</w:t>
            </w:r>
          </w:p>
        </w:tc>
        <w:tc>
          <w:tcPr>
            <w:tcW w:type="dxa" w:w="4880"/>
            <w:shd w:val="clear" w:color="auto" w:fill="111113"/>
          </w:tcPr>
          <w:p>
            <w:r>
              <w:rPr>
                <w:b/>
                <w:color w:val="FFFFFF"/>
                <w:sz w:val="17"/>
              </w:rPr>
            </w:r>
            <w:r>
              <w:rPr>
                <w:b/>
                <w:color w:val="FFFFFF"/>
                <w:sz w:val="17"/>
              </w:rPr>
              <w:t>Notes</w:t>
            </w:r>
          </w:p>
        </w:tc>
      </w:tr>
      <w:tr>
        <w:trPr>
          <w:cantSplit/>
        </w:trPr>
        <w:tc>
          <w:tcPr>
            <w:tcW w:type="dxa" w:w="859"/>
          </w:tcPr>
          <w:p>
            <w:r>
              <w:rPr>
                <w:sz w:val="17"/>
              </w:rPr>
            </w:r>
            <w:r>
              <w:rPr>
                <w:sz w:val="17"/>
              </w:rPr>
              <w:t>RIBA 3</w:t>
            </w:r>
          </w:p>
        </w:tc>
        <w:tc>
          <w:tcPr>
            <w:tcW w:type="dxa" w:w="1554"/>
          </w:tcPr>
          <w:p>
            <w:r>
              <w:rPr>
                <w:sz w:val="17"/>
              </w:rPr>
            </w:r>
            <w:r>
              <w:rPr>
                <w:sz w:val="17"/>
              </w:rPr>
              <w:t>ARC, STR, MEP</w:t>
            </w:r>
          </w:p>
        </w:tc>
        <w:tc>
          <w:tcPr>
            <w:tcW w:type="dxa" w:w="3172"/>
          </w:tcPr>
          <w:p>
            <w:r>
              <w:rPr>
                <w:sz w:val="17"/>
              </w:rPr>
            </w:r>
            <w:r>
              <w:rPr>
                <w:sz w:val="17"/>
              </w:rPr>
              <w:t>IFC4 RV</w:t>
            </w:r>
          </w:p>
        </w:tc>
        <w:tc>
          <w:tcPr>
            <w:tcW w:type="dxa" w:w="4880"/>
          </w:tcPr>
          <w:p>
            <w:r>
              <w:rPr>
                <w:sz w:val="17"/>
              </w:rPr>
            </w:r>
            <w:r>
              <w:rPr>
                <w:sz w:val="17"/>
              </w:rPr>
              <w:t>Federation and coordination. No authored param hacks</w:t>
            </w:r>
          </w:p>
        </w:tc>
      </w:tr>
      <w:tr>
        <w:trPr>
          <w:cantSplit/>
        </w:trPr>
        <w:tc>
          <w:tcPr>
            <w:tcW w:type="dxa" w:w="859"/>
          </w:tcPr>
          <w:p>
            <w:r>
              <w:rPr>
                <w:sz w:val="17"/>
              </w:rPr>
            </w:r>
            <w:r>
              <w:rPr>
                <w:sz w:val="17"/>
              </w:rPr>
              <w:t>RIBA 4</w:t>
            </w:r>
          </w:p>
        </w:tc>
        <w:tc>
          <w:tcPr>
            <w:tcW w:type="dxa" w:w="1554"/>
          </w:tcPr>
          <w:p>
            <w:r>
              <w:rPr>
                <w:sz w:val="17"/>
              </w:rPr>
            </w:r>
            <w:r>
              <w:rPr>
                <w:sz w:val="17"/>
              </w:rPr>
              <w:t>ARC, STR</w:t>
            </w:r>
          </w:p>
        </w:tc>
        <w:tc>
          <w:tcPr>
            <w:tcW w:type="dxa" w:w="3172"/>
          </w:tcPr>
          <w:p>
            <w:r>
              <w:rPr>
                <w:sz w:val="17"/>
              </w:rPr>
            </w:r>
            <w:r>
              <w:rPr>
                <w:sz w:val="17"/>
              </w:rPr>
              <w:t>IFC4 RV + DTV (select)</w:t>
            </w:r>
          </w:p>
        </w:tc>
        <w:tc>
          <w:tcPr>
            <w:tcW w:type="dxa" w:w="4880"/>
          </w:tcPr>
          <w:p>
            <w:r>
              <w:rPr>
                <w:sz w:val="17"/>
              </w:rPr>
            </w:r>
            <w:r>
              <w:rPr>
                <w:sz w:val="17"/>
              </w:rPr>
              <w:t>DTV only where editable handoff is explicitly requested</w:t>
            </w:r>
          </w:p>
        </w:tc>
      </w:tr>
      <w:tr>
        <w:trPr>
          <w:cantSplit/>
        </w:trPr>
        <w:tc>
          <w:tcPr>
            <w:tcW w:type="dxa" w:w="859"/>
          </w:tcPr>
          <w:p>
            <w:r>
              <w:rPr>
                <w:sz w:val="17"/>
              </w:rPr>
            </w:r>
            <w:r>
              <w:rPr>
                <w:sz w:val="17"/>
              </w:rPr>
              <w:t>RIBA 4</w:t>
            </w:r>
          </w:p>
        </w:tc>
        <w:tc>
          <w:tcPr>
            <w:tcW w:type="dxa" w:w="1554"/>
          </w:tcPr>
          <w:p>
            <w:r>
              <w:rPr>
                <w:sz w:val="17"/>
              </w:rPr>
            </w:r>
            <w:r>
              <w:rPr>
                <w:sz w:val="17"/>
              </w:rPr>
              <w:t>MEP</w:t>
            </w:r>
          </w:p>
        </w:tc>
        <w:tc>
          <w:tcPr>
            <w:tcW w:type="dxa" w:w="3172"/>
          </w:tcPr>
          <w:p>
            <w:r>
              <w:rPr>
                <w:sz w:val="17"/>
              </w:rPr>
            </w:r>
            <w:r>
              <w:rPr>
                <w:sz w:val="17"/>
              </w:rPr>
              <w:t>IFC4 RV</w:t>
            </w:r>
          </w:p>
        </w:tc>
        <w:tc>
          <w:tcPr>
            <w:tcW w:type="dxa" w:w="4880"/>
          </w:tcPr>
          <w:p>
            <w:r>
              <w:rPr>
                <w:sz w:val="17"/>
              </w:rPr>
            </w:r>
            <w:r>
              <w:rPr>
                <w:sz w:val="17"/>
              </w:rPr>
              <w:t>Systems and connectors consistent; units validated (4.4)</w:t>
            </w:r>
          </w:p>
        </w:tc>
      </w:tr>
      <w:tr>
        <w:trPr>
          <w:cantSplit/>
        </w:trPr>
        <w:tc>
          <w:tcPr>
            <w:tcW w:type="dxa" w:w="859"/>
          </w:tcPr>
          <w:p>
            <w:r>
              <w:rPr>
                <w:sz w:val="17"/>
              </w:rPr>
            </w:r>
            <w:r>
              <w:rPr>
                <w:sz w:val="17"/>
              </w:rPr>
              <w:t>RIBA 5–6</w:t>
            </w:r>
          </w:p>
        </w:tc>
        <w:tc>
          <w:tcPr>
            <w:tcW w:type="dxa" w:w="1554"/>
          </w:tcPr>
          <w:p>
            <w:r>
              <w:rPr>
                <w:sz w:val="17"/>
              </w:rPr>
            </w:r>
            <w:r>
              <w:rPr>
                <w:sz w:val="17"/>
              </w:rPr>
              <w:t>All</w:t>
            </w:r>
          </w:p>
        </w:tc>
        <w:tc>
          <w:tcPr>
            <w:tcW w:type="dxa" w:w="3172"/>
          </w:tcPr>
          <w:p>
            <w:r>
              <w:rPr>
                <w:sz w:val="17"/>
              </w:rPr>
            </w:r>
            <w:r>
              <w:rPr>
                <w:sz w:val="17"/>
              </w:rPr>
              <w:t>IFC4 RV + COBie (if required; version per EIR)</w:t>
            </w:r>
          </w:p>
        </w:tc>
        <w:tc>
          <w:tcPr>
            <w:tcW w:type="dxa" w:w="4880"/>
          </w:tcPr>
          <w:p>
            <w:r>
              <w:rPr>
                <w:sz w:val="17"/>
              </w:rPr>
            </w:r>
            <w:r>
              <w:rPr>
                <w:sz w:val="17"/>
              </w:rPr>
              <w:t>Asset_ID populated per 3.2; classification stable</w:t>
            </w:r>
          </w:p>
        </w:tc>
      </w:tr>
    </w:tbl>
    <w:p/>
    <w:p>
      <w:pPr/>
      <w:r>
        <w:t>Coordinate system and units</w:t>
      </w:r>
    </w:p>
    <w:p>
      <w:pPr/>
      <w:r>
        <w:t>Coordinates: Use a stable local modelling origin for numerical performance and an approved mapping to the project CRS named by EPSG code with its vertical datum (5; BBM-STD-86); export IfcMapConversion and IfcProjectedCRS where the schema supports them. Do not force georeferenced exports to 0,0,0. Record units, datum, True North, offset/rotation and independent receiving checks (11.3).</w:t>
      </w:r>
    </w:p>
    <w:p>
      <w:pPr/>
      <w:r>
        <w:t>Units: Metric. Length mm. Areas m². Volumes m³. Angles degrees (4.4)</w:t>
      </w:r>
    </w:p>
    <w:p>
      <w:pPr/>
      <w:r>
        <w:t>Classification and property sets</w:t>
      </w:r>
    </w:p>
    <w:p>
      <w:pPr/>
      <w:r>
        <w:t>Classification: Classification_Code (Uniclass) mapped to IfcClassificationReference and element/type Psets (3.2)</w:t>
      </w:r>
    </w:p>
    <w:p>
      <w:pPr/>
      <w:r>
        <w:t>Core properties</w:t>
      </w:r>
    </w:p>
    <w:p>
      <w:pPr/>
      <w:r>
        <w:t>Identity: Mark, Family, Type, Classification_Code, System, Zone, Level</w:t>
      </w:r>
    </w:p>
    <w:p>
      <w:pPr/>
      <w:r>
        <w:t>Performance: Fire_Rating (exported to Pset_*Common.FireRating with the standard), LoadBearing (as applicable)</w:t>
      </w:r>
    </w:p>
    <w:p>
      <w:pPr/>
      <w:r>
        <w:t>Asset: Asset_ID (when the client asset register exists)</w:t>
      </w:r>
    </w:p>
    <w:p>
      <w:pPr/>
      <w:r>
        <w:t>Do not overload free-text parameters when a standard IFC property exists</w:t>
      </w:r>
    </w:p>
    <w:p>
      <w:pPr/>
      <w:r>
        <w:t>Files, naming, and packaging</w:t>
      </w:r>
    </w:p>
    <w:p>
      <w:pPr/>
      <w:r>
        <w:t>IFC file naming: CLIENT-ORG-PROJ-VOLUME-LEVEL-TYPE-ROLE-NUMBER.ifc per 3.1 / 12.3 (O-DEC-102)</w:t>
      </w:r>
    </w:p>
    <w:p>
      <w:pPr/>
      <w:r>
        <w:t>One model per discipline export unless split rules are documented (3.3). Use VOLUME / LEVEL tokens and NUMBER to indicate split</w:t>
      </w:r>
    </w:p>
    <w:p>
      <w:pPr/>
      <w:r>
        <w:t>Package location: 03-PUBLISHED/&lt;NN-STAGE-N&gt;/&lt;YYYY-MM-DD-DESCRIPTION&gt;/02-MODELS</w:t>
      </w:r>
    </w:p>
    <w:p>
      <w:pPr/>
      <w:r>
        <w:t>Include export preset name and version in transmittal (7.3)</w:t>
      </w:r>
    </w:p>
    <w:p>
      <w:pPr/>
      <w:r>
        <w:t>Validation and acceptance</w:t>
      </w:r>
    </w:p>
    <w:p>
      <w:pPr/>
      <w:r>
        <w:t>Geometry</w:t>
      </w:r>
    </w:p>
    <w:p>
      <w:pPr/>
      <w:r>
        <w:t>No missing solids in target viewers for representative categories (walls, floors, beams, ducts, pipes)</w:t>
      </w:r>
    </w:p>
    <w:p>
      <w:pPr/>
      <w:r>
        <w:t>No unbounded or far-from-origin geometry</w:t>
      </w:r>
    </w:p>
    <w:p>
      <w:pPr/>
      <w:r>
        <w:t>Data</w:t>
      </w:r>
    </w:p>
    <w:p>
      <w:pPr/>
      <w:r>
        <w:t>100% of required core properties populated for the categories the LOIN worksheet requires (3.2)</w:t>
      </w:r>
    </w:p>
    <w:p>
      <w:pPr/>
      <w:r>
        <w:t>Classification_Code present where the LOIN worksheet requires it</w:t>
      </w:r>
    </w:p>
    <w:p>
      <w:pPr/>
      <w:r>
        <w:t>Asset_ID present where the client asset register exists</w:t>
      </w:r>
    </w:p>
    <w:p>
      <w:pPr/>
      <w:r>
        <w:t>Structure</w:t>
      </w:r>
    </w:p>
    <w:p>
      <w:pPr/>
      <w:r>
        <w:t>Correct schema and MVD per exchange matrix</w:t>
      </w:r>
    </w:p>
    <w:p>
      <w:pPr/>
      <w:r>
        <w:t>Project/global IDs stable across consecutive issues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436"/>
        <w:gridCol w:w="2572"/>
        <w:gridCol w:w="1802"/>
        <w:gridCol w:w="2656"/>
      </w:tblGrid>
      <w:tr>
        <w:trPr>
          <w:cantSplit/>
          <w:tblHeader/>
        </w:trPr>
        <w:tc>
          <w:tcPr>
            <w:tcW w:type="dxa" w:w="3436"/>
            <w:shd w:val="clear" w:color="auto" w:fill="111113"/>
          </w:tcPr>
          <w:p>
            <w:r>
              <w:rPr>
                <w:b/>
                <w:color w:val="FFFFFF"/>
                <w:sz w:val="17"/>
              </w:rPr>
            </w:r>
            <w:r>
              <w:rPr>
                <w:b/>
                <w:color w:val="FFFFFF"/>
                <w:sz w:val="17"/>
              </w:rPr>
              <w:t>Acceptance criteria</w:t>
            </w:r>
          </w:p>
        </w:tc>
        <w:tc>
          <w:tcPr>
            <w:tcW w:type="dxa" w:w="2572"/>
            <w:shd w:val="clear" w:color="auto" w:fill="111113"/>
          </w:tcPr>
          <w:p>
            <w:r>
              <w:rPr>
                <w:b/>
                <w:color w:val="FFFFFF"/>
                <w:sz w:val="17"/>
              </w:rPr>
            </w:r>
            <w:r>
              <w:rPr>
                <w:b/>
                <w:color w:val="FFFFFF"/>
                <w:sz w:val="17"/>
              </w:rPr>
              <w:t>Quality checks</w:t>
            </w:r>
          </w:p>
        </w:tc>
        <w:tc>
          <w:tcPr>
            <w:tcW w:type="dxa" w:w="1802"/>
            <w:shd w:val="clear" w:color="auto" w:fill="111113"/>
          </w:tcPr>
          <w:p>
            <w:r>
              <w:rPr>
                <w:b/>
                <w:color w:val="FFFFFF"/>
                <w:sz w:val="17"/>
              </w:rPr>
            </w:r>
            <w:r>
              <w:rPr>
                <w:b/>
                <w:color w:val="FFFFFF"/>
                <w:sz w:val="17"/>
              </w:rPr>
              <w:t>Owner</w:t>
            </w:r>
          </w:p>
        </w:tc>
        <w:tc>
          <w:tcPr>
            <w:tcW w:type="dxa" w:w="2656"/>
            <w:shd w:val="clear" w:color="auto" w:fill="111113"/>
          </w:tcPr>
          <w:p>
            <w:r>
              <w:rPr>
                <w:b/>
                <w:color w:val="FFFFFF"/>
                <w:sz w:val="17"/>
              </w:rPr>
            </w:r>
            <w:r>
              <w:rPr>
                <w:b/>
                <w:color w:val="FFFFFF"/>
                <w:sz w:val="17"/>
              </w:rPr>
              <w:t>Evidence</w:t>
            </w:r>
          </w:p>
        </w:tc>
      </w:tr>
      <w:tr>
        <w:trPr>
          <w:cantSplit/>
        </w:trPr>
        <w:tc>
          <w:tcPr>
            <w:tcW w:type="dxa" w:w="3436"/>
          </w:tcPr>
          <w:p>
            <w:r>
              <w:rPr>
                <w:sz w:val="17"/>
              </w:rPr>
            </w:r>
            <w:r>
              <w:rPr>
                <w:sz w:val="17"/>
              </w:rPr>
              <w:t>IFC schema and MVD match exchange matrix</w:t>
            </w:r>
          </w:p>
        </w:tc>
        <w:tc>
          <w:tcPr>
            <w:tcW w:type="dxa" w:w="2572"/>
          </w:tcPr>
          <w:p>
            <w:r>
              <w:rPr>
                <w:sz w:val="17"/>
              </w:rPr>
            </w:r>
            <w:r>
              <w:rPr>
                <w:sz w:val="17"/>
              </w:rPr>
              <w:t>Header parse + preset name check</w:t>
            </w:r>
          </w:p>
        </w:tc>
        <w:tc>
          <w:tcPr>
            <w:tcW w:type="dxa" w:w="1802"/>
          </w:tcPr>
          <w:p>
            <w:r>
              <w:rPr>
                <w:sz w:val="17"/>
              </w:rPr>
            </w:r>
            <w:r>
              <w:rPr>
                <w:sz w:val="17"/>
              </w:rPr>
              <w:t>BIM Coordinator</w:t>
            </w:r>
          </w:p>
        </w:tc>
        <w:tc>
          <w:tcPr>
            <w:tcW w:type="dxa" w:w="2656"/>
          </w:tcPr>
          <w:p>
            <w:r>
              <w:rPr>
                <w:sz w:val="17"/>
              </w:rPr>
            </w:r>
            <w:r>
              <w:rPr>
                <w:sz w:val="17"/>
              </w:rPr>
              <w:t>Preset screenshot + schema header</w:t>
            </w:r>
          </w:p>
        </w:tc>
      </w:tr>
      <w:tr>
        <w:trPr>
          <w:cantSplit/>
        </w:trPr>
        <w:tc>
          <w:tcPr>
            <w:tcW w:type="dxa" w:w="3436"/>
          </w:tcPr>
          <w:p>
            <w:r>
              <w:rPr>
                <w:sz w:val="17"/>
              </w:rPr>
            </w:r>
            <w:r>
              <w:rPr>
                <w:sz w:val="17"/>
              </w:rPr>
              <w:t>No far-from-origin or unbounded elements</w:t>
            </w:r>
          </w:p>
        </w:tc>
        <w:tc>
          <w:tcPr>
            <w:tcW w:type="dxa" w:w="2572"/>
          </w:tcPr>
          <w:p>
            <w:r>
              <w:rPr>
                <w:sz w:val="17"/>
              </w:rPr>
            </w:r>
            <w:r>
              <w:rPr>
                <w:sz w:val="17"/>
              </w:rPr>
              <w:t>Automated validator report</w:t>
            </w:r>
          </w:p>
        </w:tc>
        <w:tc>
          <w:tcPr>
            <w:tcW w:type="dxa" w:w="1802"/>
          </w:tcPr>
          <w:p>
            <w:r>
              <w:rPr>
                <w:sz w:val="17"/>
              </w:rPr>
            </w:r>
            <w:r>
              <w:rPr>
                <w:sz w:val="17"/>
              </w:rPr>
              <w:t>QA-QC Lead</w:t>
            </w:r>
          </w:p>
        </w:tc>
        <w:tc>
          <w:tcPr>
            <w:tcW w:type="dxa" w:w="2656"/>
          </w:tcPr>
          <w:p>
            <w:r>
              <w:rPr>
                <w:sz w:val="17"/>
              </w:rPr>
            </w:r>
            <w:r>
              <w:rPr>
                <w:sz w:val="17"/>
              </w:rPr>
              <w:t>HTML/​PDF validation report</w:t>
            </w:r>
          </w:p>
        </w:tc>
      </w:tr>
      <w:tr>
        <w:trPr>
          <w:cantSplit/>
        </w:trPr>
        <w:tc>
          <w:tcPr>
            <w:tcW w:type="dxa" w:w="3436"/>
          </w:tcPr>
          <w:p>
            <w:r>
              <w:rPr>
                <w:sz w:val="17"/>
              </w:rPr>
            </w:r>
            <w:r>
              <w:rPr>
                <w:sz w:val="17"/>
              </w:rPr>
              <w:t>Core properties populated to stage</w:t>
            </w:r>
          </w:p>
        </w:tc>
        <w:tc>
          <w:tcPr>
            <w:tcW w:type="dxa" w:w="2572"/>
          </w:tcPr>
          <w:p>
            <w:r>
              <w:rPr>
                <w:sz w:val="17"/>
              </w:rPr>
            </w:r>
            <w:r>
              <w:rPr>
                <w:sz w:val="17"/>
              </w:rPr>
              <w:t>IFC property spot-check vs 3.2</w:t>
            </w:r>
          </w:p>
        </w:tc>
        <w:tc>
          <w:tcPr>
            <w:tcW w:type="dxa" w:w="1802"/>
          </w:tcPr>
          <w:p>
            <w:r>
              <w:rPr>
                <w:sz w:val="17"/>
              </w:rPr>
            </w:r>
            <w:r>
              <w:rPr>
                <w:sz w:val="17"/>
              </w:rPr>
              <w:t>Information Manager</w:t>
            </w:r>
          </w:p>
        </w:tc>
        <w:tc>
          <w:tcPr>
            <w:tcW w:type="dxa" w:w="2656"/>
          </w:tcPr>
          <w:p>
            <w:r>
              <w:rPr>
                <w:sz w:val="17"/>
              </w:rPr>
            </w:r>
            <w:r>
              <w:rPr>
                <w:sz w:val="17"/>
              </w:rPr>
              <w:t>Checklist in 04-REPORTS</w:t>
            </w:r>
          </w:p>
        </w:tc>
      </w:tr>
      <w:tr>
        <w:trPr>
          <w:cantSplit/>
        </w:trPr>
        <w:tc>
          <w:tcPr>
            <w:tcW w:type="dxa" w:w="3436"/>
          </w:tcPr>
          <w:p>
            <w:r>
              <w:rPr>
                <w:sz w:val="17"/>
              </w:rPr>
            </w:r>
            <w:r>
              <w:rPr>
                <w:sz w:val="17"/>
              </w:rPr>
              <w:t>Files named per 3.1 and placed per 12.1</w:t>
            </w:r>
          </w:p>
        </w:tc>
        <w:tc>
          <w:tcPr>
            <w:tcW w:type="dxa" w:w="2572"/>
          </w:tcPr>
          <w:p>
            <w:r>
              <w:rPr>
                <w:sz w:val="17"/>
              </w:rPr>
            </w:r>
            <w:r>
              <w:rPr>
                <w:sz w:val="17"/>
              </w:rPr>
              <w:t>Regex + path check</w:t>
            </w:r>
          </w:p>
        </w:tc>
        <w:tc>
          <w:tcPr>
            <w:tcW w:type="dxa" w:w="1802"/>
          </w:tcPr>
          <w:p>
            <w:r>
              <w:rPr>
                <w:sz w:val="17"/>
              </w:rPr>
            </w:r>
            <w:r>
              <w:rPr>
                <w:sz w:val="17"/>
              </w:rPr>
              <w:t>Information Manager</w:t>
            </w:r>
          </w:p>
        </w:tc>
        <w:tc>
          <w:tcPr>
            <w:tcW w:type="dxa" w:w="2656"/>
          </w:tcPr>
          <w:p>
            <w:r>
              <w:rPr>
                <w:sz w:val="17"/>
              </w:rPr>
            </w:r>
            <w:r>
              <w:rPr>
                <w:sz w:val="17"/>
              </w:rPr>
              <w:t>Pack structure scan</w:t>
            </w:r>
          </w:p>
        </w:tc>
      </w:tr>
    </w:tbl>
    <w:p/>
    <w:p>
      <w:pPr/>
      <w:r>
        <w:t>Interlocks</w:t>
      </w:r>
    </w:p>
    <w:p>
      <w:pPr/>
      <w:r>
        <w:t>Uses naming and tokens from 3.1 and CDE paths from 2.4</w:t>
      </w:r>
    </w:p>
    <w:p>
      <w:pPr/>
      <w:r>
        <w:t>Property population governed by 3.2 Parameters and LOIN</w:t>
      </w:r>
    </w:p>
    <w:p>
      <w:pPr/>
      <w:r>
        <w:t>Feeds Publishing 7.3 and Validation 11.2</w:t>
      </w:r>
    </w:p>
    <w:p>
      <w:pPr>
        <w:pStyle w:val="Heading2"/>
      </w:pPr>
      <w:r>
        <w:t>11.2 EXPORT AND VALIDATION</w:t>
      </w:r>
    </w:p>
    <w:p>
      <w:pPr/>
      <w:r>
        <w:t>Purpose</w:t>
      </w:r>
    </w:p>
    <w:p>
      <w:pPr/>
      <w:r>
        <w:t>Standardize how open-standard exports are produced and validated so recipients get consistent geometry, data, and metadata.</w:t>
      </w:r>
    </w:p>
    <w:p>
      <w:pPr/>
      <w:r>
        <w:t>Export presets (baseline)</w:t>
      </w:r>
    </w:p>
    <w:p>
      <w:pPr/>
      <w:r>
        <w:t>Preset naming: IFC4-RV-vNN, IFC4-DTV-vNN, IFC2x3-Ref-vNN, EXP-DM-PERMIT-&lt;schema&gt;-&lt;rev&gt;</w:t>
      </w:r>
    </w:p>
    <w:p>
      <w:pPr/>
      <w:r>
        <w:t>Scope</w:t>
      </w:r>
    </w:p>
    <w:p>
      <w:pPr/>
      <w:r>
        <w:t>IFC4-RV-vNN: Default for coordination and downstream viewing</w:t>
      </w:r>
    </w:p>
    <w:p>
      <w:pPr/>
      <w:r>
        <w:t>IFC4-DTV-vNN: Limited to requested editable handoffs (see 11.1 matrix)</w:t>
      </w:r>
    </w:p>
    <w:p>
      <w:pPr/>
      <w:r>
        <w:t>IFC2x3-Ref-vNN: only where an appointment or an authority submission profile requires it</w:t>
      </w:r>
    </w:p>
    <w:p>
      <w:pPr/>
      <w:r>
        <w:t>EXP-DM-PERMIT-&lt;schema&gt;-&lt;rev&gt;: Dubai Building Permit setup per the current Dubai BIM Standard (11.4); preset ID owned by BBM-STD-65 (</w:t>
      </w:r>
      <w:r>
        <w:rPr>
          <w:color w:val="9A7B45"/>
          <w:u w:val="single"/>
        </w:rPr>
        <w:t>O-DEC-131</w:t>
      </w:r>
      <w:r>
        <w:t>); former alias DBP-… retired</w:t>
      </w:r>
    </w:p>
    <w:p>
      <w:pPr/>
      <w:r>
        <w:t>Governance</w:t>
      </w:r>
    </w:p>
    <w:p>
      <w:pPr/>
      <w:r>
        <w:t>Presets are stored in SHARED/05-DOCUMENTS/02-STANDARDS/IFC/Exports</w:t>
      </w:r>
    </w:p>
    <w:p>
      <w:pPr/>
      <w:r>
        <w:t>Version increments vNN on any rule change. Record change in 01-STANDARD-UPDATES and update the BEP reference</w:t>
      </w:r>
    </w:p>
    <w:p>
      <w:pPr/>
      <w:r>
        <w:t>Export preparation checklist (per model)</w:t>
      </w:r>
    </w:p>
    <w:p>
      <w:pPr/>
      <w:r>
        <w:t>Coordinates validated and Start View default (4.9, 5 CAD)</w:t>
      </w:r>
    </w:p>
    <w:p>
      <w:pPr/>
      <w:r>
        <w:t>View Templates applied to DOC parent views; no per-view overrides (4.12)</w:t>
      </w:r>
    </w:p>
    <w:p>
      <w:pPr/>
      <w:r>
        <w:t>Workset1 = 0 elements. Links pinned. Imports unloaded (3.3, 8.1.3)</w:t>
      </w:r>
    </w:p>
    <w:p>
      <w:pPr/>
      <w:r>
        <w:t>Naming tokens validated for file and views (3.1, 4.11.1, 12.3)</w:t>
      </w:r>
    </w:p>
    <w:p>
      <w:pPr/>
      <w:r>
        <w:t>Parameters complete per the LOIN worksheet of the exchange (3.2)</w:t>
      </w:r>
    </w:p>
    <w:p>
      <w:pPr/>
      <w:r>
        <w:t>Export steps (IFC)</w:t>
      </w:r>
    </w:p>
    <w:p>
      <w:pPr/>
      <w:r>
        <w:t>Open source model, confirm Start View and template lock</w:t>
      </w:r>
    </w:p>
    <w:p>
      <w:pPr/>
      <w:r>
        <w:t>Load correct IFC preset (per 11.1 matrix) and confirm options:</w:t>
      </w:r>
    </w:p>
    <w:p>
      <w:pPr/>
      <w:r>
        <w:t>Coordinates: Shared coordinates</w:t>
      </w:r>
    </w:p>
    <w:p>
      <w:pPr/>
      <w:r>
        <w:t>Property sets: Export schedules and parameters mapped to IFC Psets where available</w:t>
      </w:r>
    </w:p>
    <w:p>
      <w:pPr/>
      <w:r>
        <w:t>Elements: Exclude non-issued worksets and temporary categories (QA/COORD) if client requires clean deliverable</w:t>
      </w:r>
    </w:p>
    <w:p>
      <w:pPr/>
      <w:r>
        <w:t>Export to local staging path using the external container ID CLIENT-ORG-PROJ-VOLUME-LEVEL-TYPE-ROLE-NUMBER.ifc</w:t>
      </w:r>
    </w:p>
    <w:p>
      <w:pPr/>
      <w:r>
        <w:t>Run validation (below). If checks pass, request authorisation/acceptance under 12.4 before committing the formal set to 03-PUBLISHED/&lt;NN-STAGE-N&gt;/&lt;YYYY-MM-DD-DESCRIPTION&gt;/02-MODELS</w:t>
      </w:r>
    </w:p>
    <w:p>
      <w:pPr/>
      <w:r>
        <w:t>Validation tools and rules</w:t>
      </w:r>
    </w:p>
    <w:p>
      <w:pPr/>
      <w:r>
        <w:t>1 Schema and normative rules: buildingSMART IFC Validation Service, or an approved offline validator when the model is confidential (record validator and version)</w:t>
      </w:r>
    </w:p>
    <w:p>
      <w:pPr/>
      <w:r>
        <w:t xml:space="preserve">2 Information requirements: IDS 1.0 file ID/hash, checker name and build, pass/fail per rule (O-DEC-088); one IDS file per exchange built from the LOIN worksheet, sequence and record per </w:t>
      </w:r>
      <w:r>
        <w:rPr>
          <w:color w:val="9A7B45"/>
          <w:u w:val="single"/>
        </w:rPr>
        <w:t>BBM-STD-89</w:t>
      </w:r>
      <w:r>
        <w:t xml:space="preserve"> §3–§5</w:t>
      </w:r>
    </w:p>
    <w:p>
      <w:pPr/>
      <w:r>
        <w:t>3 Geometry and coordinates, as listed below</w:t>
      </w:r>
    </w:p>
    <w:p>
      <w:pPr/>
      <w:r>
        <w:t>Structural checks</w:t>
      </w:r>
    </w:p>
    <w:p>
      <w:pPr/>
      <w:r>
        <w:t>Far-from-origin test, bounding boxes sanity, invalid solids count = 0</w:t>
      </w:r>
    </w:p>
    <w:p>
      <w:pPr/>
      <w:r>
        <w:t>Schema and header</w:t>
      </w:r>
    </w:p>
    <w:p>
      <w:pPr/>
      <w:r>
        <w:t>IFC schema and MVD match 11.1 matrix; file header includes Project Code and Export Preset name</w:t>
      </w:r>
    </w:p>
    <w:p>
      <w:pPr/>
      <w:r>
        <w:t>Geometry sampling</w:t>
      </w:r>
    </w:p>
    <w:p>
      <w:pPr/>
      <w:r>
        <w:t>Representative element categories visualize in a neutral viewer (Walls, Floors, Beams, Columns, Ducts, Pipes, Equipment)</w:t>
      </w:r>
    </w:p>
    <w:p>
      <w:pPr/>
      <w:r>
        <w:t>Property sampling</w:t>
      </w:r>
    </w:p>
    <w:p>
      <w:pPr/>
      <w:r>
        <w:t>Required core properties populated for sampled elements: Classification_Code, System, Zone, Level, Fire_Rating (where applicable), Asset_ID (where the client register exists)</w:t>
      </w:r>
    </w:p>
    <w:p>
      <w:pPr/>
      <w:r>
        <w:t>File hygiene</w:t>
      </w:r>
    </w:p>
    <w:p>
      <w:pPr/>
      <w:r>
        <w:t>No orphan GUID churn between consecutive issues beyond changed items; file size within expected bounds for model class</w:t>
      </w:r>
    </w:p>
    <w:p>
      <w:pPr/>
      <w:r>
        <w:t>Validation artifacts</w:t>
      </w:r>
    </w:p>
    <w:p>
      <w:pPr/>
      <w:r>
        <w:t>Validator report: HTML/PDF placed under 03-PUBLISHED/&lt;NN-STAGE-N&gt;/&lt;Pack&gt;/04-REPORTS/00-IFC-VALIDATION</w:t>
      </w:r>
    </w:p>
    <w:p>
      <w:pPr/>
      <w:r>
        <w:t>Screenshot set: Neutral viewer screenshots of 2–3 typical views per discipline</w:t>
      </w:r>
    </w:p>
    <w:p>
      <w:pPr/>
      <w:r>
        <w:t>Mapping log: Export preset name and version noted in transmittal and README</w:t>
      </w:r>
    </w:p>
    <w:p>
      <w:pPr/>
      <w:r>
        <w:t>Troubleshooting guide (quick)</w:t>
      </w:r>
    </w:p>
    <w:p>
      <w:pPr/>
      <w:r>
        <w:t>Missing geometry in viewer</w:t>
      </w:r>
    </w:p>
    <w:p>
      <w:pPr/>
      <w:r>
        <w:t>Re-export with solids/triangulation options per preset. Check category visibility and phase filters in preset view</w:t>
      </w:r>
    </w:p>
    <w:p>
      <w:pPr/>
      <w:r>
        <w:t>Wrong coordinates</w:t>
      </w:r>
    </w:p>
    <w:p>
      <w:pPr/>
      <w:r>
        <w:t>Verify shared coordinates and survey/base points. Obtain coordinate-owner approval for any transform; test affected links and exports before reissue. Do not rebase an issued model merely to match a viewer</w:t>
      </w:r>
    </w:p>
    <w:p>
      <w:pPr/>
      <w:r>
        <w:t>Missing properties</w:t>
      </w:r>
    </w:p>
    <w:p>
      <w:pPr/>
      <w:r>
        <w:t>Confirm parameters exist and are bound per 3.2. Re-map fields in export setup if a native Pset exists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18"/>
        <w:gridCol w:w="2745"/>
        <w:gridCol w:w="1631"/>
        <w:gridCol w:w="2972"/>
      </w:tblGrid>
      <w:tr>
        <w:trPr>
          <w:cantSplit/>
          <w:tblHeader/>
        </w:trPr>
        <w:tc>
          <w:tcPr>
            <w:tcW w:type="dxa" w:w="3118"/>
            <w:shd w:val="clear" w:color="auto" w:fill="111113"/>
          </w:tcPr>
          <w:p>
            <w:r>
              <w:rPr>
                <w:b/>
                <w:color w:val="FFFFFF"/>
                <w:sz w:val="17"/>
              </w:rPr>
            </w:r>
            <w:r>
              <w:rPr>
                <w:b/>
                <w:color w:val="FFFFFF"/>
                <w:sz w:val="17"/>
              </w:rPr>
              <w:t>Acceptance criteria</w:t>
            </w:r>
          </w:p>
        </w:tc>
        <w:tc>
          <w:tcPr>
            <w:tcW w:type="dxa" w:w="2745"/>
            <w:shd w:val="clear" w:color="auto" w:fill="111113"/>
          </w:tcPr>
          <w:p>
            <w:r>
              <w:rPr>
                <w:b/>
                <w:color w:val="FFFFFF"/>
                <w:sz w:val="17"/>
              </w:rPr>
            </w:r>
            <w:r>
              <w:rPr>
                <w:b/>
                <w:color w:val="FFFFFF"/>
                <w:sz w:val="17"/>
              </w:rPr>
              <w:t>Quality checks</w:t>
            </w:r>
          </w:p>
        </w:tc>
        <w:tc>
          <w:tcPr>
            <w:tcW w:type="dxa" w:w="1631"/>
            <w:shd w:val="clear" w:color="auto" w:fill="111113"/>
          </w:tcPr>
          <w:p>
            <w:r>
              <w:rPr>
                <w:b/>
                <w:color w:val="FFFFFF"/>
                <w:sz w:val="17"/>
              </w:rPr>
            </w:r>
            <w:r>
              <w:rPr>
                <w:b/>
                <w:color w:val="FFFFFF"/>
                <w:sz w:val="17"/>
              </w:rPr>
              <w:t>Owner</w:t>
            </w:r>
          </w:p>
        </w:tc>
        <w:tc>
          <w:tcPr>
            <w:tcW w:type="dxa" w:w="2972"/>
            <w:shd w:val="clear" w:color="auto" w:fill="111113"/>
          </w:tcPr>
          <w:p>
            <w:r>
              <w:rPr>
                <w:b/>
                <w:color w:val="FFFFFF"/>
                <w:sz w:val="17"/>
              </w:rPr>
            </w:r>
            <w:r>
              <w:rPr>
                <w:b/>
                <w:color w:val="FFFFFF"/>
                <w:sz w:val="17"/>
              </w:rPr>
              <w:t>Evidence</w:t>
            </w:r>
          </w:p>
        </w:tc>
      </w:tr>
      <w:tr>
        <w:trPr>
          <w:cantSplit/>
        </w:trPr>
        <w:tc>
          <w:tcPr>
            <w:tcW w:type="dxa" w:w="3118"/>
          </w:tcPr>
          <w:p>
            <w:r>
              <w:rPr>
                <w:sz w:val="17"/>
              </w:rPr>
            </w:r>
            <w:r>
              <w:rPr>
                <w:sz w:val="17"/>
              </w:rPr>
              <w:t>Correct preset and schema used</w:t>
            </w:r>
          </w:p>
        </w:tc>
        <w:tc>
          <w:tcPr>
            <w:tcW w:type="dxa" w:w="2745"/>
          </w:tcPr>
          <w:p>
            <w:r>
              <w:rPr>
                <w:sz w:val="17"/>
              </w:rPr>
            </w:r>
            <w:r>
              <w:rPr>
                <w:sz w:val="17"/>
              </w:rPr>
              <w:t>Header + preset name in transmittal</w:t>
            </w:r>
          </w:p>
        </w:tc>
        <w:tc>
          <w:tcPr>
            <w:tcW w:type="dxa" w:w="1631"/>
          </w:tcPr>
          <w:p>
            <w:r>
              <w:rPr>
                <w:sz w:val="17"/>
              </w:rPr>
            </w:r>
            <w:r>
              <w:rPr>
                <w:sz w:val="17"/>
              </w:rPr>
              <w:t>BIM Coordinator</w:t>
            </w:r>
          </w:p>
        </w:tc>
        <w:tc>
          <w:tcPr>
            <w:tcW w:type="dxa" w:w="2972"/>
          </w:tcPr>
          <w:p>
            <w:r>
              <w:rPr>
                <w:sz w:val="17"/>
              </w:rPr>
            </w:r>
            <w:r>
              <w:rPr>
                <w:sz w:val="17"/>
              </w:rPr>
              <w:t>Transmittal + preset screenshot</w:t>
            </w:r>
          </w:p>
        </w:tc>
      </w:tr>
      <w:tr>
        <w:trPr>
          <w:cantSplit/>
        </w:trPr>
        <w:tc>
          <w:tcPr>
            <w:tcW w:type="dxa" w:w="3118"/>
          </w:tcPr>
          <w:p>
            <w:r>
              <w:rPr>
                <w:sz w:val="17"/>
              </w:rPr>
            </w:r>
            <w:r>
              <w:rPr>
                <w:sz w:val="17"/>
              </w:rPr>
              <w:t>Validator report shows no critical errors</w:t>
            </w:r>
          </w:p>
        </w:tc>
        <w:tc>
          <w:tcPr>
            <w:tcW w:type="dxa" w:w="2745"/>
          </w:tcPr>
          <w:p>
            <w:r>
              <w:rPr>
                <w:sz w:val="17"/>
              </w:rPr>
            </w:r>
            <w:r>
              <w:rPr>
                <w:sz w:val="17"/>
              </w:rPr>
              <w:t>HTML/​PDF report status</w:t>
            </w:r>
          </w:p>
        </w:tc>
        <w:tc>
          <w:tcPr>
            <w:tcW w:type="dxa" w:w="1631"/>
          </w:tcPr>
          <w:p>
            <w:r>
              <w:rPr>
                <w:sz w:val="17"/>
              </w:rPr>
            </w:r>
            <w:r>
              <w:rPr>
                <w:sz w:val="17"/>
              </w:rPr>
              <w:t>QA-QC Lead</w:t>
            </w:r>
          </w:p>
        </w:tc>
        <w:tc>
          <w:tcPr>
            <w:tcW w:type="dxa" w:w="2972"/>
          </w:tcPr>
          <w:p>
            <w:r>
              <w:rPr>
                <w:sz w:val="17"/>
              </w:rPr>
            </w:r>
            <w:r>
              <w:rPr>
                <w:sz w:val="17"/>
              </w:rPr>
              <w:t>Report in 04-REPORTS/​00-IFC-VALIDATION</w:t>
            </w:r>
          </w:p>
        </w:tc>
      </w:tr>
      <w:tr>
        <w:trPr>
          <w:cantSplit/>
        </w:trPr>
        <w:tc>
          <w:tcPr>
            <w:tcW w:type="dxa" w:w="3118"/>
          </w:tcPr>
          <w:p>
            <w:r>
              <w:rPr>
                <w:sz w:val="17"/>
              </w:rPr>
            </w:r>
            <w:r>
              <w:rPr>
                <w:sz w:val="17"/>
              </w:rPr>
              <w:t>Core properties present on sampled elements</w:t>
            </w:r>
          </w:p>
        </w:tc>
        <w:tc>
          <w:tcPr>
            <w:tcW w:type="dxa" w:w="2745"/>
          </w:tcPr>
          <w:p>
            <w:r>
              <w:rPr>
                <w:sz w:val="17"/>
              </w:rPr>
            </w:r>
            <w:r>
              <w:rPr>
                <w:sz w:val="17"/>
              </w:rPr>
              <w:t>Spot-check against 3.2</w:t>
            </w:r>
          </w:p>
        </w:tc>
        <w:tc>
          <w:tcPr>
            <w:tcW w:type="dxa" w:w="1631"/>
          </w:tcPr>
          <w:p>
            <w:r>
              <w:rPr>
                <w:sz w:val="17"/>
              </w:rPr>
            </w:r>
            <w:r>
              <w:rPr>
                <w:sz w:val="17"/>
              </w:rPr>
              <w:t>Information Manager</w:t>
            </w:r>
          </w:p>
        </w:tc>
        <w:tc>
          <w:tcPr>
            <w:tcW w:type="dxa" w:w="2972"/>
          </w:tcPr>
          <w:p>
            <w:r>
              <w:rPr>
                <w:sz w:val="17"/>
              </w:rPr>
            </w:r>
            <w:r>
              <w:rPr>
                <w:sz w:val="17"/>
              </w:rPr>
              <w:t>Checklist attached</w:t>
            </w:r>
          </w:p>
        </w:tc>
      </w:tr>
      <w:tr>
        <w:trPr>
          <w:cantSplit/>
        </w:trPr>
        <w:tc>
          <w:tcPr>
            <w:tcW w:type="dxa" w:w="3118"/>
          </w:tcPr>
          <w:p>
            <w:r>
              <w:rPr>
                <w:sz w:val="17"/>
              </w:rPr>
            </w:r>
            <w:r>
              <w:rPr>
                <w:sz w:val="17"/>
              </w:rPr>
              <w:t>Coordinates and units correct</w:t>
            </w:r>
          </w:p>
        </w:tc>
        <w:tc>
          <w:tcPr>
            <w:tcW w:type="dxa" w:w="2745"/>
          </w:tcPr>
          <w:p>
            <w:r>
              <w:rPr>
                <w:sz w:val="17"/>
              </w:rPr>
            </w:r>
            <w:r>
              <w:rPr>
                <w:sz w:val="17"/>
              </w:rPr>
              <w:t>Viewer probe + header units</w:t>
            </w:r>
          </w:p>
        </w:tc>
        <w:tc>
          <w:tcPr>
            <w:tcW w:type="dxa" w:w="1631"/>
          </w:tcPr>
          <w:p>
            <w:r>
              <w:rPr>
                <w:sz w:val="17"/>
              </w:rPr>
            </w:r>
            <w:r>
              <w:rPr>
                <w:sz w:val="17"/>
              </w:rPr>
              <w:t>QA-QC Lead</w:t>
            </w:r>
          </w:p>
        </w:tc>
        <w:tc>
          <w:tcPr>
            <w:tcW w:type="dxa" w:w="2972"/>
          </w:tcPr>
          <w:p>
            <w:r>
              <w:rPr>
                <w:sz w:val="17"/>
              </w:rPr>
            </w:r>
            <w:r>
              <w:rPr>
                <w:sz w:val="17"/>
              </w:rPr>
              <w:t>Screenshot + note</w:t>
            </w:r>
          </w:p>
        </w:tc>
      </w:tr>
      <w:tr>
        <w:trPr>
          <w:cantSplit/>
        </w:trPr>
        <w:tc>
          <w:tcPr>
            <w:tcW w:type="dxa" w:w="3118"/>
          </w:tcPr>
          <w:p>
            <w:r>
              <w:rPr>
                <w:sz w:val="17"/>
              </w:rPr>
            </w:r>
            <w:r>
              <w:rPr>
                <w:sz w:val="17"/>
              </w:rPr>
              <w:t>Files named and placed per 3.1 and 2.4</w:t>
            </w:r>
          </w:p>
        </w:tc>
        <w:tc>
          <w:tcPr>
            <w:tcW w:type="dxa" w:w="2745"/>
          </w:tcPr>
          <w:p>
            <w:r>
              <w:rPr>
                <w:sz w:val="17"/>
              </w:rPr>
            </w:r>
            <w:r>
              <w:rPr>
                <w:sz w:val="17"/>
              </w:rPr>
              <w:t>Regex + path check</w:t>
            </w:r>
          </w:p>
        </w:tc>
        <w:tc>
          <w:tcPr>
            <w:tcW w:type="dxa" w:w="1631"/>
          </w:tcPr>
          <w:p>
            <w:r>
              <w:rPr>
                <w:sz w:val="17"/>
              </w:rPr>
            </w:r>
            <w:r>
              <w:rPr>
                <w:sz w:val="17"/>
              </w:rPr>
              <w:t>Information Manager</w:t>
            </w:r>
          </w:p>
        </w:tc>
        <w:tc>
          <w:tcPr>
            <w:tcW w:type="dxa" w:w="2972"/>
          </w:tcPr>
          <w:p>
            <w:r>
              <w:rPr>
                <w:sz w:val="17"/>
              </w:rPr>
            </w:r>
            <w:r>
              <w:rPr>
                <w:sz w:val="17"/>
              </w:rPr>
              <w:t>Pack structure scan</w:t>
            </w:r>
          </w:p>
        </w:tc>
      </w:tr>
    </w:tbl>
    <w:p/>
    <w:p>
      <w:pPr/>
      <w:r>
        <w:t>Interlocks</w:t>
      </w:r>
    </w:p>
    <w:p>
      <w:pPr/>
      <w:r>
        <w:t>Presets stored and versioned under 12.1 paths; referenced in 7.3 transmittal</w:t>
      </w:r>
    </w:p>
    <w:p>
      <w:pPr/>
      <w:r>
        <w:t>Property completeness per 3.2; naming per 3.1; coordinates per 5 CAD and 4.9</w:t>
      </w:r>
    </w:p>
    <w:p>
      <w:pPr/>
      <w:r>
        <w:t>Exchanges governed by 11.1; results filed as evidence for 2.3 gate packs</w:t>
      </w:r>
    </w:p>
    <w:p>
      <w:pPr>
        <w:pStyle w:val="Heading2"/>
      </w:pPr>
      <w:r>
        <w:t>11.3 PROJECT EXCHANGE QUALIFICATION AND RECEIVING CHECKS</w:t>
      </w:r>
    </w:p>
    <w:p>
      <w:pPr/>
      <w:r>
        <w:rPr>
          <w:b/>
        </w:rPr>
        <w:t>Decision (BIM Manager, 2026-10-14):</w:t>
      </w:r>
      <w:r>
        <w:t xml:space="preserve"> Freeze authoring/exporter/checker/receiver full builds, presets, dictionaries and profile hashes; upgrades require impact, compatibility, receiver and recovery tests with controlled change approval. Basis: Infrastructure qualifies for a purpose through actual capability evidence P02, S04 (</w:t>
      </w:r>
      <w:r>
        <w:rPr>
          <w:color w:val="9A7B45"/>
          <w:u w:val="single"/>
        </w:rPr>
        <w:t>O-DEC-048</w:t>
      </w:r>
      <w:r>
        <w:t>).</w:t>
      </w:r>
    </w:p>
    <w:p>
      <w:pPr/>
      <w:r>
        <w:rPr>
          <w:b/>
        </w:rPr>
        <w:t>Decision (BIM Manager, 2026-10-14):</w:t>
      </w:r>
      <w:r>
        <w:t xml:space="preserve"> Use IFC 4.0.2.1 (IFC4 ADD2 TC1) Reference View as default building reference qualification profile; IFC 4.3.2.0 needs approved purpose and exporter/receiver support; freeze mappings/units/transforms/preset hashes. Basis: Retains Manual/BEP interoperability baseline without automatic upgrades S11, S12, P02 (</w:t>
      </w:r>
      <w:r>
        <w:rPr>
          <w:color w:val="9A7B45"/>
          <w:u w:val="single"/>
        </w:rPr>
        <w:t>O-DEC-086</w:t>
      </w:r>
      <w:r>
        <w:t>).</w:t>
      </w:r>
    </w:p>
    <w:p>
      <w:pPr/>
      <w:r>
        <w:rPr>
          <w:b/>
        </w:rPr>
        <w:t>Decision (BIM Manager, 2026-10-14):</w:t>
      </w:r>
      <w:r>
        <w:t xml:space="preserve"> Use BCF 3.0 XML as default qualification route; BCF 3.0 API requires separately approved endpoints/permissions and returned-issue test; preserve issue ID/revision/GUID/viewpoint/assignment/status/retest. Basis: XML/API are separate implementations needing endpoint compatibility S13 (</w:t>
      </w:r>
      <w:r>
        <w:rPr>
          <w:color w:val="9A7B45"/>
          <w:u w:val="single"/>
        </w:rPr>
        <w:t>O-DEC-087</w:t>
      </w:r>
      <w:r>
        <w:t>).</w:t>
      </w:r>
    </w:p>
    <w:p>
      <w:pPr/>
      <w:r>
        <w:rPr>
          <w:b/>
        </w:rPr>
        <w:t>Decision (BIM Manager, 2026-11-04, O-DEC-114 replacing O-DEC-084):</w:t>
      </w:r>
      <w:r>
        <w:t xml:space="preserve"> Deliver COBie (XLSX) when the EIR requires it; version as specified in the EIR, default COBie 2.4 (NBIMS-US V3) unless the EIR names COBie v3 (NBIMS-US V4); freeze template/schema, units, fields, keys, exclusions and receiving tests. Basis: COBie v3 final publication is not confirmed (NIBS draft May 2023) S15, S03 (</w:t>
      </w:r>
      <w:r>
        <w:rPr>
          <w:color w:val="9A7B45"/>
          <w:u w:val="single"/>
        </w:rPr>
        <w:t>O-DEC-084</w:t>
      </w:r>
      <w:r>
        <w:t>).</w:t>
      </w:r>
    </w:p>
    <w:p>
      <w:pPr/>
      <w:r>
        <w:rPr>
          <w:b/>
        </w:rPr>
        <w:t>Decision (BIM Manager, 2026-10-14):</w:t>
      </w:r>
      <w:r>
        <w:t xml:space="preserve"> Use audited IDS 1.0 where supported for IFC data with rule IDs/hash/checker and valid/invalid fixtures; geometry/access/competent review remain separate. Basis: IDS scope is information validation, not full geometric/safety assurance S20, S04 (</w:t>
      </w:r>
      <w:r>
        <w:rPr>
          <w:color w:val="9A7B45"/>
          <w:u w:val="single"/>
        </w:rPr>
        <w:t>O-DEC-088</w:t>
      </w:r>
      <w:r>
        <w:t>).</w:t>
      </w:r>
    </w:p>
    <w:p>
      <w:pPr/>
      <w:r>
        <w:rPr>
          <w:b/>
        </w:rPr>
        <w:t>Decision (2026-11-04, O-DEC-142, replaces the O-DEC-094 new-project baseline):</w:t>
      </w:r>
      <w:r>
        <w:t xml:space="preserve"> The office Revit template BBM-ARC-TMP-R23 is authored in the oldest Revit release in office use (currently Revit 2023) and must open and upgrade cleanly in Revit 2023–2027; new projects start in a supported release (2024–2027) by upgrading the template and recording the upgrade test (BBM-STD-91 §5); the qualified build per release stays a recorded field in BBM-STD-91. Revit 2023 stays out of Autodesk support (previous-versions list checked 2026-11-04): legacy authoring release, recorded risk. Basis: Revit cannot save back to an earlier major, so one template in the oldest release serves every supported release A01 (</w:t>
      </w:r>
      <w:r>
        <w:rPr>
          <w:color w:val="9A7B45"/>
          <w:u w:val="single"/>
        </w:rPr>
        <w:t>O-DEC-142</w:t>
      </w:r>
      <w:r>
        <w:t>).</w:t>
      </w:r>
    </w:p>
    <w:p>
      <w:pPr/>
      <w:r>
        <w:rPr>
          <w:b/>
        </w:rPr>
        <w:t>Decision (BIM Manager, 2026-10-14):</w:t>
      </w:r>
      <w:r>
        <w:t xml:space="preserve"> Select Autodesk IFC for Revit 2025 package 25.4.40 for qualification; verify package/binary versions/source/licence/hash, preset/mapping and export/receiver tests before activation. Basis: Retains BEP frozen pilot choice without claiming installed compatibility P02, S12 (</w:t>
      </w:r>
      <w:r>
        <w:rPr>
          <w:color w:val="9A7B45"/>
          <w:u w:val="single"/>
        </w:rPr>
        <w:t>O-DEC-095</w:t>
      </w:r>
      <w:r>
        <w:t>).</w:t>
      </w:r>
    </w:p>
    <w:p>
      <w:pPr/>
      <w:r>
        <w:rPr>
          <w:b/>
        </w:rPr>
        <w:t>Decision (BIM Manager, 2026-10-14):</w:t>
      </w:r>
      <w:r>
        <w:t xml:space="preserve"> Use same qualified Revit full build for editable native receiver; verify build/OS/link-cloud access and open/edit/sync; no lower-major backward opening assumed. Basis: Common tested route protects appointed native capability A01, P02 (</w:t>
      </w:r>
      <w:r>
        <w:rPr>
          <w:color w:val="9A7B45"/>
          <w:u w:val="single"/>
        </w:rPr>
        <w:t>O-DEC-096</w:t>
      </w:r>
      <w:r>
        <w:t>).</w:t>
      </w:r>
    </w:p>
    <w:p>
      <w:pPr/>
      <w:r>
        <w:rPr>
          <w:b/>
        </w:rPr>
        <w:t>Decision (BIM Manager, 2026-10-14):</w:t>
      </w:r>
      <w:r>
        <w:t xml:space="preserve"> Select Navisworks Manage as default checking/federation route; freeze actual installed full build/rules and known-result tests; Solibri requires separately qualified approval for the use; missing actual builds hold activation. Basis: One identified route/use avoids unverified interchangeable checking P02, S04 (</w:t>
      </w:r>
      <w:r>
        <w:rPr>
          <w:color w:val="9A7B45"/>
          <w:u w:val="single"/>
        </w:rPr>
        <w:t>O-DEC-097</w:t>
      </w:r>
      <w:r>
        <w:t>).</w:t>
      </w:r>
    </w:p>
    <w:p>
      <w:pPr/>
      <w:r>
        <w:rPr>
          <w:b/>
        </w:rPr>
        <w:t>Decision (BIM Manager, 2026-10-14):</w:t>
      </w:r>
      <w:r>
        <w:t xml:space="preserve"> Recipient freezes actual viewer/FM build or dated cloud configuration, schema/profile/units/document-access mapping; intended-use/update tests must pass before acceptance. Basis: Receiver capability cannot be invented from export format S03, S04 (</w:t>
      </w:r>
      <w:r>
        <w:rPr>
          <w:color w:val="9A7B45"/>
          <w:u w:val="single"/>
        </w:rPr>
        <w:t>O-DEC-098</w:t>
      </w:r>
      <w:r>
        <w:t>).</w:t>
      </w:r>
    </w:p>
    <w:p>
      <w:pPr/>
      <w:r>
        <w:rPr>
          <w:b/>
        </w:rPr>
        <w:t>Decision (BIM Manager, 2026-10-14):</w:t>
      </w:r>
      <w:r>
        <w:t xml:space="preserve"> Survey/site-control owner approves coordinate evidence, BIM Coordinator implements, independent receiver checks ≥3 well-distributed control points plus elevation/unit probes; record CRS/datum/units/provenance/uncertainty/local-shared transform/True North. Basis: Retains shared coordinate method without asserting zero survey uncertainty A10, S04 (</w:t>
      </w:r>
      <w:r>
        <w:rPr>
          <w:color w:val="9A7B45"/>
          <w:u w:val="single"/>
        </w:rPr>
        <w:t>O-DEC-090</w:t>
      </w:r>
      <w:r>
        <w:t>).</w:t>
      </w:r>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S07 (</w:t>
      </w:r>
      <w:r>
        <w:rPr>
          <w:color w:val="9A7B45"/>
          <w:u w:val="single"/>
        </w:rPr>
        <w:t>O-DEC-001</w:t>
      </w:r>
      <w:r>
        <w:t xml:space="preserve">). Authority: </w:t>
      </w:r>
      <w:r>
        <w:rPr>
          <w:color w:val="9A7B45"/>
          <w:u w:val="single"/>
        </w:rPr>
        <w:t>Clash matrix section 3, the sole H/C/A/D/V tolerance table</w:t>
      </w:r>
      <w:r>
        <w:t>.</w:t>
      </w:r>
    </w:p>
    <w:p>
      <w:pPr/>
      <w:r>
        <w:rPr>
          <w:b/>
        </w:rPr>
        <w:t>Decision (BIM Manager, 2026-10-14):</w:t>
      </w:r>
      <w:r>
        <w:t xml:space="preserve"> For declared representative seed target native open ≤120 s, sync ≤60 s and prescribed IFC export ≤180 s; record device/network/build/model and approve actual workload-class targets before project acceptance. Basis: Existing BEP pilot targets are local, not vendor minima or universal limits P02, S04 (</w:t>
      </w:r>
      <w:r>
        <w:rPr>
          <w:color w:val="9A7B45"/>
          <w:u w:val="single"/>
        </w:rPr>
        <w:t>O-DEC-093</w:t>
      </w:r>
      <w:r>
        <w:t>).</w:t>
      </w:r>
    </w:p>
    <w:p>
      <w:pPr/>
      <w:r>
        <w:t>Qualification is purpose-specific under ISO 19650-4:2022. Blank actual build/profile/results fields do not represent passed mobilisation.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1"/>
        <w:gridCol w:w="5449"/>
        <w:gridCol w:w="3806"/>
      </w:tblGrid>
      <w:tr>
        <w:trPr>
          <w:cantSplit/>
          <w:tblHeader/>
        </w:trPr>
        <w:tc>
          <w:tcPr>
            <w:tcW w:type="dxa" w:w="1211"/>
            <w:shd w:val="clear" w:color="auto" w:fill="111113"/>
          </w:tcPr>
          <w:p>
            <w:r>
              <w:rPr>
                <w:b/>
                <w:color w:val="FFFFFF"/>
                <w:sz w:val="17"/>
              </w:rPr>
            </w:r>
            <w:r>
              <w:rPr>
                <w:b/>
                <w:color w:val="FFFFFF"/>
                <w:sz w:val="17"/>
              </w:rPr>
              <w:t>Annex control</w:t>
            </w:r>
          </w:p>
        </w:tc>
        <w:tc>
          <w:tcPr>
            <w:tcW w:type="dxa" w:w="5449"/>
            <w:shd w:val="clear" w:color="auto" w:fill="111113"/>
          </w:tcPr>
          <w:p>
            <w:r>
              <w:rPr>
                <w:b/>
                <w:color w:val="FFFFFF"/>
                <w:sz w:val="17"/>
              </w:rPr>
            </w:r>
            <w:r>
              <w:rPr>
                <w:b/>
                <w:color w:val="FFFFFF"/>
                <w:sz w:val="17"/>
              </w:rPr>
              <w:t>Decided qualification baseline /​ required particulars</w:t>
            </w:r>
          </w:p>
        </w:tc>
        <w:tc>
          <w:tcPr>
            <w:tcW w:type="dxa" w:w="3806"/>
            <w:shd w:val="clear" w:color="auto" w:fill="111113"/>
          </w:tcPr>
          <w:p>
            <w:r>
              <w:rPr>
                <w:b/>
                <w:color w:val="FFFFFF"/>
                <w:sz w:val="17"/>
              </w:rPr>
            </w:r>
            <w:r>
              <w:rPr>
                <w:b/>
                <w:color w:val="FFFFFF"/>
                <w:sz w:val="17"/>
              </w:rPr>
              <w:t>Qualification evidence</w:t>
            </w:r>
          </w:p>
        </w:tc>
      </w:tr>
      <w:tr>
        <w:trPr/>
        <w:tc>
          <w:tcPr>
            <w:tcW w:type="dxa" w:w="1211"/>
          </w:tcPr>
          <w:p>
            <w:r>
              <w:rPr>
                <w:sz w:val="17"/>
              </w:rPr>
            </w:r>
            <w:r>
              <w:rPr>
                <w:sz w:val="17"/>
              </w:rPr>
              <w:t>Software</w:t>
            </w:r>
          </w:p>
        </w:tc>
        <w:tc>
          <w:tcPr>
            <w:tcW w:type="dxa" w:w="5449"/>
          </w:tcPr>
          <w:p>
            <w:r>
              <w:rPr>
                <w:sz w:val="17"/>
              </w:rPr>
            </w:r>
            <w:r>
              <w:rPr>
                <w:sz w:val="17"/>
              </w:rPr>
              <w:t>Supported majors Revit 2024–2027, 2023 legacy (11.3.1; O-DEC-120). New projects start in a supported release by upgrading the office template BBM-ARC-TMP-R23 (authored in Revit 2023) with the upgrade test recorded; qualified build and IFC exporter per release recorded in BBM-STD-91 (O-DEC-142); common exact native build per model group; freeze actual checker/​receiver/​plugins and retain mandated appointment builds</w:t>
            </w:r>
          </w:p>
        </w:tc>
        <w:tc>
          <w:tcPr>
            <w:tcW w:type="dxa" w:w="3806"/>
          </w:tcPr>
          <w:p>
            <w:r>
              <w:rPr>
                <w:sz w:val="17"/>
              </w:rPr>
            </w:r>
            <w:r>
              <w:rPr>
                <w:sz w:val="17"/>
              </w:rPr>
              <w:t>Native open/​edit/​sync test where needed; backward compatibility and upgrade/​rollback plan</w:t>
            </w:r>
          </w:p>
        </w:tc>
      </w:tr>
      <w:tr>
        <w:trPr>
          <w:cantSplit/>
        </w:trPr>
        <w:tc>
          <w:tcPr>
            <w:tcW w:type="dxa" w:w="1211"/>
          </w:tcPr>
          <w:p>
            <w:r>
              <w:rPr>
                <w:sz w:val="17"/>
              </w:rPr>
            </w:r>
            <w:r>
              <w:rPr>
                <w:sz w:val="17"/>
              </w:rPr>
              <w:t>Open profile</w:t>
            </w:r>
          </w:p>
        </w:tc>
        <w:tc>
          <w:tcPr>
            <w:tcW w:type="dxa" w:w="5449"/>
          </w:tcPr>
          <w:p>
            <w:r>
              <w:rPr>
                <w:sz w:val="17"/>
              </w:rPr>
            </w:r>
            <w:r>
              <w:rPr>
                <w:sz w:val="17"/>
              </w:rPr>
              <w:t>Default qualification: IFC 4.0.2.1 Reference View; IFC 4.3.2.0 only for approved purpose and demonstrated exporter/​receiver support</w:t>
            </w:r>
          </w:p>
        </w:tc>
        <w:tc>
          <w:tcPr>
            <w:tcW w:type="dxa" w:w="3806"/>
          </w:tcPr>
          <w:p>
            <w:r>
              <w:rPr>
                <w:sz w:val="17"/>
              </w:rPr>
            </w:r>
            <w:r>
              <w:rPr>
                <w:sz w:val="17"/>
              </w:rPr>
              <w:t>Approved schema/​profile, preset/​hash, entity/​property mapping and receiver comparison</w:t>
            </w:r>
          </w:p>
        </w:tc>
      </w:tr>
      <w:tr>
        <w:trPr>
          <w:cantSplit/>
        </w:trPr>
        <w:tc>
          <w:tcPr>
            <w:tcW w:type="dxa" w:w="1211"/>
          </w:tcPr>
          <w:p>
            <w:r>
              <w:rPr>
                <w:sz w:val="17"/>
              </w:rPr>
            </w:r>
            <w:r>
              <w:rPr>
                <w:sz w:val="17"/>
              </w:rPr>
              <w:t>Issues</w:t>
            </w:r>
          </w:p>
        </w:tc>
        <w:tc>
          <w:tcPr>
            <w:tcW w:type="dxa" w:w="5449"/>
          </w:tcPr>
          <w:p>
            <w:r>
              <w:rPr>
                <w:sz w:val="17"/>
              </w:rPr>
            </w:r>
            <w:r>
              <w:rPr>
                <w:sz w:val="17"/>
              </w:rPr>
              <w:t>BCF 3.0 XML default; API only as separately approved/​tested route; freeze both endpoint builds</w:t>
            </w:r>
          </w:p>
        </w:tc>
        <w:tc>
          <w:tcPr>
            <w:tcW w:type="dxa" w:w="3806"/>
          </w:tcPr>
          <w:p>
            <w:r>
              <w:rPr>
                <w:sz w:val="17"/>
              </w:rPr>
            </w:r>
            <w:r>
              <w:rPr>
                <w:sz w:val="17"/>
              </w:rPr>
              <w:t>GUID/​viewpoint/​assignment/​status exchange and reviewer retest</w:t>
            </w:r>
          </w:p>
        </w:tc>
      </w:tr>
      <w:tr>
        <w:trPr>
          <w:cantSplit/>
        </w:trPr>
        <w:tc>
          <w:tcPr>
            <w:tcW w:type="dxa" w:w="1211"/>
          </w:tcPr>
          <w:p>
            <w:r>
              <w:rPr>
                <w:sz w:val="17"/>
              </w:rPr>
            </w:r>
            <w:r>
              <w:rPr>
                <w:sz w:val="17"/>
              </w:rPr>
              <w:t>Asset exchange</w:t>
            </w:r>
          </w:p>
        </w:tc>
        <w:tc>
          <w:tcPr>
            <w:tcW w:type="dxa" w:w="5449"/>
          </w:tcPr>
          <w:p>
            <w:r>
              <w:rPr>
                <w:sz w:val="17"/>
              </w:rPr>
            </w:r>
            <w:r>
              <w:rPr>
                <w:sz w:val="17"/>
              </w:rPr>
              <w:t>COBie XLSX when the EIR requires it; version per EIR, default COBie 2.4 unless the EIR names v3 (O-DEC-114); retain appointed version/​profile, required fields/​exclusions and receiver schema</w:t>
            </w:r>
          </w:p>
        </w:tc>
        <w:tc>
          <w:tcPr>
            <w:tcW w:type="dxa" w:w="3806"/>
          </w:tcPr>
          <w:p>
            <w:r>
              <w:rPr>
                <w:sz w:val="17"/>
              </w:rPr>
            </w:r>
            <w:r>
              <w:rPr>
                <w:sz w:val="17"/>
              </w:rPr>
              <w:t>Known-data import with keys, units, document links and change/​update tests</w:t>
            </w:r>
          </w:p>
        </w:tc>
      </w:tr>
      <w:tr>
        <w:trPr>
          <w:cantSplit/>
        </w:trPr>
        <w:tc>
          <w:tcPr>
            <w:tcW w:type="dxa" w:w="1211"/>
          </w:tcPr>
          <w:p>
            <w:r>
              <w:rPr>
                <w:sz w:val="17"/>
              </w:rPr>
            </w:r>
            <w:r>
              <w:rPr>
                <w:sz w:val="17"/>
              </w:rPr>
              <w:t>Information need</w:t>
            </w:r>
          </w:p>
        </w:tc>
        <w:tc>
          <w:tcPr>
            <w:tcW w:type="dxa" w:w="5449"/>
          </w:tcPr>
          <w:p>
            <w:r>
              <w:rPr>
                <w:sz w:val="17"/>
              </w:rPr>
            </w:r>
            <w:r>
              <w:rPr>
                <w:sz w:val="17"/>
              </w:rPr>
              <w:t>ISO 7817-1:2024 purpose + objects/​actors/​timing + geometry/​data/​docs</w:t>
            </w:r>
          </w:p>
        </w:tc>
        <w:tc>
          <w:tcPr>
            <w:tcW w:type="dxa" w:w="3806"/>
          </w:tcPr>
          <w:p>
            <w:r>
              <w:rPr>
                <w:sz w:val="17"/>
              </w:rPr>
            </w:r>
            <w:r>
              <w:rPr>
                <w:sz w:val="17"/>
              </w:rPr>
              <w:t>Per-use worksheet, mandatory rule IDs and source evidence</w:t>
            </w:r>
          </w:p>
        </w:tc>
      </w:tr>
      <w:tr>
        <w:trPr>
          <w:cantSplit/>
        </w:trPr>
        <w:tc>
          <w:tcPr>
            <w:tcW w:type="dxa" w:w="1211"/>
          </w:tcPr>
          <w:p>
            <w:r>
              <w:rPr>
                <w:sz w:val="17"/>
              </w:rPr>
            </w:r>
            <w:r>
              <w:rPr>
                <w:sz w:val="17"/>
              </w:rPr>
              <w:t>Survey /​ coordinates</w:t>
            </w:r>
          </w:p>
        </w:tc>
        <w:tc>
          <w:tcPr>
            <w:tcW w:type="dxa" w:w="5449"/>
          </w:tcPr>
          <w:p>
            <w:r>
              <w:rPr>
                <w:sz w:val="17"/>
              </w:rPr>
            </w:r>
            <w:r>
              <w:rPr>
                <w:sz w:val="17"/>
              </w:rPr>
              <w:t>Approved survey/​control owner; project CRS by EPSG code (Dubai DLTM EPSG:3997; Abu Dhabi per authority guideline) with vertical datum, datum, units, rotation/​offset, True North, control-point provenance/​uncertainty</w:t>
            </w:r>
          </w:p>
        </w:tc>
        <w:tc>
          <w:tcPr>
            <w:tcW w:type="dxa" w:w="3806"/>
          </w:tcPr>
          <w:p>
            <w:r>
              <w:rPr>
                <w:sz w:val="17"/>
              </w:rPr>
            </w:r>
            <w:r>
              <w:rPr>
                <w:sz w:val="17"/>
              </w:rPr>
              <w:t>At least three well-distributed independent control points plus elevation and unit probes; tolerances set by approved survey purpose</w:t>
            </w:r>
          </w:p>
        </w:tc>
      </w:tr>
      <w:tr>
        <w:trPr>
          <w:cantSplit/>
        </w:trPr>
        <w:tc>
          <w:tcPr>
            <w:tcW w:type="dxa" w:w="1211"/>
          </w:tcPr>
          <w:p>
            <w:r>
              <w:rPr>
                <w:sz w:val="17"/>
              </w:rPr>
            </w:r>
            <w:r>
              <w:rPr>
                <w:sz w:val="17"/>
              </w:rPr>
              <w:t>Clash rules</w:t>
            </w:r>
          </w:p>
        </w:tc>
        <w:tc>
          <w:tcPr>
            <w:tcW w:type="dxa" w:w="5449"/>
          </w:tcPr>
          <w:p>
            <w:r>
              <w:rPr>
                <w:sz w:val="17"/>
              </w:rPr>
            </w:r>
            <w:r>
              <w:rPr>
                <w:sz w:val="17"/>
              </w:rPr>
              <w:t>Only Clash matrix section 3 H/​C/​A/​D/​V table, referenced by rule/​revision; retire stage and 5/​15/​20/​25 mm blanket thresholds</w:t>
            </w:r>
          </w:p>
        </w:tc>
        <w:tc>
          <w:tcPr>
            <w:tcW w:type="dxa" w:w="3806"/>
          </w:tcPr>
          <w:p>
            <w:r>
              <w:rPr>
                <w:sz w:val="17"/>
              </w:rPr>
            </w:r>
            <w:r>
              <w:rPr>
                <w:sz w:val="17"/>
              </w:rPr>
              <w:t>Pair/​zone/​units/​rule ID, geometry source revisions, threshold rationale, exclusions, designer disposition and retest</w:t>
            </w:r>
          </w:p>
        </w:tc>
      </w:tr>
      <w:tr>
        <w:trPr>
          <w:cantSplit/>
        </w:trPr>
        <w:tc>
          <w:tcPr>
            <w:tcW w:type="dxa" w:w="1211"/>
          </w:tcPr>
          <w:p>
            <w:r>
              <w:rPr>
                <w:sz w:val="17"/>
              </w:rPr>
            </w:r>
            <w:r>
              <w:rPr>
                <w:sz w:val="17"/>
              </w:rPr>
              <w:t>Performance</w:t>
            </w:r>
          </w:p>
        </w:tc>
        <w:tc>
          <w:tcPr>
            <w:tcW w:type="dxa" w:w="5449"/>
          </w:tcPr>
          <w:p>
            <w:r>
              <w:rPr>
                <w:sz w:val="17"/>
              </w:rPr>
            </w:r>
            <w:r>
              <w:rPr>
                <w:sz w:val="17"/>
              </w:rPr>
              <w:t>Measure open/​sync/​export time on representative devices/​models; size is an investigation trigger</w:t>
            </w:r>
          </w:p>
        </w:tc>
        <w:tc>
          <w:tcPr>
            <w:tcW w:type="dxa" w:w="3806"/>
          </w:tcPr>
          <w:p>
            <w:r>
              <w:rPr>
                <w:sz w:val="17"/>
              </w:rPr>
            </w:r>
            <w:r>
              <w:rPr>
                <w:sz w:val="17"/>
              </w:rPr>
              <w:t>Baseline, sample size, device/​network/​build and target times; record justified split strategy</w:t>
            </w:r>
          </w:p>
        </w:tc>
      </w:tr>
      <w:tr>
        <w:trPr>
          <w:cantSplit/>
        </w:trPr>
        <w:tc>
          <w:tcPr>
            <w:tcW w:type="dxa" w:w="1211"/>
          </w:tcPr>
          <w:p>
            <w:r>
              <w:rPr>
                <w:sz w:val="17"/>
              </w:rPr>
            </w:r>
            <w:r>
              <w:rPr>
                <w:sz w:val="17"/>
              </w:rPr>
              <w:t>Automation /​ AI</w:t>
            </w:r>
          </w:p>
        </w:tc>
        <w:tc>
          <w:tcPr>
            <w:tcW w:type="dxa" w:w="5449"/>
          </w:tcPr>
          <w:p>
            <w:r>
              <w:rPr>
                <w:sz w:val="17"/>
              </w:rPr>
            </w:r>
            <w:r>
              <w:rPr>
                <w:sz w:val="17"/>
              </w:rPr>
              <w:t>Approved inputs, provider, licence, build/​dependencies, script/​hash and human reviewer; isolated representative test before bulk changes</w:t>
            </w:r>
          </w:p>
        </w:tc>
        <w:tc>
          <w:tcPr>
            <w:tcW w:type="dxa" w:w="3806"/>
          </w:tcPr>
          <w:p>
            <w:r>
              <w:rPr>
                <w:sz w:val="17"/>
              </w:rPr>
            </w:r>
            <w:r>
              <w:rPr>
                <w:sz w:val="17"/>
              </w:rPr>
              <w:t>Before/​after diff, known failure/​pass cases, rollback/​recovery, allowed data and access; no unverified free/​safe claim</w:t>
            </w:r>
          </w:p>
        </w:tc>
      </w:tr>
    </w:tbl>
    <w:p/>
    <w:p>
      <w:pPr/>
      <w:r>
        <w:t>IFC schema conformity, IDS 1.0 information validation, geometric/clearance checks and competent design review are distinct. Audit the IDS requirements file itself and retain its version/hash, checker build and scope; an IDS pass does not prove geometry, all safety requirements or receiving acceptance. Do not upload confidential models to public validation services without explicit data-owner authorisation.</w:t>
      </w:r>
    </w:p>
    <w:p>
      <w:pPr>
        <w:pStyle w:val="ListParagraph"/>
        <w:spacing w:after="40"/>
        <w:ind w:left="360" w:hanging="280"/>
      </w:pPr>
      <w:r>
        <w:t xml:space="preserve">1.  </w:t>
      </w:r>
      <w:r>
        <w:t>Freeze the candidate source revisions and annex/rule versions; validate every applicable mandatory property and identity across the full required scope.</w:t>
      </w:r>
    </w:p>
    <w:p>
      <w:pPr>
        <w:pStyle w:val="ListParagraph"/>
        <w:spacing w:after="40"/>
        <w:ind w:left="360" w:hanging="280"/>
      </w:pPr>
      <w:r>
        <w:t xml:space="preserve">2.  </w:t>
      </w:r>
      <w:r>
        <w:t>Export the prescribed native, open, drawing, data and documentation set. Inspect representative geometry and all high-risk areas; reconcile object counts, omissions and stable IDs against source and approved exclusions.</w:t>
      </w:r>
    </w:p>
    <w:p>
      <w:pPr>
        <w:pStyle w:val="ListParagraph"/>
        <w:spacing w:after="40"/>
        <w:ind w:left="360" w:hanging="280"/>
      </w:pPr>
      <w:r>
        <w:t xml:space="preserve">3.  </w:t>
      </w:r>
      <w:r>
        <w:t xml:space="preserve">Check coordinates/units independently in the specified receiver. Assumed positioning remains </w:t>
      </w:r>
      <w:r>
        <w:rPr>
          <w:b/>
        </w:rPr>
        <w:t>PROVISIONAL - not verified for survey/as-built use</w:t>
      </w:r>
      <w:r>
        <w:t xml:space="preserve"> and may only be shared for its approved limited purpose.</w:t>
      </w:r>
    </w:p>
    <w:p>
      <w:pPr>
        <w:pStyle w:val="ListParagraph"/>
        <w:spacing w:after="40"/>
        <w:ind w:left="360" w:hanging="280"/>
      </w:pPr>
      <w:r>
        <w:t xml:space="preserve">4.  </w:t>
      </w:r>
      <w:r>
        <w:t>Receiver runs the intended workflow: reference/federation, required editing, structured asset ingestion or decision review. Compare values, relationships, document links and permitted-use metadata. Record failure and correction against exact revisions.</w:t>
      </w:r>
    </w:p>
    <w:p>
      <w:pPr>
        <w:pStyle w:val="ListParagraph"/>
        <w:spacing w:after="40"/>
        <w:ind w:left="360" w:hanging="280"/>
      </w:pPr>
      <w:r>
        <w:t xml:space="preserve">5.  </w:t>
      </w:r>
      <w:r>
        <w:t>LAP authorises the identified corrected set; receiving authority records accept/conditional/reject and evidence. Rejected containers return through WIP correction and a new controlled submission, preserving the rejection and prior baseline.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51"/>
        <w:gridCol w:w="1903"/>
        <w:gridCol w:w="1682"/>
        <w:gridCol w:w="1428"/>
        <w:gridCol w:w="1578"/>
        <w:gridCol w:w="1650"/>
        <w:gridCol w:w="1274"/>
      </w:tblGrid>
      <w:tr>
        <w:trPr>
          <w:cantSplit/>
          <w:tblHeader/>
        </w:trPr>
        <w:tc>
          <w:tcPr>
            <w:tcW w:type="dxa" w:w="951"/>
            <w:shd w:val="clear" w:color="auto" w:fill="111113"/>
          </w:tcPr>
          <w:p>
            <w:r>
              <w:rPr>
                <w:b/>
                <w:color w:val="FFFFFF"/>
                <w:sz w:val="17"/>
              </w:rPr>
            </w:r>
            <w:r>
              <w:rPr>
                <w:b/>
                <w:color w:val="FFFFFF"/>
                <w:sz w:val="17"/>
              </w:rPr>
              <w:t>Test ID /​ exchange</w:t>
            </w:r>
          </w:p>
        </w:tc>
        <w:tc>
          <w:tcPr>
            <w:tcW w:type="dxa" w:w="1903"/>
            <w:shd w:val="clear" w:color="auto" w:fill="111113"/>
          </w:tcPr>
          <w:p>
            <w:r>
              <w:rPr>
                <w:b/>
                <w:color w:val="FFFFFF"/>
                <w:sz w:val="17"/>
              </w:rPr>
            </w:r>
            <w:r>
              <w:rPr>
                <w:b/>
                <w:color w:val="FFFFFF"/>
                <w:sz w:val="17"/>
              </w:rPr>
              <w:t>Container ID, revision, CDE version /​ checksum</w:t>
            </w:r>
          </w:p>
        </w:tc>
        <w:tc>
          <w:tcPr>
            <w:tcW w:type="dxa" w:w="1682"/>
            <w:shd w:val="clear" w:color="auto" w:fill="111113"/>
          </w:tcPr>
          <w:p>
            <w:r>
              <w:rPr>
                <w:b/>
                <w:color w:val="FFFFFF"/>
                <w:sz w:val="17"/>
              </w:rPr>
            </w:r>
            <w:r>
              <w:rPr>
                <w:b/>
                <w:color w:val="FFFFFF"/>
                <w:sz w:val="17"/>
              </w:rPr>
              <w:t>Requirement /​ method /​ scope</w:t>
            </w:r>
          </w:p>
        </w:tc>
        <w:tc>
          <w:tcPr>
            <w:tcW w:type="dxa" w:w="1428"/>
            <w:shd w:val="clear" w:color="auto" w:fill="111113"/>
          </w:tcPr>
          <w:p>
            <w:r>
              <w:rPr>
                <w:b/>
                <w:color w:val="FFFFFF"/>
                <w:sz w:val="17"/>
              </w:rPr>
            </w:r>
            <w:r>
              <w:rPr>
                <w:b/>
                <w:color w:val="FFFFFF"/>
                <w:sz w:val="17"/>
              </w:rPr>
              <w:t>Expected vs actual</w:t>
            </w:r>
          </w:p>
        </w:tc>
        <w:tc>
          <w:tcPr>
            <w:tcW w:type="dxa" w:w="1578"/>
            <w:shd w:val="clear" w:color="auto" w:fill="111113"/>
          </w:tcPr>
          <w:p>
            <w:r>
              <w:rPr>
                <w:b/>
                <w:color w:val="FFFFFF"/>
                <w:sz w:val="17"/>
              </w:rPr>
            </w:r>
            <w:r>
              <w:rPr>
                <w:b/>
                <w:color w:val="FFFFFF"/>
                <w:sz w:val="17"/>
              </w:rPr>
              <w:t>Producer/​checker and receiver /​ builds</w:t>
            </w:r>
          </w:p>
        </w:tc>
        <w:tc>
          <w:tcPr>
            <w:tcW w:type="dxa" w:w="1650"/>
            <w:shd w:val="clear" w:color="auto" w:fill="111113"/>
          </w:tcPr>
          <w:p>
            <w:r>
              <w:rPr>
                <w:b/>
                <w:color w:val="FFFFFF"/>
                <w:sz w:val="17"/>
              </w:rPr>
            </w:r>
            <w:r>
              <w:rPr>
                <w:b/>
                <w:color w:val="FFFFFF"/>
                <w:sz w:val="17"/>
              </w:rPr>
              <w:t>Result /​ corrective action /​ retest</w:t>
            </w:r>
          </w:p>
        </w:tc>
        <w:tc>
          <w:tcPr>
            <w:tcW w:type="dxa" w:w="1274"/>
            <w:shd w:val="clear" w:color="auto" w:fill="111113"/>
          </w:tcPr>
          <w:p>
            <w:r>
              <w:rPr>
                <w:b/>
                <w:color w:val="FFFFFF"/>
                <w:sz w:val="17"/>
              </w:rPr>
            </w:r>
            <w:r>
              <w:rPr>
                <w:b/>
                <w:color w:val="FFFFFF"/>
                <w:sz w:val="17"/>
              </w:rPr>
              <w:t>Release and acceptance IDs</w:t>
            </w:r>
          </w:p>
        </w:tc>
      </w:tr>
      <w:tr>
        <w:trPr>
          <w:cantSplit/>
        </w:trPr>
        <w:tc>
          <w:tcPr>
            <w:tcW w:type="dxa" w:w="951"/>
          </w:tcPr>
          <w:p>
            <w:r>
              <w:rPr>
                <w:sz w:val="17"/>
              </w:rPr>
            </w:r>
            <w:r>
              <w:rPr>
                <w:sz w:val="17"/>
              </w:rPr>
              <w:t>[ID]</w:t>
            </w:r>
          </w:p>
        </w:tc>
        <w:tc>
          <w:tcPr>
            <w:tcW w:type="dxa" w:w="1903"/>
          </w:tcPr>
          <w:p>
            <w:r>
              <w:rPr>
                <w:sz w:val="17"/>
              </w:rPr>
            </w:r>
            <w:r>
              <w:rPr>
                <w:sz w:val="17"/>
              </w:rPr>
              <w:t>[immutable identity]</w:t>
            </w:r>
          </w:p>
        </w:tc>
        <w:tc>
          <w:tcPr>
            <w:tcW w:type="dxa" w:w="1682"/>
          </w:tcPr>
          <w:p>
            <w:r>
              <w:rPr>
                <w:sz w:val="17"/>
              </w:rPr>
            </w:r>
            <w:r>
              <w:rPr>
                <w:sz w:val="17"/>
              </w:rPr>
              <w:t>[rule, mandatory population, geometry sample]</w:t>
            </w:r>
          </w:p>
        </w:tc>
        <w:tc>
          <w:tcPr>
            <w:tcW w:type="dxa" w:w="1428"/>
          </w:tcPr>
          <w:p>
            <w:r>
              <w:rPr>
                <w:sz w:val="17"/>
              </w:rPr>
            </w:r>
            <w:r>
              <w:rPr>
                <w:sz w:val="17"/>
              </w:rPr>
              <w:t>[expected measurable values; observed]</w:t>
            </w:r>
          </w:p>
        </w:tc>
        <w:tc>
          <w:tcPr>
            <w:tcW w:type="dxa" w:w="1578"/>
          </w:tcPr>
          <w:p>
            <w:r>
              <w:rPr>
                <w:sz w:val="17"/>
              </w:rPr>
            </w:r>
            <w:r>
              <w:rPr>
                <w:sz w:val="17"/>
              </w:rPr>
              <w:t>[roles, dates, tool builds]</w:t>
            </w:r>
          </w:p>
        </w:tc>
        <w:tc>
          <w:tcPr>
            <w:tcW w:type="dxa" w:w="1650"/>
          </w:tcPr>
          <w:p>
            <w:r>
              <w:rPr>
                <w:sz w:val="17"/>
              </w:rPr>
            </w:r>
            <w:r>
              <w:rPr>
                <w:sz w:val="17"/>
              </w:rPr>
              <w:t>[pass/​fail/​blocked, action owner, new evidence]</w:t>
            </w:r>
          </w:p>
        </w:tc>
        <w:tc>
          <w:tcPr>
            <w:tcW w:type="dxa" w:w="1274"/>
          </w:tcPr>
          <w:p>
            <w:r>
              <w:rPr>
                <w:sz w:val="17"/>
              </w:rPr>
            </w:r>
            <w:r>
              <w:rPr>
                <w:sz w:val="17"/>
              </w:rPr>
              <w:t>[authoriser; receiver decision/​date]</w:t>
            </w:r>
          </w:p>
        </w:tc>
      </w:tr>
    </w:tbl>
    <w:p/>
    <w:p>
      <w:pPr/>
      <w:r>
        <w:rPr>
          <w:b/>
        </w:rPr>
        <w:t>Decision (BIM Manager, 2026-10-14):</w:t>
      </w:r>
      <w:r>
        <w:t xml:space="preserve"> Require isolated representative mobilisation pack: native seed, known-value IFC/data/documents, valid/invalid fixtures, coordinates, allowed/denied access, BCF round trip, correction/retest log and restored backup; project tests stay NOT EXECUTED until evidenced. Basis: Specified test design and workshop screenshots do not prove live exchange success P02, S04 (</w:t>
      </w:r>
      <w:r>
        <w:rPr>
          <w:color w:val="9A7B45"/>
          <w:u w:val="single"/>
        </w:rPr>
        <w:t>O-DEC-049</w:t>
      </w:r>
      <w:r>
        <w:t>).</w:t>
      </w:r>
    </w:p>
    <w:p>
      <w:pPr/>
      <w:r>
        <w:t>A filled template or workshop screenshot is not a current project test result. Actual results remain pending until executed and recorded.</w:t>
      </w:r>
    </w:p>
    <w:p>
      <w:pPr>
        <w:pStyle w:val="Heading3"/>
      </w:pPr>
      <w:r>
        <w:t>11.3.1 SOFTWARE VERSION POLICY</w:t>
      </w:r>
    </w:p>
    <w:p>
      <w:pPr/>
      <w:r>
        <w:t xml:space="preserve">The full supported-release matrix (release, support status, qualified build, IFC exporter, seed and library save version, Dynamo and AutoCAD releases) is </w:t>
      </w:r>
      <w:r>
        <w:rPr>
          <w:color w:val="9A7B45"/>
          <w:u w:val="single"/>
        </w:rPr>
        <w:t>BBM-STD-91</w:t>
      </w:r>
      <w:r>
        <w:t xml:space="preserve"> (O-DEC-120).</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94"/>
        <w:gridCol w:w="8972"/>
      </w:tblGrid>
      <w:tr>
        <w:trPr>
          <w:cantSplit/>
          <w:tblHeader/>
        </w:trPr>
        <w:tc>
          <w:tcPr>
            <w:tcW w:type="dxa" w:w="1494"/>
            <w:shd w:val="clear" w:color="auto" w:fill="111113"/>
          </w:tcPr>
          <w:p>
            <w:r>
              <w:rPr>
                <w:b/>
                <w:color w:val="FFFFFF"/>
                <w:sz w:val="17"/>
              </w:rPr>
            </w:r>
            <w:r>
              <w:rPr>
                <w:b/>
                <w:color w:val="FFFFFF"/>
                <w:sz w:val="17"/>
              </w:rPr>
              <w:t>Item</w:t>
            </w:r>
          </w:p>
        </w:tc>
        <w:tc>
          <w:tcPr>
            <w:tcW w:type="dxa" w:w="8972"/>
            <w:shd w:val="clear" w:color="auto" w:fill="111113"/>
          </w:tcPr>
          <w:p>
            <w:r>
              <w:rPr>
                <w:b/>
                <w:color w:val="FFFFFF"/>
                <w:sz w:val="17"/>
              </w:rPr>
            </w:r>
            <w:r>
              <w:rPr>
                <w:b/>
                <w:color w:val="FFFFFF"/>
                <w:sz w:val="17"/>
              </w:rPr>
              <w:t>Rule (checked 2026-11-04)</w:t>
            </w:r>
          </w:p>
        </w:tc>
      </w:tr>
      <w:tr>
        <w:trPr>
          <w:cantSplit/>
        </w:trPr>
        <w:tc>
          <w:tcPr>
            <w:tcW w:type="dxa" w:w="1494"/>
          </w:tcPr>
          <w:p>
            <w:r>
              <w:rPr>
                <w:sz w:val="17"/>
              </w:rPr>
            </w:r>
            <w:r>
              <w:rPr>
                <w:sz w:val="17"/>
              </w:rPr>
              <w:t>Supported majors</w:t>
            </w:r>
          </w:p>
        </w:tc>
        <w:tc>
          <w:tcPr>
            <w:tcW w:type="dxa" w:w="8972"/>
          </w:tcPr>
          <w:p>
            <w:r>
              <w:rPr>
                <w:sz w:val="17"/>
              </w:rPr>
            </w:r>
            <w:r>
              <w:rPr>
                <w:sz w:val="17"/>
              </w:rPr>
              <w:t>Revit 2024, 2025, 2026, 2027 (Autodesk previous-versions list). Latest Revit 2027 update: 2027.3 (15 Sep 2026)</w:t>
            </w:r>
          </w:p>
        </w:tc>
      </w:tr>
      <w:tr>
        <w:trPr>
          <w:cantSplit/>
        </w:trPr>
        <w:tc>
          <w:tcPr>
            <w:tcW w:type="dxa" w:w="1494"/>
          </w:tcPr>
          <w:p>
            <w:r>
              <w:rPr>
                <w:sz w:val="17"/>
              </w:rPr>
            </w:r>
            <w:r>
              <w:rPr>
                <w:sz w:val="17"/>
              </w:rPr>
              <w:t>Revit 2023</w:t>
            </w:r>
          </w:p>
        </w:tc>
        <w:tc>
          <w:tcPr>
            <w:tcW w:type="dxa" w:w="8972"/>
          </w:tcPr>
          <w:p>
            <w:r>
              <w:rPr>
                <w:sz w:val="17"/>
              </w:rPr>
            </w:r>
            <w:r>
              <w:rPr>
                <w:sz w:val="17"/>
              </w:rPr>
              <w:t>Out of Autodesk support: legacy, no new projects; existing projects continue only with recorded risk acceptance and an upgrade plan. It stays the authoring release of the office template BBM-ARC-TMP-R23, which must open and upgrade cleanly in 2023–2027 (</w:t>
            </w:r>
            <w:r>
              <w:rPr>
                <w:color w:val="9A7B45"/>
                <w:sz w:val="17"/>
                <w:u w:val="single"/>
              </w:rPr>
              <w:t>O-DEC-142</w:t>
            </w:r>
            <w:r>
              <w:rPr>
                <w:sz w:val="17"/>
              </w:rPr>
              <w:t>)</w:t>
            </w:r>
          </w:p>
        </w:tc>
      </w:tr>
      <w:tr>
        <w:trPr>
          <w:cantSplit/>
        </w:trPr>
        <w:tc>
          <w:tcPr>
            <w:tcW w:type="dxa" w:w="1494"/>
          </w:tcPr>
          <w:p>
            <w:r>
              <w:rPr>
                <w:sz w:val="17"/>
              </w:rPr>
            </w:r>
            <w:r>
              <w:rPr>
                <w:sz w:val="17"/>
              </w:rPr>
              <w:t>Upgrade path and test</w:t>
            </w:r>
          </w:p>
        </w:tc>
        <w:tc>
          <w:tcPr>
            <w:tcW w:type="dxa" w:w="8972"/>
          </w:tcPr>
          <w:p>
            <w:r>
              <w:rPr>
                <w:sz w:val="17"/>
              </w:rPr>
            </w:r>
            <w:r>
              <w:rPr>
                <w:sz w:val="17"/>
              </w:rPr>
              <w:t>Upgrade on an isolated copy: open, upgrade, sync, link reload, IFC export with the project preset, IDS check and receiver test; record result before the live upgrade</w:t>
            </w:r>
          </w:p>
        </w:tc>
      </w:tr>
      <w:tr>
        <w:trPr>
          <w:cantSplit/>
        </w:trPr>
        <w:tc>
          <w:tcPr>
            <w:tcW w:type="dxa" w:w="1494"/>
          </w:tcPr>
          <w:p>
            <w:r>
              <w:rPr>
                <w:sz w:val="17"/>
              </w:rPr>
            </w:r>
            <w:r>
              <w:rPr>
                <w:sz w:val="17"/>
              </w:rPr>
              <w:t>IFC exporter</w:t>
            </w:r>
          </w:p>
        </w:tc>
        <w:tc>
          <w:tcPr>
            <w:tcW w:type="dxa" w:w="8972"/>
          </w:tcPr>
          <w:p>
            <w:r>
              <w:rPr>
                <w:sz w:val="17"/>
              </w:rPr>
            </w:r>
            <w:r>
              <w:rPr>
                <w:sz w:val="17"/>
              </w:rPr>
              <w:t>Exporter per major recorded in BBM-STD-91. Revit IFC exporter 27.4.0.30 (30 Oct 2026) exports IFC4x3; use IFC 4.3 RV only after a test export from the project build passes the project IDS (O-DEC-105)</w:t>
            </w:r>
          </w:p>
        </w:tc>
      </w:tr>
      <w:tr>
        <w:trPr>
          <w:cantSplit/>
        </w:trPr>
        <w:tc>
          <w:tcPr>
            <w:tcW w:type="dxa" w:w="1494"/>
          </w:tcPr>
          <w:p>
            <w:r>
              <w:rPr>
                <w:sz w:val="17"/>
              </w:rPr>
            </w:r>
            <w:r>
              <w:rPr>
                <w:sz w:val="17"/>
              </w:rPr>
              <w:t>Library save version</w:t>
            </w:r>
          </w:p>
        </w:tc>
        <w:tc>
          <w:tcPr>
            <w:tcW w:type="dxa" w:w="8972"/>
          </w:tcPr>
          <w:p>
            <w:r>
              <w:rPr>
                <w:sz w:val="17"/>
              </w:rPr>
            </w:r>
            <w:r>
              <w:rPr>
                <w:sz w:val="17"/>
              </w:rPr>
              <w:t>Families, details and template content are saved in the office template's authoring release (currently Revit 2023) and recorded per library release (</w:t>
            </w:r>
            <w:r>
              <w:rPr>
                <w:color w:val="9A7B45"/>
                <w:sz w:val="17"/>
                <w:u w:val="single"/>
              </w:rPr>
              <w:t>O-DEC-139</w:t>
            </w:r>
            <w:r>
              <w:rPr>
                <w:sz w:val="17"/>
              </w:rPr>
              <w:t xml:space="preserve">, </w:t>
            </w:r>
            <w:r>
              <w:rPr>
                <w:color w:val="9A7B45"/>
                <w:sz w:val="17"/>
                <w:u w:val="single"/>
              </w:rPr>
              <w:t>O-DEC-142</w:t>
            </w:r>
            <w:r>
              <w:rPr>
                <w:sz w:val="17"/>
              </w:rPr>
              <w:t>)</w:t>
            </w:r>
          </w:p>
        </w:tc>
      </w:tr>
      <w:tr>
        <w:trPr>
          <w:cantSplit/>
        </w:trPr>
        <w:tc>
          <w:tcPr>
            <w:tcW w:type="dxa" w:w="1494"/>
          </w:tcPr>
          <w:p>
            <w:r>
              <w:rPr>
                <w:sz w:val="17"/>
              </w:rPr>
            </w:r>
            <w:r>
              <w:rPr>
                <w:sz w:val="17"/>
              </w:rPr>
              <w:t>Source</w:t>
            </w:r>
          </w:p>
        </w:tc>
        <w:tc>
          <w:tcPr>
            <w:tcW w:type="dxa" w:w="8972"/>
          </w:tcPr>
          <w:p>
            <w:r>
              <w:rPr>
                <w:sz w:val="17"/>
              </w:rPr>
            </w:r>
            <w:r>
              <w:rPr>
                <w:sz w:val="17"/>
              </w:rPr>
              <w:t>Autodesk previous-versions and lifecycle pages, Revit release notes, Autodesk revit-ifc releases (References)</w:t>
            </w:r>
          </w:p>
        </w:tc>
      </w:tr>
    </w:tbl>
    <w:p/>
    <w:p>
      <w:pPr>
        <w:pStyle w:val="Heading2"/>
      </w:pPr>
      <w:r>
        <w:t>11.4 AUTHORITY BIM SUBMISSIONS</w:t>
      </w:r>
    </w:p>
    <w:p>
      <w:pPr/>
      <w:r>
        <w:t xml:space="preserve">Applicability is tested at project start and before each permit submission, and recorded in the BEP with the source and check date. Detail and updates live in </w:t>
      </w:r>
      <w:r>
        <w:rPr>
          <w:color w:val="9A7B45"/>
          <w:u w:val="single"/>
        </w:rPr>
        <w:t>BBM-STD-85</w:t>
      </w:r>
      <w:r>
        <w:t>; terms in Glossary 1.8.</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61"/>
        <w:gridCol w:w="7586"/>
        <w:gridCol w:w="1718"/>
      </w:tblGrid>
      <w:tr>
        <w:trPr>
          <w:cantSplit/>
          <w:tblHeader/>
        </w:trPr>
        <w:tc>
          <w:tcPr>
            <w:tcW w:type="dxa" w:w="1161"/>
            <w:shd w:val="clear" w:color="auto" w:fill="111113"/>
          </w:tcPr>
          <w:p>
            <w:r>
              <w:rPr>
                <w:b/>
                <w:color w:val="FFFFFF"/>
                <w:sz w:val="17"/>
              </w:rPr>
            </w:r>
            <w:r>
              <w:rPr>
                <w:b/>
                <w:color w:val="FFFFFF"/>
                <w:sz w:val="17"/>
              </w:rPr>
              <w:t>Item</w:t>
            </w:r>
          </w:p>
        </w:tc>
        <w:tc>
          <w:tcPr>
            <w:tcW w:type="dxa" w:w="7586"/>
            <w:shd w:val="clear" w:color="auto" w:fill="111113"/>
          </w:tcPr>
          <w:p>
            <w:r>
              <w:rPr>
                <w:b/>
                <w:color w:val="FFFFFF"/>
                <w:sz w:val="17"/>
              </w:rPr>
            </w:r>
            <w:r>
              <w:rPr>
                <w:b/>
                <w:color w:val="FFFFFF"/>
                <w:sz w:val="17"/>
              </w:rPr>
              <w:t>Dubai</w:t>
            </w:r>
          </w:p>
        </w:tc>
        <w:tc>
          <w:tcPr>
            <w:tcW w:type="dxa" w:w="1718"/>
            <w:shd w:val="clear" w:color="auto" w:fill="111113"/>
          </w:tcPr>
          <w:p>
            <w:r>
              <w:rPr>
                <w:b/>
                <w:color w:val="FFFFFF"/>
                <w:sz w:val="17"/>
              </w:rPr>
            </w:r>
            <w:r>
              <w:rPr>
                <w:b/>
                <w:color w:val="FFFFFF"/>
                <w:sz w:val="17"/>
              </w:rPr>
              <w:t>Abu Dhabi</w:t>
            </w:r>
          </w:p>
        </w:tc>
      </w:tr>
      <w:tr>
        <w:trPr/>
        <w:tc>
          <w:tcPr>
            <w:tcW w:type="dxa" w:w="1161"/>
          </w:tcPr>
          <w:p>
            <w:r>
              <w:rPr>
                <w:sz w:val="17"/>
              </w:rPr>
            </w:r>
            <w:r>
              <w:rPr>
                <w:sz w:val="17"/>
              </w:rPr>
              <w:t>Instrument</w:t>
            </w:r>
          </w:p>
        </w:tc>
        <w:tc>
          <w:tcPr>
            <w:tcW w:type="dxa" w:w="7586"/>
          </w:tcPr>
          <w:p>
            <w:r>
              <w:rPr>
                <w:sz w:val="17"/>
              </w:rPr>
            </w:r>
            <w:r>
              <w:rPr>
                <w:sz w:val="17"/>
              </w:rPr>
              <w:t>DM circular 9-1-2 (13 Oct 2023): Open BIM submission per the Dubai BIM Standard from 1 Jan 2024 for buildings over 20 floors (ARC) /​ 40 floors (STR), over 20,000 m² (ARC) /​ 30,000 m² (STR), specialised buildings (hospitals, universities) and government projects. DM circular 9-1-3 (15 Jan 2026, effective 1 Apr 2026): ARC and STR BIM with the permit for new buildings above G+12 or of 15,000 m² or more; BIM with the application for alterations that add or remove floors, add 1,500 m² or more, fully redesign, change the main use or relocate on the plot; final BIM before the completion certificate for other alterations</w:t>
            </w:r>
          </w:p>
        </w:tc>
        <w:tc>
          <w:tcPr>
            <w:tcW w:type="dxa" w:w="1718"/>
          </w:tcPr>
          <w:p>
            <w:r>
              <w:rPr>
                <w:sz w:val="17"/>
              </w:rPr>
            </w:r>
            <w:r>
              <w:rPr>
                <w:sz w:val="17"/>
              </w:rPr>
              <w:t>No universal building-permit BIM threshold found; ADM BIM Code of Practice (Oct 2020) where appointed</w:t>
            </w:r>
          </w:p>
        </w:tc>
      </w:tr>
      <w:tr>
        <w:trPr>
          <w:cantSplit/>
        </w:trPr>
        <w:tc>
          <w:tcPr>
            <w:tcW w:type="dxa" w:w="1161"/>
          </w:tcPr>
          <w:p>
            <w:r>
              <w:rPr>
                <w:sz w:val="17"/>
              </w:rPr>
            </w:r>
            <w:r>
              <w:rPr>
                <w:sz w:val="17"/>
              </w:rPr>
              <w:t>Schema and export setup</w:t>
            </w:r>
          </w:p>
        </w:tc>
        <w:tc>
          <w:tcPr>
            <w:tcW w:type="dxa" w:w="7586"/>
          </w:tcPr>
          <w:p>
            <w:r>
              <w:rPr>
                <w:sz w:val="17"/>
              </w:rPr>
            </w:r>
            <w:r>
              <w:rPr>
                <w:sz w:val="17"/>
              </w:rPr>
              <w:t>The IFC schema and export setup stated in the current Dubai BIM Standard (buildindubai.gov.ae/​bim), checked at project start and recorded in the BEP; office preset EXP-DM-PERMIT-&lt;schema&gt;-&lt;rev&gt; (BBM-STD-65)</w:t>
            </w:r>
          </w:p>
        </w:tc>
        <w:tc>
          <w:tcPr>
            <w:tcW w:type="dxa" w:w="1718"/>
          </w:tcPr>
          <w:p>
            <w:r>
              <w:rPr>
                <w:sz w:val="17"/>
              </w:rPr>
            </w:r>
            <w:r>
              <w:rPr>
                <w:sz w:val="17"/>
              </w:rPr>
              <w:t>Per the appointment or ADM requirement</w:t>
            </w:r>
          </w:p>
        </w:tc>
      </w:tr>
      <w:tr>
        <w:trPr>
          <w:cantSplit/>
        </w:trPr>
        <w:tc>
          <w:tcPr>
            <w:tcW w:type="dxa" w:w="1161"/>
          </w:tcPr>
          <w:p>
            <w:r>
              <w:rPr>
                <w:sz w:val="17"/>
              </w:rPr>
            </w:r>
            <w:r>
              <w:rPr>
                <w:sz w:val="17"/>
              </w:rPr>
              <w:t>Attributes</w:t>
            </w:r>
          </w:p>
        </w:tc>
        <w:tc>
          <w:tcPr>
            <w:tcW w:type="dxa" w:w="7586"/>
          </w:tcPr>
          <w:p>
            <w:r>
              <w:rPr>
                <w:sz w:val="17"/>
              </w:rPr>
            </w:r>
            <w:r>
              <w:rPr>
                <w:sz w:val="17"/>
              </w:rPr>
              <w:t>The Model Attribute Matrix issued with the current Dubai BIM Standard, downloaded at project start and recorded in the BEP</w:t>
            </w:r>
          </w:p>
        </w:tc>
        <w:tc>
          <w:tcPr>
            <w:tcW w:type="dxa" w:w="1718"/>
          </w:tcPr>
          <w:p>
            <w:r>
              <w:rPr>
                <w:sz w:val="17"/>
              </w:rPr>
            </w:r>
            <w:r>
              <w:rPr>
                <w:sz w:val="17"/>
              </w:rPr>
              <w:t>Per appointment</w:t>
            </w:r>
          </w:p>
        </w:tc>
      </w:tr>
      <w:tr>
        <w:trPr>
          <w:cantSplit/>
        </w:trPr>
        <w:tc>
          <w:tcPr>
            <w:tcW w:type="dxa" w:w="1161"/>
          </w:tcPr>
          <w:p>
            <w:r>
              <w:rPr>
                <w:sz w:val="17"/>
              </w:rPr>
            </w:r>
            <w:r>
              <w:rPr>
                <w:sz w:val="17"/>
              </w:rPr>
              <w:t>Drawings</w:t>
            </w:r>
          </w:p>
        </w:tc>
        <w:tc>
          <w:tcPr>
            <w:tcW w:type="dxa" w:w="7586"/>
          </w:tcPr>
          <w:p>
            <w:r>
              <w:rPr>
                <w:sz w:val="17"/>
              </w:rPr>
            </w:r>
            <w:r>
              <w:rPr>
                <w:sz w:val="17"/>
              </w:rPr>
              <w:t>Submitted drawings are extracted from the submitted model revision</w:t>
            </w:r>
          </w:p>
        </w:tc>
        <w:tc>
          <w:tcPr>
            <w:tcW w:type="dxa" w:w="1718"/>
          </w:tcPr>
          <w:p>
            <w:r>
              <w:rPr>
                <w:sz w:val="17"/>
              </w:rPr>
            </w:r>
            <w:r>
              <w:rPr>
                <w:sz w:val="17"/>
              </w:rPr>
              <w:t>Per authority</w:t>
            </w:r>
          </w:p>
        </w:tc>
      </w:tr>
      <w:tr>
        <w:trPr>
          <w:cantSplit/>
        </w:trPr>
        <w:tc>
          <w:tcPr>
            <w:tcW w:type="dxa" w:w="1161"/>
          </w:tcPr>
          <w:p>
            <w:r>
              <w:rPr>
                <w:sz w:val="17"/>
              </w:rPr>
            </w:r>
            <w:r>
              <w:rPr>
                <w:sz w:val="17"/>
              </w:rPr>
              <w:t>Package</w:t>
            </w:r>
          </w:p>
        </w:tc>
        <w:tc>
          <w:tcPr>
            <w:tcW w:type="dxa" w:w="7586"/>
          </w:tcPr>
          <w:p>
            <w:r>
              <w:rPr>
                <w:sz w:val="17"/>
              </w:rPr>
            </w:r>
            <w:r>
              <w:rPr>
                <w:sz w:val="17"/>
              </w:rPr>
              <w:t>openBIM IFC, zipped, within the upload limit stated on the portal</w:t>
            </w:r>
          </w:p>
        </w:tc>
        <w:tc>
          <w:tcPr>
            <w:tcW w:type="dxa" w:w="1718"/>
          </w:tcPr>
          <w:p>
            <w:r>
              <w:rPr>
                <w:sz w:val="17"/>
              </w:rPr>
            </w:r>
            <w:r>
              <w:rPr>
                <w:sz w:val="17"/>
              </w:rPr>
              <w:t>Per authority</w:t>
            </w:r>
          </w:p>
        </w:tc>
      </w:tr>
      <w:tr>
        <w:trPr>
          <w:cantSplit/>
        </w:trPr>
        <w:tc>
          <w:tcPr>
            <w:tcW w:type="dxa" w:w="1161"/>
          </w:tcPr>
          <w:p>
            <w:r>
              <w:rPr>
                <w:sz w:val="17"/>
              </w:rPr>
            </w:r>
            <w:r>
              <w:rPr>
                <w:sz w:val="17"/>
              </w:rPr>
              <w:t>Coordinates</w:t>
            </w:r>
          </w:p>
        </w:tc>
        <w:tc>
          <w:tcPr>
            <w:tcW w:type="dxa" w:w="7586"/>
          </w:tcPr>
          <w:p>
            <w:r>
              <w:rPr>
                <w:sz w:val="17"/>
              </w:rPr>
            </w:r>
            <w:r>
              <w:rPr>
                <w:sz w:val="17"/>
              </w:rPr>
              <w:t>CRS-DXB: Dubai DLTM (EPSG:3997), vertical datum DMD (5; BBM-STD-86)</w:t>
            </w:r>
          </w:p>
        </w:tc>
        <w:tc>
          <w:tcPr>
            <w:tcW w:type="dxa" w:w="1718"/>
          </w:tcPr>
          <w:p>
            <w:r>
              <w:rPr>
                <w:sz w:val="17"/>
              </w:rPr>
            </w:r>
            <w:r>
              <w:rPr>
                <w:sz w:val="17"/>
              </w:rPr>
              <w:t>CRS-AUH: authority CRS for the plot (5; BBM-STD-86)</w:t>
            </w:r>
          </w:p>
        </w:tc>
      </w:tr>
      <w:tr>
        <w:trPr>
          <w:cantSplit/>
        </w:trPr>
        <w:tc>
          <w:tcPr>
            <w:tcW w:type="dxa" w:w="1161"/>
          </w:tcPr>
          <w:p>
            <w:r>
              <w:rPr>
                <w:sz w:val="17"/>
              </w:rPr>
            </w:r>
            <w:r>
              <w:rPr>
                <w:sz w:val="17"/>
              </w:rPr>
              <w:t>Evidence</w:t>
            </w:r>
          </w:p>
        </w:tc>
        <w:tc>
          <w:tcPr>
            <w:tcW w:type="dxa" w:w="7586"/>
          </w:tcPr>
          <w:p>
            <w:r>
              <w:rPr>
                <w:sz w:val="17"/>
              </w:rPr>
            </w:r>
            <w:r>
              <w:rPr>
                <w:sz w:val="17"/>
              </w:rPr>
              <w:t>Applicability result, preset ID, validation result (11.2), portal receipt, authority comments and dispositions, approval record</w:t>
            </w:r>
          </w:p>
        </w:tc>
        <w:tc>
          <w:tcPr>
            <w:tcW w:type="dxa" w:w="1718"/>
          </w:tcPr>
          <w:p>
            <w:r>
              <w:rPr>
                <w:sz w:val="17"/>
              </w:rPr>
            </w:r>
            <w:r>
              <w:rPr>
                <w:sz w:val="17"/>
              </w:rPr>
              <w:t>Same</w:t>
            </w:r>
          </w:p>
        </w:tc>
      </w:tr>
      <w:tr>
        <w:trPr>
          <w:cantSplit/>
        </w:trPr>
        <w:tc>
          <w:tcPr>
            <w:tcW w:type="dxa" w:w="1161"/>
          </w:tcPr>
          <w:p>
            <w:r>
              <w:rPr>
                <w:sz w:val="17"/>
              </w:rPr>
            </w:r>
            <w:r>
              <w:rPr>
                <w:sz w:val="17"/>
              </w:rPr>
              <w:t>Folder</w:t>
            </w:r>
          </w:p>
        </w:tc>
        <w:tc>
          <w:tcPr>
            <w:tcW w:type="dxa" w:w="7586"/>
          </w:tcPr>
          <w:p>
            <w:r>
              <w:rPr>
                <w:sz w:val="17"/>
              </w:rPr>
            </w:r>
            <w:r>
              <w:rPr>
                <w:sz w:val="17"/>
              </w:rPr>
              <w:t>02-REG/​00-PERMITS/​01-BIM-SUBMISSIONS (12.1)</w:t>
            </w:r>
          </w:p>
        </w:tc>
        <w:tc>
          <w:tcPr>
            <w:tcW w:type="dxa" w:w="1718"/>
          </w:tcPr>
          <w:p>
            <w:r>
              <w:rPr>
                <w:sz w:val="17"/>
              </w:rPr>
            </w:r>
            <w:r>
              <w:rPr>
                <w:sz w:val="17"/>
              </w:rPr>
              <w:t>Same</w:t>
            </w:r>
          </w:p>
        </w:tc>
      </w:tr>
    </w:tbl>
    <w:p/>
    <w:p>
      <w:pPr>
        <w:pStyle w:val="Heading1"/>
      </w:pPr>
      <w:r>
        <w:t>12 CDE AND VERSIONING</w:t>
      </w:r>
    </w:p>
    <w:p>
      <w:pPr>
        <w:pStyle w:val="Heading2"/>
      </w:pPr>
      <w:r>
        <w:t>12.1 FOLDER STRUCTURE AND PERMISSIONS</w:t>
      </w:r>
    </w:p>
    <w:p>
      <w:pPr/>
      <w:r>
        <w:t>This section is the one project folder tree of the office standard. Every other document points here and does not copy it (</w:t>
      </w:r>
      <w:r>
        <w:rPr>
          <w:color w:val="9A7B45"/>
          <w:u w:val="single"/>
        </w:rPr>
        <w:t>O-DEC-149</w:t>
      </w:r>
      <w:r>
        <w:t>). Section 2.4 is the legacy pointer to this section.</w:t>
      </w:r>
    </w:p>
    <w:p>
      <w:pPr/>
      <w:r>
        <w:t>A) Folder name rule (O-DEC-149)</w:t>
      </w:r>
    </w:p>
    <w:p>
      <w:pPr>
        <w:pStyle w:val="ListParagraph"/>
        <w:spacing w:after="40"/>
        <w:ind w:left="360" w:hanging="240"/>
      </w:pPr>
      <w:r>
        <w:t xml:space="preserve">•  </w:t>
      </w:r>
      <w:r>
        <w:t xml:space="preserve">Every folder is named NN-NAME: a two-digit number, a hyphen, then the name in capitals, with words joined by hyphens. Examples: </w:t>
      </w:r>
      <w:r>
        <w:rPr>
          <w:rFonts w:ascii="JetBrains Mono" w:hAnsi="JetBrains Mono"/>
        </w:rPr>
        <w:t>00-PIM</w:t>
      </w:r>
      <w:r>
        <w:t xml:space="preserve">, </w:t>
      </w:r>
      <w:r>
        <w:rPr>
          <w:rFonts w:ascii="JetBrains Mono" w:hAnsi="JetBrains Mono"/>
        </w:rPr>
        <w:t>01-WIP</w:t>
      </w:r>
      <w:r>
        <w:t xml:space="preserve">, </w:t>
      </w:r>
      <w:r>
        <w:rPr>
          <w:rFonts w:ascii="JetBrains Mono" w:hAnsi="JetBrains Mono"/>
        </w:rPr>
        <w:t>02-SHARED</w:t>
      </w:r>
      <w:r>
        <w:t xml:space="preserve">, </w:t>
      </w:r>
      <w:r>
        <w:rPr>
          <w:rFonts w:ascii="JetBrains Mono" w:hAnsi="JetBrains Mono"/>
        </w:rPr>
        <w:t>03-PUBLISHED</w:t>
      </w:r>
      <w:r>
        <w:t xml:space="preserve">, </w:t>
      </w:r>
      <w:r>
        <w:rPr>
          <w:rFonts w:ascii="JetBrains Mono" w:hAnsi="JetBrains Mono"/>
        </w:rPr>
        <w:t>04-ARCHIVE</w:t>
      </w:r>
      <w:r>
        <w:t xml:space="preserve">, </w:t>
      </w:r>
      <w:r>
        <w:rPr>
          <w:rFonts w:ascii="JetBrains Mono" w:hAnsi="JetBrains Mono"/>
        </w:rPr>
        <w:t>00-TTB-AND-COVER</w:t>
      </w:r>
      <w:r>
        <w:t>.</w:t>
      </w:r>
    </w:p>
    <w:p>
      <w:pPr>
        <w:pStyle w:val="ListParagraph"/>
        <w:spacing w:after="40"/>
        <w:ind w:left="360" w:hanging="240"/>
      </w:pPr>
      <w:r>
        <w:t xml:space="preserve">•  </w:t>
      </w:r>
      <w:r>
        <w:t>No dots, no spaces, no underscores and no "&amp;" (write -AND-). Dots in folder names break some CAD and xref path handling. A dot appears only in a file name, before its extension; file names follow 12.3 unchanged.</w:t>
      </w:r>
    </w:p>
    <w:p>
      <w:pPr>
        <w:pStyle w:val="ListParagraph"/>
        <w:spacing w:after="40"/>
        <w:ind w:left="360" w:hanging="240"/>
      </w:pPr>
      <w:r>
        <w:t xml:space="preserve">•  </w:t>
      </w:r>
      <w:r>
        <w:t xml:space="preserve">The tree is ordered state → data type → discipline → files. Under every data type, in every state, the discipline folders carry the BBM-STD-93 folder codes with the same numbers in the same order: </w:t>
      </w:r>
      <w:r>
        <w:rPr>
          <w:rFonts w:ascii="JetBrains Mono" w:hAnsi="JetBrains Mono"/>
        </w:rPr>
        <w:t>00-ARC</w:t>
      </w:r>
      <w:r>
        <w:t xml:space="preserve">, </w:t>
      </w:r>
      <w:r>
        <w:rPr>
          <w:rFonts w:ascii="JetBrains Mono" w:hAnsi="JetBrains Mono"/>
        </w:rPr>
        <w:t>01-STR</w:t>
      </w:r>
      <w:r>
        <w:t xml:space="preserve">, </w:t>
      </w:r>
      <w:r>
        <w:rPr>
          <w:rFonts w:ascii="JetBrains Mono" w:hAnsi="JetBrains Mono"/>
        </w:rPr>
        <w:t>02-MEC</w:t>
      </w:r>
      <w:r>
        <w:t xml:space="preserve">, </w:t>
      </w:r>
      <w:r>
        <w:rPr>
          <w:rFonts w:ascii="JetBrains Mono" w:hAnsi="JetBrains Mono"/>
        </w:rPr>
        <w:t>03-ELE</w:t>
      </w:r>
      <w:r>
        <w:t xml:space="preserve">, </w:t>
      </w:r>
      <w:r>
        <w:rPr>
          <w:rFonts w:ascii="JetBrains Mono" w:hAnsi="JetBrains Mono"/>
        </w:rPr>
        <w:t>04-LSC</w:t>
      </w:r>
      <w:r>
        <w:t xml:space="preserve">, </w:t>
      </w:r>
      <w:r>
        <w:rPr>
          <w:rFonts w:ascii="JetBrains Mono" w:hAnsi="JetBrains Mono"/>
        </w:rPr>
        <w:t>05-PLU</w:t>
      </w:r>
      <w:r>
        <w:t xml:space="preserve">, </w:t>
      </w:r>
      <w:r>
        <w:rPr>
          <w:rFonts w:ascii="JetBrains Mono" w:hAnsi="JetBrains Mono"/>
        </w:rPr>
        <w:t>06-FLS</w:t>
      </w:r>
      <w:r>
        <w:t xml:space="preserve">, </w:t>
      </w:r>
      <w:r>
        <w:rPr>
          <w:rFonts w:ascii="JetBrains Mono" w:hAnsi="JetBrains Mono"/>
        </w:rPr>
        <w:t>07-INT</w:t>
      </w:r>
      <w:r>
        <w:t xml:space="preserve">, </w:t>
      </w:r>
      <w:r>
        <w:rPr>
          <w:rFonts w:ascii="JetBrains Mono" w:hAnsi="JetBrains Mono"/>
        </w:rPr>
        <w:t>08-CIV</w:t>
      </w:r>
      <w:r>
        <w:t xml:space="preserve">, </w:t>
      </w:r>
      <w:r>
        <w:rPr>
          <w:rFonts w:ascii="JetBrains Mono" w:hAnsi="JetBrains Mono"/>
        </w:rPr>
        <w:t>09-SUR</w:t>
      </w:r>
      <w:r>
        <w:t xml:space="preserve">, </w:t>
      </w:r>
      <w:r>
        <w:rPr>
          <w:rFonts w:ascii="JetBrains Mono" w:hAnsi="JetBrains Mono"/>
        </w:rPr>
        <w:t>10-QTY</w:t>
      </w:r>
      <w:r>
        <w:t xml:space="preserve">, </w:t>
      </w:r>
      <w:r>
        <w:rPr>
          <w:rFonts w:ascii="JetBrains Mono" w:hAnsi="JetBrains Mono"/>
        </w:rPr>
        <w:t>11-CON</w:t>
      </w:r>
      <w:r>
        <w:t xml:space="preserve">, </w:t>
      </w:r>
      <w:r>
        <w:rPr>
          <w:rFonts w:ascii="JetBrains Mono" w:hAnsi="JetBrains Mono"/>
        </w:rPr>
        <w:t>12-GEN</w:t>
      </w:r>
      <w:r>
        <w:t xml:space="preserve"> (</w:t>
      </w:r>
      <w:r>
        <w:rPr>
          <w:color w:val="9A7B45"/>
          <w:u w:val="single"/>
        </w:rPr>
        <w:t>BBM-STD-93</w:t>
      </w:r>
      <w:r>
        <w:t xml:space="preserve"> §2, </w:t>
      </w:r>
      <w:r>
        <w:rPr>
          <w:color w:val="9A7B45"/>
          <w:u w:val="single"/>
        </w:rPr>
        <w:t>O-DEC-137</w:t>
      </w:r>
      <w:r>
        <w:t>). A project creates only the discipline folders it needs.</w:t>
      </w:r>
    </w:p>
    <w:p>
      <w:pPr>
        <w:pStyle w:val="ListParagraph"/>
        <w:spacing w:after="40"/>
        <w:ind w:left="360" w:hanging="240"/>
      </w:pPr>
      <w:r>
        <w:t xml:space="preserve">•  </w:t>
      </w:r>
      <w:r>
        <w:t xml:space="preserve">The data types are the three this standard defines: </w:t>
      </w:r>
      <w:r>
        <w:rPr>
          <w:rFonts w:ascii="JetBrains Mono" w:hAnsi="JetBrains Mono"/>
        </w:rPr>
        <w:t>00-RVT</w:t>
      </w:r>
      <w:r>
        <w:t xml:space="preserve"> (Revit models), </w:t>
      </w:r>
      <w:r>
        <w:rPr>
          <w:rFonts w:ascii="JetBrains Mono" w:hAnsi="JetBrains Mono"/>
        </w:rPr>
        <w:t>01-DWG</w:t>
      </w:r>
      <w:r>
        <w:t xml:space="preserve"> (CAD drawings), </w:t>
      </w:r>
      <w:r>
        <w:rPr>
          <w:rFonts w:ascii="JetBrains Mono" w:hAnsi="JetBrains Mono"/>
        </w:rPr>
        <w:t>02-PPT</w:t>
      </w:r>
      <w:r>
        <w:t xml:space="preserve"> (presentations). A new data type is an office standard change (see "Acceptance for 12.1 updates").</w:t>
      </w:r>
    </w:p>
    <w:p>
      <w:pPr>
        <w:pStyle w:val="ListParagraph"/>
        <w:spacing w:after="40"/>
        <w:ind w:left="360" w:hanging="240"/>
      </w:pPr>
      <w:r>
        <w:t xml:space="preserve">•  </w:t>
      </w:r>
      <w:r>
        <w:t xml:space="preserve">Numbering is continuous within each level and starts at 00; the four state folders under </w:t>
      </w:r>
      <w:r>
        <w:rPr>
          <w:rFonts w:ascii="JetBrains Mono" w:hAnsi="JetBrains Mono"/>
        </w:rPr>
        <w:t>00-PIM</w:t>
      </w:r>
      <w:r>
        <w:t xml:space="preserve"> are numbered 01–04, one per CDE state (12.4). No number appears twice in one level. A retired number stays retired, is shown in the tree and is never reused (</w:t>
      </w:r>
      <w:r>
        <w:rPr>
          <w:color w:val="9A7B45"/>
          <w:u w:val="single"/>
        </w:rPr>
        <w:t>O-DEC-124</w:t>
      </w:r>
      <w:r>
        <w:t>).</w:t>
      </w:r>
    </w:p>
    <w:p>
      <w:pPr>
        <w:pStyle w:val="ListParagraph"/>
        <w:spacing w:after="40"/>
        <w:ind w:left="360" w:hanging="240"/>
      </w:pPr>
      <w:r>
        <w:t xml:space="preserve">•  </w:t>
      </w:r>
      <w:r>
        <w:t>One spelling per state: WIP, SHARED, PUBLISHED, ARCHIVE.</w:t>
      </w:r>
    </w:p>
    <w:p>
      <w:pPr>
        <w:pStyle w:val="ListParagraph"/>
        <w:spacing w:after="40"/>
        <w:ind w:left="360" w:hanging="240"/>
      </w:pPr>
      <w:r>
        <w:t xml:space="preserve">•  </w:t>
      </w:r>
      <w:r>
        <w:rPr>
          <w:rFonts w:ascii="JetBrains Mono" w:hAnsi="JetBrains Mono"/>
        </w:rPr>
        <w:t>03-PUBLISHED</w:t>
      </w:r>
      <w:r>
        <w:t xml:space="preserve"> is split by stage, then by issue. Stage folders follow the stages of 2.3. Issue pack folders are the one named exception to NN-NAME: YYYY-MM-DD-DESCRIPTION, so packs sort by date (example: </w:t>
      </w:r>
      <w:r>
        <w:rPr>
          <w:rFonts w:ascii="JetBrains Mono" w:hAnsi="JetBrains Mono"/>
        </w:rPr>
        <w:t>2026-10-14-IFC-PACKAGE-W2</w:t>
      </w:r>
      <w:r>
        <w:t>).</w:t>
      </w:r>
    </w:p>
    <w:p>
      <w:pPr>
        <w:pStyle w:val="ListParagraph"/>
        <w:spacing w:after="40"/>
        <w:ind w:left="360" w:hanging="240"/>
      </w:pPr>
      <w:r>
        <w:t xml:space="preserve">•  </w:t>
      </w:r>
      <w:r>
        <w:t>An existing project or server folder that still carries an earlier dotted name maps one-to-one to the name in this tree. Renaming a folder never changes a file's issued identity or permitted reliance (Glossary 1.5).</w:t>
      </w:r>
    </w:p>
    <w:p>
      <w:pPr/>
      <w:r>
        <w:t>B) Project folder tree</w:t>
      </w:r>
    </w:p>
    <w:p>
      <w:pPr>
        <w:pStyle w:val="ListParagraph"/>
        <w:spacing w:after="40"/>
        <w:ind w:left="360" w:hanging="240"/>
      </w:pPr>
      <w:r>
        <w:t xml:space="preserve">•  </w:t>
      </w:r>
      <w:r>
        <w:rPr>
          <w:rFonts w:ascii="JetBrains Mono" w:hAnsi="JetBrains Mono"/>
        </w:rPr>
        <w:t>00-PIM</w:t>
      </w:r>
      <w:r>
        <w:t xml:space="preserve"> — Project Information Model: live work, shared coordination, published issues and archive</w:t>
      </w:r>
    </w:p>
    <w:p>
      <w:pPr>
        <w:pStyle w:val="ListParagraph"/>
        <w:spacing w:after="40"/>
        <w:ind w:left="720" w:hanging="240"/>
      </w:pPr>
      <w:r>
        <w:t xml:space="preserve">–  </w:t>
      </w:r>
      <w:r>
        <w:rPr>
          <w:rFonts w:ascii="JetBrains Mono" w:hAnsi="JetBrains Mono"/>
        </w:rPr>
        <w:t>01-WIP</w:t>
      </w:r>
      <w:r>
        <w:t xml:space="preserve"> — work in progress per data type and discipline; task team only</w:t>
      </w:r>
    </w:p>
    <w:p>
      <w:pPr>
        <w:pStyle w:val="ListParagraph"/>
        <w:spacing w:after="40"/>
        <w:ind w:left="1080" w:hanging="240"/>
      </w:pPr>
      <w:r>
        <w:t xml:space="preserve">–  </w:t>
      </w:r>
      <w:r>
        <w:rPr>
          <w:rFonts w:ascii="JetBrains Mono" w:hAnsi="JetBrains Mono"/>
        </w:rPr>
        <w:t>00-RVT</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080" w:hanging="240"/>
      </w:pPr>
      <w:r>
        <w:t xml:space="preserve">–  </w:t>
      </w:r>
      <w:r>
        <w:rPr>
          <w:rFonts w:ascii="JetBrains Mono" w:hAnsi="JetBrains Mono"/>
        </w:rPr>
        <w:t>01-DWG</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080" w:hanging="240"/>
      </w:pPr>
      <w:r>
        <w:t xml:space="preserve">–  </w:t>
      </w:r>
      <w:r>
        <w:rPr>
          <w:rFonts w:ascii="JetBrains Mono" w:hAnsi="JetBrains Mono"/>
        </w:rPr>
        <w:t>02-PPT</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720" w:hanging="240"/>
      </w:pPr>
      <w:r>
        <w:t xml:space="preserve">–  </w:t>
      </w:r>
      <w:r>
        <w:rPr>
          <w:rFonts w:ascii="JetBrains Mono" w:hAnsi="JetBrains Mono"/>
        </w:rPr>
        <w:t>02-SHARED</w:t>
      </w:r>
      <w:r>
        <w:t xml:space="preserve"> — checked and approved to share with other task teams</w:t>
      </w:r>
    </w:p>
    <w:p>
      <w:pPr>
        <w:pStyle w:val="ListParagraph"/>
        <w:spacing w:after="40"/>
        <w:ind w:left="1080" w:hanging="240"/>
      </w:pPr>
      <w:r>
        <w:t xml:space="preserve">–  </w:t>
      </w:r>
      <w:r>
        <w:rPr>
          <w:rFonts w:ascii="JetBrains Mono" w:hAnsi="JetBrains Mono"/>
        </w:rPr>
        <w:t>00-RVT</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080" w:hanging="240"/>
      </w:pPr>
      <w:r>
        <w:t xml:space="preserve">–  </w:t>
      </w:r>
      <w:r>
        <w:rPr>
          <w:rFonts w:ascii="JetBrains Mono" w:hAnsi="JetBrains Mono"/>
        </w:rPr>
        <w:t>01-DWG</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080" w:hanging="240"/>
      </w:pPr>
      <w:r>
        <w:t xml:space="preserve">–  </w:t>
      </w:r>
      <w:r>
        <w:rPr>
          <w:rFonts w:ascii="JetBrains Mono" w:hAnsi="JetBrains Mono"/>
        </w:rPr>
        <w:t>02-PPT</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080" w:hanging="240"/>
      </w:pPr>
      <w:r>
        <w:t xml:space="preserve">–  </w:t>
      </w:r>
      <w:r>
        <w:rPr>
          <w:rFonts w:ascii="JetBrains Mono" w:hAnsi="JetBrains Mono"/>
        </w:rPr>
        <w:t>03-URS</w:t>
      </w:r>
      <w:r>
        <w:t xml:space="preserve"> — user requirements and similar upstream references</w:t>
      </w:r>
    </w:p>
    <w:p>
      <w:pPr>
        <w:pStyle w:val="ListParagraph"/>
        <w:spacing w:after="40"/>
        <w:ind w:left="1080" w:hanging="240"/>
      </w:pPr>
      <w:r>
        <w:t xml:space="preserve">–  </w:t>
      </w:r>
      <w:r>
        <w:rPr>
          <w:rFonts w:ascii="JetBrains Mono" w:hAnsi="JetBrains Mono"/>
        </w:rPr>
        <w:t>04-RENDITIONS</w:t>
      </w:r>
      <w:r>
        <w:t xml:space="preserve"> — shared visual outputs for review</w:t>
      </w:r>
    </w:p>
    <w:p>
      <w:pPr>
        <w:pStyle w:val="ListParagraph"/>
        <w:spacing w:after="40"/>
        <w:ind w:left="1080" w:hanging="240"/>
      </w:pPr>
      <w:r>
        <w:t xml:space="preserve">–  </w:t>
      </w:r>
      <w:r>
        <w:rPr>
          <w:rFonts w:ascii="JetBrains Mono" w:hAnsi="JetBrains Mono"/>
        </w:rPr>
        <w:t>05-DOCUMENTS</w:t>
      </w:r>
      <w:r>
        <w:t xml:space="preserve"> — initiation, standards, plans and registers</w:t>
      </w:r>
    </w:p>
    <w:p>
      <w:pPr>
        <w:pStyle w:val="ListParagraph"/>
        <w:spacing w:after="40"/>
        <w:ind w:left="1440" w:hanging="240"/>
      </w:pPr>
      <w:r>
        <w:t xml:space="preserve">–  </w:t>
      </w:r>
      <w:r>
        <w:rPr>
          <w:rFonts w:ascii="JetBrains Mono" w:hAnsi="JetBrains Mono"/>
        </w:rPr>
        <w:t>00</w:t>
      </w:r>
      <w:r>
        <w:t xml:space="preserve"> retired: RFP moved to </w:t>
      </w:r>
      <w:r>
        <w:rPr>
          <w:rFonts w:ascii="JetBrains Mono" w:hAnsi="JetBrains Mono"/>
        </w:rPr>
        <w:t>01-ADMIN/06-RFP</w:t>
      </w:r>
      <w:r>
        <w:t>; number not reused (O-DEC-124)</w:t>
      </w:r>
    </w:p>
    <w:p>
      <w:pPr>
        <w:pStyle w:val="ListParagraph"/>
        <w:spacing w:after="40"/>
        <w:ind w:left="1440" w:hanging="240"/>
      </w:pPr>
      <w:r>
        <w:t xml:space="preserve">–  </w:t>
      </w:r>
      <w:r>
        <w:rPr>
          <w:rFonts w:ascii="JetBrains Mono" w:hAnsi="JetBrains Mono"/>
        </w:rPr>
        <w:t>01</w:t>
      </w:r>
      <w:r>
        <w:t xml:space="preserve"> retired: scope analysis moved to </w:t>
      </w:r>
      <w:r>
        <w:rPr>
          <w:rFonts w:ascii="JetBrains Mono" w:hAnsi="JetBrains Mono"/>
        </w:rPr>
        <w:t>01-ADMIN/07-SCOPE-ANALYSIS</w:t>
      </w:r>
      <w:r>
        <w:t>; number not reused (O-DEC-124)</w:t>
      </w:r>
    </w:p>
    <w:p>
      <w:pPr>
        <w:pStyle w:val="ListParagraph"/>
        <w:spacing w:after="40"/>
        <w:ind w:left="1440" w:hanging="240"/>
      </w:pPr>
      <w:r>
        <w:t xml:space="preserve">–  </w:t>
      </w:r>
      <w:r>
        <w:rPr>
          <w:rFonts w:ascii="JetBrains Mono" w:hAnsi="JetBrains Mono"/>
        </w:rPr>
        <w:t>02-STANDARDS</w:t>
      </w:r>
    </w:p>
    <w:p>
      <w:pPr>
        <w:pStyle w:val="ListParagraph"/>
        <w:spacing w:after="40"/>
        <w:ind w:left="1440" w:hanging="240"/>
      </w:pPr>
      <w:r>
        <w:t xml:space="preserve">–  </w:t>
      </w:r>
      <w:r>
        <w:rPr>
          <w:rFonts w:ascii="JetBrains Mono" w:hAnsi="JetBrains Mono"/>
        </w:rPr>
        <w:t>03-TASK-TEAM</w:t>
      </w:r>
    </w:p>
    <w:p>
      <w:pPr>
        <w:pStyle w:val="ListParagraph"/>
        <w:spacing w:after="40"/>
        <w:ind w:left="1440" w:hanging="240"/>
      </w:pPr>
      <w:r>
        <w:t xml:space="preserve">–  </w:t>
      </w:r>
      <w:r>
        <w:rPr>
          <w:rFonts w:ascii="JetBrains Mono" w:hAnsi="JetBrains Mono"/>
        </w:rPr>
        <w:t>04-KICKOFFS</w:t>
      </w:r>
    </w:p>
    <w:p>
      <w:pPr>
        <w:pStyle w:val="ListParagraph"/>
        <w:spacing w:after="40"/>
        <w:ind w:left="1440" w:hanging="240"/>
      </w:pPr>
      <w:r>
        <w:t xml:space="preserve">–  </w:t>
      </w:r>
      <w:r>
        <w:rPr>
          <w:rFonts w:ascii="JetBrains Mono" w:hAnsi="JetBrains Mono"/>
        </w:rPr>
        <w:t>05-BEP</w:t>
      </w:r>
    </w:p>
    <w:p>
      <w:pPr>
        <w:pStyle w:val="ListParagraph"/>
        <w:spacing w:after="40"/>
        <w:ind w:left="1440" w:hanging="240"/>
      </w:pPr>
      <w:r>
        <w:t xml:space="preserve">–  </w:t>
      </w:r>
      <w:r>
        <w:rPr>
          <w:rFonts w:ascii="JetBrains Mono" w:hAnsi="JetBrains Mono"/>
        </w:rPr>
        <w:t>06-CLASSIFICATIONS</w:t>
      </w:r>
    </w:p>
    <w:p>
      <w:pPr>
        <w:pStyle w:val="ListParagraph"/>
        <w:spacing w:after="40"/>
        <w:ind w:left="1440" w:hanging="240"/>
      </w:pPr>
      <w:r>
        <w:t xml:space="preserve">–  </w:t>
      </w:r>
      <w:r>
        <w:rPr>
          <w:rFonts w:ascii="JetBrains Mono" w:hAnsi="JetBrains Mono"/>
        </w:rPr>
        <w:t>07-QA-QC</w:t>
      </w:r>
    </w:p>
    <w:p>
      <w:pPr>
        <w:pStyle w:val="ListParagraph"/>
        <w:spacing w:after="40"/>
        <w:ind w:left="1440" w:hanging="240"/>
      </w:pPr>
      <w:r>
        <w:t xml:space="preserve">–  </w:t>
      </w:r>
      <w:r>
        <w:rPr>
          <w:rFonts w:ascii="JetBrains Mono" w:hAnsi="JetBrains Mono"/>
        </w:rPr>
        <w:t>08-LOIN</w:t>
      </w:r>
    </w:p>
    <w:p>
      <w:pPr>
        <w:pStyle w:val="ListParagraph"/>
        <w:spacing w:after="40"/>
        <w:ind w:left="1440" w:hanging="240"/>
      </w:pPr>
      <w:r>
        <w:t xml:space="preserve">–  </w:t>
      </w:r>
      <w:r>
        <w:rPr>
          <w:rFonts w:ascii="JetBrains Mono" w:hAnsi="JetBrains Mono"/>
        </w:rPr>
        <w:t>09-TIDP</w:t>
      </w:r>
    </w:p>
    <w:p>
      <w:pPr>
        <w:pStyle w:val="ListParagraph"/>
        <w:spacing w:after="40"/>
        <w:ind w:left="1440" w:hanging="240"/>
      </w:pPr>
      <w:r>
        <w:t xml:space="preserve">–  </w:t>
      </w:r>
      <w:r>
        <w:rPr>
          <w:rFonts w:ascii="JetBrains Mono" w:hAnsi="JetBrains Mono"/>
        </w:rPr>
        <w:t>10-MIDP</w:t>
      </w:r>
    </w:p>
    <w:p>
      <w:pPr>
        <w:pStyle w:val="ListParagraph"/>
        <w:spacing w:after="40"/>
        <w:ind w:left="1080" w:hanging="240"/>
      </w:pPr>
      <w:r>
        <w:t xml:space="preserve">–  </w:t>
      </w:r>
      <w:r>
        <w:rPr>
          <w:rFonts w:ascii="JetBrains Mono" w:hAnsi="JetBrains Mono"/>
        </w:rPr>
        <w:t>06-REPORTS</w:t>
      </w:r>
    </w:p>
    <w:p>
      <w:pPr>
        <w:pStyle w:val="ListParagraph"/>
        <w:spacing w:after="40"/>
        <w:ind w:left="1440" w:hanging="240"/>
      </w:pPr>
      <w:r>
        <w:t xml:space="preserve">–  </w:t>
      </w:r>
      <w:r>
        <w:rPr>
          <w:rFonts w:ascii="JetBrains Mono" w:hAnsi="JetBrains Mono"/>
        </w:rPr>
        <w:t>00-PLANNING</w:t>
      </w:r>
    </w:p>
    <w:p>
      <w:pPr>
        <w:pStyle w:val="ListParagraph"/>
        <w:spacing w:after="40"/>
        <w:ind w:left="1440" w:hanging="240"/>
      </w:pPr>
      <w:r>
        <w:t xml:space="preserve">–  </w:t>
      </w:r>
      <w:r>
        <w:rPr>
          <w:rFonts w:ascii="JetBrains Mono" w:hAnsi="JetBrains Mono"/>
        </w:rPr>
        <w:t>01-MODEL-HEALTH</w:t>
      </w:r>
    </w:p>
    <w:p>
      <w:pPr>
        <w:pStyle w:val="ListParagraph"/>
        <w:spacing w:after="40"/>
        <w:ind w:left="1440" w:hanging="240"/>
      </w:pPr>
      <w:r>
        <w:t xml:space="preserve">–  </w:t>
      </w:r>
      <w:r>
        <w:rPr>
          <w:rFonts w:ascii="JetBrains Mono" w:hAnsi="JetBrains Mono"/>
        </w:rPr>
        <w:t>02-CLASHES</w:t>
      </w:r>
    </w:p>
    <w:p>
      <w:pPr>
        <w:pStyle w:val="ListParagraph"/>
        <w:spacing w:after="40"/>
        <w:ind w:left="1080" w:hanging="240"/>
      </w:pPr>
      <w:r>
        <w:t xml:space="preserve">–  </w:t>
      </w:r>
      <w:r>
        <w:rPr>
          <w:rFonts w:ascii="JetBrains Mono" w:hAnsi="JetBrains Mono"/>
        </w:rPr>
        <w:t>07-RECORD</w:t>
      </w:r>
    </w:p>
    <w:p>
      <w:pPr>
        <w:pStyle w:val="ListParagraph"/>
        <w:spacing w:after="40"/>
        <w:ind w:left="1440" w:hanging="240"/>
      </w:pPr>
      <w:r>
        <w:t xml:space="preserve">–  </w:t>
      </w:r>
      <w:r>
        <w:rPr>
          <w:rFonts w:ascii="JetBrains Mono" w:hAnsi="JetBrains Mono"/>
        </w:rPr>
        <w:t>00-PROJECT-LOG</w:t>
      </w:r>
    </w:p>
    <w:p>
      <w:pPr>
        <w:pStyle w:val="ListParagraph"/>
        <w:spacing w:after="40"/>
        <w:ind w:left="1440" w:hanging="240"/>
      </w:pPr>
      <w:r>
        <w:t xml:space="preserve">–  </w:t>
      </w:r>
      <w:r>
        <w:rPr>
          <w:rFonts w:ascii="JetBrains Mono" w:hAnsi="JetBrains Mono"/>
        </w:rPr>
        <w:t>01-IN</w:t>
      </w:r>
    </w:p>
    <w:p>
      <w:pPr>
        <w:pStyle w:val="ListParagraph"/>
        <w:spacing w:after="40"/>
        <w:ind w:left="1440" w:hanging="240"/>
      </w:pPr>
      <w:r>
        <w:t xml:space="preserve">–  </w:t>
      </w:r>
      <w:r>
        <w:rPr>
          <w:rFonts w:ascii="JetBrains Mono" w:hAnsi="JetBrains Mono"/>
        </w:rPr>
        <w:t>02-OUT</w:t>
      </w:r>
    </w:p>
    <w:p>
      <w:pPr>
        <w:pStyle w:val="ListParagraph"/>
        <w:spacing w:after="40"/>
        <w:ind w:left="1080" w:hanging="240"/>
      </w:pPr>
      <w:r>
        <w:t xml:space="preserve">–  </w:t>
      </w:r>
      <w:r>
        <w:rPr>
          <w:rFonts w:ascii="JetBrains Mono" w:hAnsi="JetBrains Mono"/>
        </w:rPr>
        <w:t>08-PROJECT-LIBRARY</w:t>
      </w:r>
    </w:p>
    <w:p>
      <w:pPr>
        <w:pStyle w:val="ListParagraph"/>
        <w:spacing w:after="40"/>
        <w:ind w:left="1440" w:hanging="240"/>
      </w:pPr>
      <w:r>
        <w:t xml:space="preserve">–  </w:t>
      </w:r>
      <w:r>
        <w:rPr>
          <w:rFonts w:ascii="JetBrains Mono" w:hAnsi="JetBrains Mono"/>
        </w:rPr>
        <w:t>00-TTB-AND-COVER</w:t>
      </w:r>
    </w:p>
    <w:p>
      <w:pPr>
        <w:pStyle w:val="ListParagraph"/>
        <w:spacing w:after="40"/>
        <w:ind w:left="1440" w:hanging="240"/>
      </w:pPr>
      <w:r>
        <w:t xml:space="preserve">–  </w:t>
      </w:r>
      <w:r>
        <w:rPr>
          <w:rFonts w:ascii="JetBrains Mono" w:hAnsi="JetBrains Mono"/>
        </w:rPr>
        <w:t>01-GENERAL</w:t>
      </w:r>
    </w:p>
    <w:p>
      <w:pPr>
        <w:pStyle w:val="ListParagraph"/>
        <w:spacing w:after="40"/>
        <w:ind w:left="1440" w:hanging="240"/>
      </w:pPr>
      <w:r>
        <w:t xml:space="preserve">–  </w:t>
      </w:r>
      <w:r>
        <w:rPr>
          <w:rFonts w:ascii="JetBrains Mono" w:hAnsi="JetBrains Mono"/>
        </w:rPr>
        <w:t>02-ARC</w:t>
      </w:r>
      <w:r>
        <w:t xml:space="preserve"> … </w:t>
      </w:r>
      <w:r>
        <w:rPr>
          <w:rFonts w:ascii="JetBrains Mono" w:hAnsi="JetBrains Mono"/>
        </w:rPr>
        <w:t>13-CON</w:t>
      </w:r>
      <w:r>
        <w:t xml:space="preserve"> — discipline library folders in BBM-STD-93 order (</w:t>
      </w:r>
      <w:r>
        <w:rPr>
          <w:rFonts w:ascii="JetBrains Mono" w:hAnsi="JetBrains Mono"/>
        </w:rPr>
        <w:t>02-ARC</w:t>
      </w:r>
      <w:r>
        <w:t xml:space="preserve">, </w:t>
      </w:r>
      <w:r>
        <w:rPr>
          <w:rFonts w:ascii="JetBrains Mono" w:hAnsi="JetBrains Mono"/>
        </w:rPr>
        <w:t>03-STR</w:t>
      </w:r>
      <w:r>
        <w:t xml:space="preserve">, </w:t>
      </w:r>
      <w:r>
        <w:rPr>
          <w:rFonts w:ascii="JetBrains Mono" w:hAnsi="JetBrains Mono"/>
        </w:rPr>
        <w:t>04-MEC</w:t>
      </w:r>
      <w:r>
        <w:t xml:space="preserve">, </w:t>
      </w:r>
      <w:r>
        <w:rPr>
          <w:rFonts w:ascii="JetBrains Mono" w:hAnsi="JetBrains Mono"/>
        </w:rPr>
        <w:t>05-ELE</w:t>
      </w:r>
      <w:r>
        <w:t xml:space="preserve">, </w:t>
      </w:r>
      <w:r>
        <w:rPr>
          <w:rFonts w:ascii="JetBrains Mono" w:hAnsi="JetBrains Mono"/>
        </w:rPr>
        <w:t>06-LSC</w:t>
      </w:r>
      <w:r>
        <w:t xml:space="preserve">, </w:t>
      </w:r>
      <w:r>
        <w:rPr>
          <w:rFonts w:ascii="JetBrains Mono" w:hAnsi="JetBrains Mono"/>
        </w:rPr>
        <w:t>07-PLU</w:t>
      </w:r>
      <w:r>
        <w:t xml:space="preserve">, </w:t>
      </w:r>
      <w:r>
        <w:rPr>
          <w:rFonts w:ascii="JetBrains Mono" w:hAnsi="JetBrains Mono"/>
        </w:rPr>
        <w:t>08-FLS</w:t>
      </w:r>
      <w:r>
        <w:t xml:space="preserve">, </w:t>
      </w:r>
      <w:r>
        <w:rPr>
          <w:rFonts w:ascii="JetBrains Mono" w:hAnsi="JetBrains Mono"/>
        </w:rPr>
        <w:t>09-INT</w:t>
      </w:r>
      <w:r>
        <w:t xml:space="preserve">, </w:t>
      </w:r>
      <w:r>
        <w:rPr>
          <w:rFonts w:ascii="JetBrains Mono" w:hAnsi="JetBrains Mono"/>
        </w:rPr>
        <w:t>10-CIV</w:t>
      </w:r>
      <w:r>
        <w:t xml:space="preserve">, </w:t>
      </w:r>
      <w:r>
        <w:rPr>
          <w:rFonts w:ascii="JetBrains Mono" w:hAnsi="JetBrains Mono"/>
        </w:rPr>
        <w:t>11-SUR</w:t>
      </w:r>
      <w:r>
        <w:t xml:space="preserve">, </w:t>
      </w:r>
      <w:r>
        <w:rPr>
          <w:rFonts w:ascii="JetBrains Mono" w:hAnsi="JetBrains Mono"/>
        </w:rPr>
        <w:t>12-QTY</w:t>
      </w:r>
      <w:r>
        <w:t xml:space="preserve">, </w:t>
      </w:r>
      <w:r>
        <w:rPr>
          <w:rFonts w:ascii="JetBrains Mono" w:hAnsi="JetBrains Mono"/>
        </w:rPr>
        <w:t>13-CON</w:t>
      </w:r>
      <w:r>
        <w:t xml:space="preserve">); general items stay in </w:t>
      </w:r>
      <w:r>
        <w:rPr>
          <w:rFonts w:ascii="JetBrains Mono" w:hAnsi="JetBrains Mono"/>
        </w:rPr>
        <w:t>01-GENERAL</w:t>
      </w:r>
    </w:p>
    <w:p>
      <w:pPr>
        <w:pStyle w:val="ListParagraph"/>
        <w:spacing w:after="40"/>
        <w:ind w:left="1080" w:hanging="240"/>
      </w:pPr>
      <w:r>
        <w:t xml:space="preserve">–  </w:t>
      </w:r>
      <w:r>
        <w:rPr>
          <w:rFonts w:ascii="JetBrains Mono" w:hAnsi="JetBrains Mono"/>
        </w:rPr>
        <w:t>09-NON-GRAPHICAL</w:t>
      </w:r>
    </w:p>
    <w:p>
      <w:pPr>
        <w:pStyle w:val="ListParagraph"/>
        <w:spacing w:after="40"/>
        <w:ind w:left="1440" w:hanging="240"/>
      </w:pPr>
      <w:r>
        <w:t xml:space="preserve">–  </w:t>
      </w:r>
      <w:r>
        <w:rPr>
          <w:rFonts w:ascii="JetBrains Mono" w:hAnsi="JetBrains Mono"/>
        </w:rPr>
        <w:t>00-COBIE</w:t>
      </w:r>
    </w:p>
    <w:p>
      <w:pPr>
        <w:pStyle w:val="ListParagraph"/>
        <w:spacing w:after="40"/>
        <w:ind w:left="1440" w:hanging="240"/>
      </w:pPr>
      <w:r>
        <w:t xml:space="preserve">–  </w:t>
      </w:r>
      <w:r>
        <w:rPr>
          <w:rFonts w:ascii="JetBrains Mono" w:hAnsi="JetBrains Mono"/>
        </w:rPr>
        <w:t>01-ASSET-REGISTERS</w:t>
      </w:r>
    </w:p>
    <w:p>
      <w:pPr>
        <w:pStyle w:val="ListParagraph"/>
        <w:spacing w:after="40"/>
        <w:ind w:left="1440" w:hanging="240"/>
      </w:pPr>
      <w:r>
        <w:t xml:space="preserve">–  </w:t>
      </w:r>
      <w:r>
        <w:rPr>
          <w:rFonts w:ascii="JetBrains Mono" w:hAnsi="JetBrains Mono"/>
        </w:rPr>
        <w:t>02-IFC-VALIDATION</w:t>
      </w:r>
    </w:p>
    <w:p>
      <w:pPr>
        <w:pStyle w:val="ListParagraph"/>
        <w:spacing w:after="40"/>
        <w:ind w:left="1440" w:hanging="240"/>
      </w:pPr>
      <w:r>
        <w:t xml:space="preserve">–  </w:t>
      </w:r>
      <w:r>
        <w:rPr>
          <w:rFonts w:ascii="JetBrains Mono" w:hAnsi="JetBrains Mono"/>
        </w:rPr>
        <w:t>03-PARAMETER-EXPORTS</w:t>
      </w:r>
    </w:p>
    <w:p>
      <w:pPr>
        <w:pStyle w:val="ListParagraph"/>
        <w:spacing w:after="40"/>
        <w:ind w:left="720" w:hanging="240"/>
      </w:pPr>
      <w:r>
        <w:t xml:space="preserve">–  </w:t>
      </w:r>
      <w:r>
        <w:rPr>
          <w:rFonts w:ascii="JetBrains Mono" w:hAnsi="JetBrains Mono"/>
        </w:rPr>
        <w:t>03-PUBLISHED</w:t>
      </w:r>
      <w:r>
        <w:t xml:space="preserve"> — authorised issues, split by stage, then by issue pack</w:t>
      </w:r>
    </w:p>
    <w:p>
      <w:pPr>
        <w:pStyle w:val="ListParagraph"/>
        <w:spacing w:after="40"/>
        <w:ind w:left="1080" w:hanging="240"/>
      </w:pPr>
      <w:r>
        <w:t xml:space="preserve">–  </w:t>
      </w:r>
      <w:r>
        <w:rPr>
          <w:rFonts w:ascii="JetBrains Mono" w:hAnsi="JetBrains Mono"/>
        </w:rPr>
        <w:t>00-STAGE-0</w:t>
      </w:r>
      <w:r>
        <w:t xml:space="preserve"> … </w:t>
      </w:r>
      <w:r>
        <w:rPr>
          <w:rFonts w:ascii="JetBrains Mono" w:hAnsi="JetBrains Mono"/>
        </w:rPr>
        <w:t>07-STAGE-7</w:t>
      </w:r>
      <w:r>
        <w:t xml:space="preserve"> — one folder per stage of 2.3 that has an issue</w:t>
      </w:r>
    </w:p>
    <w:p>
      <w:pPr>
        <w:pStyle w:val="ListParagraph"/>
        <w:spacing w:after="40"/>
        <w:ind w:left="1440" w:hanging="240"/>
      </w:pPr>
      <w:r>
        <w:t xml:space="preserve">–  </w:t>
      </w:r>
      <w:r>
        <w:rPr>
          <w:rFonts w:ascii="JetBrains Mono" w:hAnsi="JetBrains Mono"/>
        </w:rPr>
        <w:t>YYYY-MM-DD-DESCRIPTION</w:t>
      </w:r>
      <w:r>
        <w:t xml:space="preserve"> — one folder per issue pack</w:t>
      </w:r>
    </w:p>
    <w:p>
      <w:pPr>
        <w:pStyle w:val="ListParagraph"/>
        <w:spacing w:after="40"/>
        <w:ind w:left="1800" w:hanging="240"/>
      </w:pPr>
      <w:r>
        <w:t xml:space="preserve">–  </w:t>
      </w:r>
      <w:r>
        <w:rPr>
          <w:rFonts w:ascii="JetBrains Mono" w:hAnsi="JetBrains Mono"/>
        </w:rPr>
        <w:t>00-COVERSHEETS</w:t>
      </w:r>
    </w:p>
    <w:p>
      <w:pPr>
        <w:pStyle w:val="ListParagraph"/>
        <w:spacing w:after="40"/>
        <w:ind w:left="1800" w:hanging="240"/>
      </w:pPr>
      <w:r>
        <w:t xml:space="preserve">–  </w:t>
      </w:r>
      <w:r>
        <w:rPr>
          <w:rFonts w:ascii="JetBrains Mono" w:hAnsi="JetBrains Mono"/>
        </w:rPr>
        <w:t>01-DRAWINGS</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800" w:hanging="240"/>
      </w:pPr>
      <w:r>
        <w:t xml:space="preserve">–  </w:t>
      </w:r>
      <w:r>
        <w:rPr>
          <w:rFonts w:ascii="JetBrains Mono" w:hAnsi="JetBrains Mono"/>
        </w:rPr>
        <w:t>02-MODELS</w:t>
      </w:r>
      <w:r>
        <w:t xml:space="preserve"> — discipline folders </w:t>
      </w:r>
      <w:r>
        <w:rPr>
          <w:rFonts w:ascii="JetBrains Mono" w:hAnsi="JetBrains Mono"/>
        </w:rPr>
        <w:t>00-ARC</w:t>
      </w:r>
      <w:r>
        <w:t xml:space="preserve"> … </w:t>
      </w:r>
      <w:r>
        <w:rPr>
          <w:rFonts w:ascii="JetBrains Mono" w:hAnsi="JetBrains Mono"/>
        </w:rPr>
        <w:t>12-GEN</w:t>
      </w:r>
    </w:p>
    <w:p>
      <w:pPr>
        <w:pStyle w:val="ListParagraph"/>
        <w:spacing w:after="40"/>
        <w:ind w:left="1800" w:hanging="240"/>
      </w:pPr>
      <w:r>
        <w:t xml:space="preserve">–  </w:t>
      </w:r>
      <w:r>
        <w:rPr>
          <w:rFonts w:ascii="JetBrains Mono" w:hAnsi="JetBrains Mono"/>
        </w:rPr>
        <w:t>03-SCHEDULES</w:t>
      </w:r>
    </w:p>
    <w:p>
      <w:pPr>
        <w:pStyle w:val="ListParagraph"/>
        <w:spacing w:after="40"/>
        <w:ind w:left="1800" w:hanging="240"/>
      </w:pPr>
      <w:r>
        <w:t xml:space="preserve">–  </w:t>
      </w:r>
      <w:r>
        <w:rPr>
          <w:rFonts w:ascii="JetBrains Mono" w:hAnsi="JetBrains Mono"/>
        </w:rPr>
        <w:t>04-REPORTS</w:t>
      </w:r>
    </w:p>
    <w:p>
      <w:pPr>
        <w:pStyle w:val="ListParagraph"/>
        <w:spacing w:after="40"/>
        <w:ind w:left="2160" w:hanging="240"/>
      </w:pPr>
      <w:r>
        <w:t xml:space="preserve">–  </w:t>
      </w:r>
      <w:r>
        <w:rPr>
          <w:rFonts w:ascii="JetBrains Mono" w:hAnsi="JetBrains Mono"/>
        </w:rPr>
        <w:t>00-IFC-VALIDATION</w:t>
      </w:r>
    </w:p>
    <w:p>
      <w:pPr>
        <w:pStyle w:val="ListParagraph"/>
        <w:spacing w:after="40"/>
        <w:ind w:left="2160" w:hanging="240"/>
      </w:pPr>
      <w:r>
        <w:t xml:space="preserve">–  </w:t>
      </w:r>
      <w:r>
        <w:rPr>
          <w:rFonts w:ascii="JetBrains Mono" w:hAnsi="JetBrains Mono"/>
        </w:rPr>
        <w:t>01-NAMING-VALIDATION</w:t>
      </w:r>
    </w:p>
    <w:p>
      <w:pPr>
        <w:pStyle w:val="ListParagraph"/>
        <w:spacing w:after="40"/>
        <w:ind w:left="1800" w:hanging="240"/>
      </w:pPr>
      <w:r>
        <w:t xml:space="preserve">–  </w:t>
      </w:r>
      <w:r>
        <w:rPr>
          <w:rFonts w:ascii="JetBrains Mono" w:hAnsi="JetBrains Mono"/>
        </w:rPr>
        <w:t>05-TRANSMITTAL</w:t>
      </w:r>
    </w:p>
    <w:p>
      <w:pPr>
        <w:pStyle w:val="ListParagraph"/>
        <w:spacing w:after="40"/>
        <w:ind w:left="720" w:hanging="240"/>
      </w:pPr>
      <w:r>
        <w:t xml:space="preserve">–  </w:t>
      </w:r>
      <w:r>
        <w:rPr>
          <w:rFonts w:ascii="JetBrains Mono" w:hAnsi="JetBrains Mono"/>
        </w:rPr>
        <w:t>04-ARCHIVE</w:t>
      </w:r>
      <w:r>
        <w:t xml:space="preserve"> — read-only history and learnings</w:t>
      </w:r>
    </w:p>
    <w:p>
      <w:pPr>
        <w:pStyle w:val="ListParagraph"/>
        <w:spacing w:after="40"/>
        <w:ind w:left="1080" w:hanging="240"/>
      </w:pPr>
      <w:r>
        <w:t xml:space="preserve">–  </w:t>
      </w:r>
      <w:r>
        <w:rPr>
          <w:rFonts w:ascii="JetBrains Mono" w:hAnsi="JetBrains Mono"/>
        </w:rPr>
        <w:t>00-LESSONS-LEARNED</w:t>
      </w:r>
    </w:p>
    <w:p>
      <w:pPr>
        <w:pStyle w:val="ListParagraph"/>
        <w:spacing w:after="40"/>
        <w:ind w:left="1080" w:hanging="240"/>
      </w:pPr>
      <w:r>
        <w:t xml:space="preserve">–  </w:t>
      </w:r>
      <w:r>
        <w:rPr>
          <w:rFonts w:ascii="JetBrains Mono" w:hAnsi="JetBrains Mono"/>
        </w:rPr>
        <w:t>01-STANDARD-UPDATES</w:t>
      </w:r>
    </w:p>
    <w:p>
      <w:pPr>
        <w:pStyle w:val="ListParagraph"/>
        <w:spacing w:after="40"/>
        <w:ind w:left="1080" w:hanging="240"/>
      </w:pPr>
      <w:r>
        <w:t xml:space="preserve">–  </w:t>
      </w:r>
      <w:r>
        <w:rPr>
          <w:rFonts w:ascii="JetBrains Mono" w:hAnsi="JetBrains Mono"/>
        </w:rPr>
        <w:t>02-LIBRARY-UPDATES</w:t>
      </w:r>
    </w:p>
    <w:p>
      <w:pPr>
        <w:pStyle w:val="ListParagraph"/>
        <w:spacing w:after="40"/>
        <w:ind w:left="360" w:hanging="240"/>
      </w:pPr>
      <w:r>
        <w:t xml:space="preserve">•  </w:t>
      </w:r>
      <w:r>
        <w:rPr>
          <w:rFonts w:ascii="JetBrains Mono" w:hAnsi="JetBrains Mono"/>
        </w:rPr>
        <w:t>01-ADMIN</w:t>
      </w:r>
      <w:r>
        <w:t xml:space="preserve"> — administration and commercial records</w:t>
      </w:r>
    </w:p>
    <w:p>
      <w:pPr>
        <w:pStyle w:val="ListParagraph"/>
        <w:spacing w:after="40"/>
        <w:ind w:left="720" w:hanging="240"/>
      </w:pPr>
      <w:r>
        <w:t xml:space="preserve">–  </w:t>
      </w:r>
      <w:r>
        <w:rPr>
          <w:rFonts w:ascii="JetBrains Mono" w:hAnsi="JetBrains Mono"/>
        </w:rPr>
        <w:t>00-DIRECTORY</w:t>
      </w:r>
    </w:p>
    <w:p>
      <w:pPr>
        <w:pStyle w:val="ListParagraph"/>
        <w:spacing w:after="40"/>
        <w:ind w:left="720" w:hanging="240"/>
      </w:pPr>
      <w:r>
        <w:t xml:space="preserve">–  </w:t>
      </w:r>
      <w:r>
        <w:rPr>
          <w:rFonts w:ascii="JetBrains Mono" w:hAnsi="JetBrains Mono"/>
        </w:rPr>
        <w:t>01-FEE-ANALYSIS</w:t>
      </w:r>
    </w:p>
    <w:p>
      <w:pPr>
        <w:pStyle w:val="ListParagraph"/>
        <w:spacing w:after="40"/>
        <w:ind w:left="720" w:hanging="240"/>
      </w:pPr>
      <w:r>
        <w:t xml:space="preserve">–  </w:t>
      </w:r>
      <w:r>
        <w:rPr>
          <w:rFonts w:ascii="JetBrains Mono" w:hAnsi="JetBrains Mono"/>
        </w:rPr>
        <w:t>02-AUTHORITIES</w:t>
      </w:r>
    </w:p>
    <w:p>
      <w:pPr>
        <w:pStyle w:val="ListParagraph"/>
        <w:spacing w:after="40"/>
        <w:ind w:left="720" w:hanging="240"/>
      </w:pPr>
      <w:r>
        <w:t xml:space="preserve">–  </w:t>
      </w:r>
      <w:r>
        <w:rPr>
          <w:rFonts w:ascii="JetBrains Mono" w:hAnsi="JetBrains Mono"/>
        </w:rPr>
        <w:t>03-CONTRACT-DOCS</w:t>
      </w:r>
    </w:p>
    <w:p>
      <w:pPr>
        <w:pStyle w:val="ListParagraph"/>
        <w:spacing w:after="40"/>
        <w:ind w:left="720" w:hanging="240"/>
      </w:pPr>
      <w:r>
        <w:t xml:space="preserve">–  </w:t>
      </w:r>
      <w:r>
        <w:rPr>
          <w:rFonts w:ascii="JetBrains Mono" w:hAnsi="JetBrains Mono"/>
        </w:rPr>
        <w:t>04-SITE-SUPERVISION</w:t>
      </w:r>
    </w:p>
    <w:p>
      <w:pPr>
        <w:pStyle w:val="ListParagraph"/>
        <w:spacing w:after="40"/>
        <w:ind w:left="720" w:hanging="240"/>
      </w:pPr>
      <w:r>
        <w:t xml:space="preserve">–  </w:t>
      </w:r>
      <w:r>
        <w:rPr>
          <w:rFonts w:ascii="JetBrains Mono" w:hAnsi="JetBrains Mono"/>
        </w:rPr>
        <w:t>05-HANDOVER</w:t>
      </w:r>
    </w:p>
    <w:p>
      <w:pPr>
        <w:pStyle w:val="ListParagraph"/>
        <w:spacing w:after="40"/>
        <w:ind w:left="720" w:hanging="240"/>
      </w:pPr>
      <w:r>
        <w:t xml:space="preserve">–  </w:t>
      </w:r>
      <w:r>
        <w:rPr>
          <w:rFonts w:ascii="JetBrains Mono" w:hAnsi="JetBrains Mono"/>
        </w:rPr>
        <w:t>06-RFP</w:t>
      </w:r>
    </w:p>
    <w:p>
      <w:pPr>
        <w:pStyle w:val="ListParagraph"/>
        <w:spacing w:after="40"/>
        <w:ind w:left="720" w:hanging="240"/>
      </w:pPr>
      <w:r>
        <w:t xml:space="preserve">–  </w:t>
      </w:r>
      <w:r>
        <w:rPr>
          <w:rFonts w:ascii="JetBrains Mono" w:hAnsi="JetBrains Mono"/>
        </w:rPr>
        <w:t>07-SCOPE-ANALYSIS</w:t>
      </w:r>
    </w:p>
    <w:p>
      <w:pPr>
        <w:pStyle w:val="ListParagraph"/>
        <w:spacing w:after="40"/>
        <w:ind w:left="360" w:hanging="240"/>
      </w:pPr>
      <w:r>
        <w:t xml:space="preserve">•  </w:t>
      </w:r>
      <w:r>
        <w:rPr>
          <w:rFonts w:ascii="JetBrains Mono" w:hAnsi="JetBrains Mono"/>
        </w:rPr>
        <w:t>02-REG</w:t>
      </w:r>
      <w:r>
        <w:t xml:space="preserve"> — regulatory records</w:t>
      </w:r>
    </w:p>
    <w:p>
      <w:pPr>
        <w:pStyle w:val="ListParagraph"/>
        <w:spacing w:after="40"/>
        <w:ind w:left="720" w:hanging="240"/>
      </w:pPr>
      <w:r>
        <w:t xml:space="preserve">–  </w:t>
      </w:r>
      <w:r>
        <w:rPr>
          <w:rFonts w:ascii="JetBrains Mono" w:hAnsi="JetBrains Mono"/>
        </w:rPr>
        <w:t>00-PERMITS</w:t>
      </w:r>
    </w:p>
    <w:p>
      <w:pPr>
        <w:pStyle w:val="ListParagraph"/>
        <w:spacing w:after="40"/>
        <w:ind w:left="1080" w:hanging="240"/>
      </w:pPr>
      <w:r>
        <w:t xml:space="preserve">–  </w:t>
      </w:r>
      <w:r>
        <w:rPr>
          <w:rFonts w:ascii="JetBrains Mono" w:hAnsi="JetBrains Mono"/>
        </w:rPr>
        <w:t>00-APPLICATIONS</w:t>
      </w:r>
    </w:p>
    <w:p>
      <w:pPr>
        <w:pStyle w:val="ListParagraph"/>
        <w:spacing w:after="40"/>
        <w:ind w:left="1080" w:hanging="240"/>
      </w:pPr>
      <w:r>
        <w:t xml:space="preserve">–  </w:t>
      </w:r>
      <w:r>
        <w:rPr>
          <w:rFonts w:ascii="JetBrains Mono" w:hAnsi="JetBrains Mono"/>
        </w:rPr>
        <w:t>01-BIM-SUBMISSIONS</w:t>
      </w:r>
    </w:p>
    <w:p>
      <w:pPr>
        <w:pStyle w:val="ListParagraph"/>
        <w:spacing w:after="40"/>
        <w:ind w:left="720" w:hanging="240"/>
      </w:pPr>
      <w:r>
        <w:t xml:space="preserve">–  </w:t>
      </w:r>
      <w:r>
        <w:rPr>
          <w:rFonts w:ascii="JetBrains Mono" w:hAnsi="JetBrains Mono"/>
        </w:rPr>
        <w:t>01-RISK</w:t>
      </w:r>
    </w:p>
    <w:p>
      <w:pPr>
        <w:pStyle w:val="ListParagraph"/>
        <w:spacing w:after="40"/>
        <w:ind w:left="720" w:hanging="240"/>
      </w:pPr>
      <w:r>
        <w:t xml:space="preserve">–  </w:t>
      </w:r>
      <w:r>
        <w:rPr>
          <w:rFonts w:ascii="JetBrains Mono" w:hAnsi="JetBrains Mono"/>
        </w:rPr>
        <w:t>02-PROCEDURES</w:t>
      </w:r>
    </w:p>
    <w:p>
      <w:pPr>
        <w:pStyle w:val="ListParagraph"/>
        <w:spacing w:after="40"/>
        <w:ind w:left="720" w:hanging="240"/>
      </w:pPr>
      <w:r>
        <w:t xml:space="preserve">–  </w:t>
      </w:r>
      <w:r>
        <w:rPr>
          <w:rFonts w:ascii="JetBrains Mono" w:hAnsi="JetBrains Mono"/>
        </w:rPr>
        <w:t>03-REQUESTS</w:t>
      </w:r>
    </w:p>
    <w:p>
      <w:pPr>
        <w:pStyle w:val="ListParagraph"/>
        <w:spacing w:after="40"/>
        <w:ind w:left="720" w:hanging="240"/>
      </w:pPr>
      <w:r>
        <w:t xml:space="preserve">–  </w:t>
      </w:r>
      <w:r>
        <w:rPr>
          <w:rFonts w:ascii="JetBrains Mono" w:hAnsi="JetBrains Mono"/>
        </w:rPr>
        <w:t>04-SITE-ARCHIVE</w:t>
      </w:r>
    </w:p>
    <w:p>
      <w:pPr>
        <w:pStyle w:val="ListParagraph"/>
        <w:spacing w:after="40"/>
        <w:ind w:left="720" w:hanging="240"/>
      </w:pPr>
      <w:r>
        <w:t xml:space="preserve">–  </w:t>
      </w:r>
      <w:r>
        <w:rPr>
          <w:rFonts w:ascii="JetBrains Mono" w:hAnsi="JetBrains Mono"/>
        </w:rPr>
        <w:t>05-MOMS</w:t>
      </w:r>
    </w:p>
    <w:p>
      <w:pPr>
        <w:pStyle w:val="ListParagraph"/>
        <w:spacing w:after="40"/>
        <w:ind w:left="360" w:hanging="240"/>
      </w:pPr>
      <w:r>
        <w:t xml:space="preserve">•  </w:t>
      </w:r>
      <w:r>
        <w:rPr>
          <w:rFonts w:ascii="JetBrains Mono" w:hAnsi="JetBrains Mono"/>
        </w:rPr>
        <w:t>03-EI</w:t>
      </w:r>
      <w:r>
        <w:t xml:space="preserve"> — engineering intelligence and analytics</w:t>
      </w:r>
    </w:p>
    <w:p>
      <w:pPr>
        <w:pStyle w:val="ListParagraph"/>
        <w:spacing w:after="40"/>
        <w:ind w:left="720" w:hanging="240"/>
      </w:pPr>
      <w:r>
        <w:t xml:space="preserve">–  </w:t>
      </w:r>
      <w:r>
        <w:rPr>
          <w:rFonts w:ascii="JetBrains Mono" w:hAnsi="JetBrains Mono"/>
        </w:rPr>
        <w:t>00-DASHBOARDS</w:t>
      </w:r>
    </w:p>
    <w:p>
      <w:pPr>
        <w:pStyle w:val="ListParagraph"/>
        <w:spacing w:after="40"/>
        <w:ind w:left="720" w:hanging="240"/>
      </w:pPr>
      <w:r>
        <w:t xml:space="preserve">–  </w:t>
      </w:r>
      <w:r>
        <w:rPr>
          <w:rFonts w:ascii="JetBrains Mono" w:hAnsi="JetBrains Mono"/>
        </w:rPr>
        <w:t>01-ANALYTICS</w:t>
      </w:r>
    </w:p>
    <w:p>
      <w:pPr>
        <w:pStyle w:val="ListParagraph"/>
        <w:spacing w:after="40"/>
        <w:ind w:left="720" w:hanging="240"/>
      </w:pPr>
      <w:r>
        <w:t xml:space="preserve">–  </w:t>
      </w:r>
      <w:r>
        <w:rPr>
          <w:rFonts w:ascii="JetBrains Mono" w:hAnsi="JetBrains Mono"/>
        </w:rPr>
        <w:t>02-POTENTIALS</w:t>
      </w:r>
    </w:p>
    <w:p>
      <w:pPr>
        <w:pStyle w:val="ListParagraph"/>
        <w:spacing w:after="40"/>
        <w:ind w:left="720" w:hanging="240"/>
      </w:pPr>
      <w:r>
        <w:t xml:space="preserve">–  </w:t>
      </w:r>
      <w:r>
        <w:rPr>
          <w:rFonts w:ascii="JetBrains Mono" w:hAnsi="JetBrains Mono"/>
        </w:rPr>
        <w:t>03-PRESENTATIONS</w:t>
      </w:r>
    </w:p>
    <w:p>
      <w:pPr>
        <w:pStyle w:val="ListParagraph"/>
        <w:spacing w:after="40"/>
        <w:ind w:left="720" w:hanging="240"/>
      </w:pPr>
      <w:r>
        <w:t xml:space="preserve">–  </w:t>
      </w:r>
      <w:r>
        <w:rPr>
          <w:rFonts w:ascii="JetBrains Mono" w:hAnsi="JetBrains Mono"/>
        </w:rPr>
        <w:t>04-R-AND-D</w:t>
      </w:r>
    </w:p>
    <w:p>
      <w:pPr>
        <w:pStyle w:val="ListParagraph"/>
        <w:spacing w:after="40"/>
        <w:ind w:left="720" w:hanging="240"/>
      </w:pPr>
      <w:r>
        <w:t xml:space="preserve">–  </w:t>
      </w:r>
      <w:r>
        <w:rPr>
          <w:rFonts w:ascii="JetBrains Mono" w:hAnsi="JetBrains Mono"/>
        </w:rPr>
        <w:t>05-EXTRACTIONS</w:t>
      </w:r>
    </w:p>
    <w:p>
      <w:pPr>
        <w:pStyle w:val="ListParagraph"/>
        <w:spacing w:after="40"/>
        <w:ind w:left="360" w:hanging="240"/>
      </w:pPr>
      <w:r>
        <w:t xml:space="preserve">•  </w:t>
      </w:r>
      <w:r>
        <w:rPr>
          <w:rFonts w:ascii="JetBrains Mono" w:hAnsi="JetBrains Mono"/>
        </w:rPr>
        <w:t>04-DOCS</w:t>
      </w:r>
      <w:r>
        <w:t xml:space="preserve"> — strategies, client profile and basis of design</w:t>
      </w:r>
    </w:p>
    <w:p>
      <w:pPr>
        <w:pStyle w:val="ListParagraph"/>
        <w:spacing w:after="40"/>
        <w:ind w:left="720" w:hanging="240"/>
      </w:pPr>
      <w:r>
        <w:t xml:space="preserve">–  </w:t>
      </w:r>
      <w:r>
        <w:rPr>
          <w:rFonts w:ascii="JetBrains Mono" w:hAnsi="JetBrains Mono"/>
        </w:rPr>
        <w:t>00-BOD</w:t>
      </w:r>
    </w:p>
    <w:p>
      <w:pPr>
        <w:pStyle w:val="ListParagraph"/>
        <w:spacing w:after="40"/>
        <w:ind w:left="720" w:hanging="240"/>
      </w:pPr>
      <w:r>
        <w:t xml:space="preserve">–  </w:t>
      </w:r>
      <w:r>
        <w:rPr>
          <w:rFonts w:ascii="JetBrains Mono" w:hAnsi="JetBrains Mono"/>
        </w:rPr>
        <w:t>01-STRATEGIES</w:t>
      </w:r>
    </w:p>
    <w:p>
      <w:pPr>
        <w:pStyle w:val="ListParagraph"/>
        <w:spacing w:after="40"/>
        <w:ind w:left="720" w:hanging="240"/>
      </w:pPr>
      <w:r>
        <w:t xml:space="preserve">–  </w:t>
      </w:r>
      <w:r>
        <w:rPr>
          <w:rFonts w:ascii="JetBrains Mono" w:hAnsi="JetBrains Mono"/>
        </w:rPr>
        <w:t>02-ANALYTICS</w:t>
      </w:r>
    </w:p>
    <w:p>
      <w:pPr>
        <w:pStyle w:val="ListParagraph"/>
        <w:spacing w:after="40"/>
        <w:ind w:left="720" w:hanging="240"/>
      </w:pPr>
      <w:r>
        <w:t xml:space="preserve">–  </w:t>
      </w:r>
      <w:r>
        <w:rPr>
          <w:rFonts w:ascii="JetBrains Mono" w:hAnsi="JetBrains Mono"/>
        </w:rPr>
        <w:t>03-PROCUREMENT</w:t>
      </w:r>
    </w:p>
    <w:p>
      <w:pPr>
        <w:pStyle w:val="ListParagraph"/>
        <w:spacing w:after="40"/>
        <w:ind w:left="720" w:hanging="240"/>
      </w:pPr>
      <w:r>
        <w:t xml:space="preserve">–  </w:t>
      </w:r>
      <w:r>
        <w:rPr>
          <w:rFonts w:ascii="JetBrains Mono" w:hAnsi="JetBrains Mono"/>
        </w:rPr>
        <w:t>04-CLIENT-PROFILE</w:t>
      </w:r>
    </w:p>
    <w:p>
      <w:pPr>
        <w:pStyle w:val="ListParagraph"/>
        <w:spacing w:after="40"/>
        <w:ind w:left="720" w:hanging="240"/>
      </w:pPr>
      <w:r>
        <w:t xml:space="preserve">–  </w:t>
      </w:r>
      <w:r>
        <w:t xml:space="preserve">05 retired (general strategy documents merged into </w:t>
      </w:r>
      <w:r>
        <w:rPr>
          <w:rFonts w:ascii="JetBrains Mono" w:hAnsi="JetBrains Mono"/>
        </w:rPr>
        <w:t>01-STRATEGIES</w:t>
      </w:r>
      <w:r>
        <w:t>; STR is the Structure code)</w:t>
      </w:r>
    </w:p>
    <w:p>
      <w:pPr/>
      <w:r>
        <w:t>C) Schedule — mirrors the tree above</w:t>
      </w:r>
    </w:p>
    <w:p>
      <w:pPr/>
      <w:r>
        <w:t>Naming fast checks</w:t>
      </w:r>
    </w:p>
    <w:p>
      <w:pPr>
        <w:pStyle w:val="ListParagraph"/>
        <w:spacing w:after="40"/>
        <w:ind w:left="360" w:hanging="240"/>
      </w:pPr>
      <w:r>
        <w:t xml:space="preserve">•  </w:t>
      </w:r>
      <w:r>
        <w:t>Every folder matches ^[0-9]{2}-[A-Z0-9]+(-[A-Z0-9]+)</w:t>
      </w:r>
      <w:r>
        <w:rPr>
          <w:i/>
        </w:rPr>
        <w:t>$, except issue pack folders, which match ^[0-9]{4}-[0-9]{2}-[0-9]{2}-[A-Z0-9]+(-[A-Z0-9]+)</w:t>
      </w:r>
      <w:r>
        <w:t>$.</w:t>
      </w:r>
    </w:p>
    <w:p>
      <w:pPr>
        <w:pStyle w:val="ListParagraph"/>
        <w:spacing w:after="40"/>
        <w:ind w:left="360" w:hanging="240"/>
      </w:pPr>
      <w:r>
        <w:t xml:space="preserve">•  </w:t>
      </w:r>
      <w:r>
        <w:t>No dots, spaces, underscores, "&amp;", trailing spaces, double hyphens or emojis in any folder name.</w:t>
      </w:r>
    </w:p>
    <w:p>
      <w:pPr>
        <w:pStyle w:val="ListParagraph"/>
        <w:spacing w:after="40"/>
        <w:ind w:left="360" w:hanging="240"/>
      </w:pPr>
      <w:r>
        <w:t xml:space="preserve">•  </w:t>
      </w:r>
      <w:r>
        <w:t>Discipline folders use only the BBM-STD-93 folder codes and numbers.</w:t>
      </w:r>
    </w:p>
    <w:p>
      <w:pPr/>
      <w:r>
        <w:t>Group purposes (authoritative, 1 sentence each)</w:t>
      </w:r>
    </w:p>
    <w:p>
      <w:pPr/>
      <w:r>
        <w:t>PIM: Project Information Model workspace used for live working, shared coordination, published issues and archive.</w:t>
      </w:r>
    </w:p>
    <w:p>
      <w:pPr/>
      <w:r>
        <w:t>ADMIN: Central administration records including directory, contracts, fees, and site supervision, restricted to the core team for governance and compliance.</w:t>
      </w:r>
    </w:p>
    <w:p>
      <w:pPr/>
      <w:r>
        <w:t>REG: Regulatory procedures, requests, permits, and risk records maintained for authority coordination and audit trail.</w:t>
      </w:r>
    </w:p>
    <w:p>
      <w:pPr/>
      <w:r>
        <w:t>EI: Engineering intelligence and analytics work products, dashboards, and derived insights to support decision-making.</w:t>
      </w:r>
    </w:p>
    <w:p>
      <w:pPr/>
      <w:r>
        <w:t>DOCS: Canonical documents for strategies, client profiles, and basis-of-design, curated for consistent reference.</w:t>
      </w:r>
    </w:p>
    <w:p>
      <w:pPr/>
      <w:r>
        <w:t>NON-GRAPHICAL canonical formats</w:t>
      </w:r>
    </w:p>
    <w:p>
      <w:pPr/>
      <w:r>
        <w:t>COBie: XLSX is the canonical exchange format</w:t>
      </w:r>
    </w:p>
    <w:p>
      <w:pPr/>
      <w:r>
        <w:t>IFC validation: HTML or PDF reports including rule-set ID and version</w:t>
      </w:r>
    </w:p>
    <w:p>
      <w:pPr/>
      <w:r>
        <w:t>Parameter exports: CSV with timestamp and schema reference</w:t>
      </w:r>
    </w:p>
    <w:p>
      <w:pPr/>
      <w:r>
        <w:t>Permissions matrix (levels 1–2)</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79"/>
        <w:gridCol w:w="2388"/>
        <w:gridCol w:w="2735"/>
        <w:gridCol w:w="2764"/>
      </w:tblGrid>
      <w:tr>
        <w:trPr>
          <w:cantSplit/>
          <w:tblHeader/>
        </w:trPr>
        <w:tc>
          <w:tcPr>
            <w:tcW w:type="dxa" w:w="2579"/>
            <w:shd w:val="clear" w:color="auto" w:fill="111113"/>
          </w:tcPr>
          <w:p>
            <w:r>
              <w:rPr>
                <w:b/>
                <w:color w:val="FFFFFF"/>
                <w:sz w:val="17"/>
              </w:rPr>
            </w:r>
            <w:r>
              <w:rPr>
                <w:b/>
                <w:color w:val="FFFFFF"/>
                <w:sz w:val="17"/>
              </w:rPr>
              <w:t>Group</w:t>
            </w:r>
          </w:p>
        </w:tc>
        <w:tc>
          <w:tcPr>
            <w:tcW w:type="dxa" w:w="2388"/>
            <w:shd w:val="clear" w:color="auto" w:fill="111113"/>
          </w:tcPr>
          <w:p>
            <w:r>
              <w:rPr>
                <w:b/>
                <w:color w:val="FFFFFF"/>
                <w:sz w:val="17"/>
              </w:rPr>
            </w:r>
            <w:r>
              <w:rPr>
                <w:b/>
                <w:color w:val="FFFFFF"/>
                <w:sz w:val="17"/>
              </w:rPr>
              <w:t>Default access</w:t>
            </w:r>
          </w:p>
        </w:tc>
        <w:tc>
          <w:tcPr>
            <w:tcW w:type="dxa" w:w="2735"/>
            <w:shd w:val="clear" w:color="auto" w:fill="111113"/>
          </w:tcPr>
          <w:p>
            <w:r>
              <w:rPr>
                <w:b/>
                <w:color w:val="FFFFFF"/>
                <w:sz w:val="17"/>
              </w:rPr>
            </w:r>
            <w:r>
              <w:rPr>
                <w:b/>
                <w:color w:val="FFFFFF"/>
                <w:sz w:val="17"/>
              </w:rPr>
              <w:t>Exceptions allowed?</w:t>
            </w:r>
          </w:p>
        </w:tc>
        <w:tc>
          <w:tcPr>
            <w:tcW w:type="dxa" w:w="2764"/>
            <w:shd w:val="clear" w:color="auto" w:fill="111113"/>
          </w:tcPr>
          <w:p>
            <w:r>
              <w:rPr>
                <w:b/>
                <w:color w:val="FFFFFF"/>
                <w:sz w:val="17"/>
              </w:rPr>
            </w:r>
            <w:r>
              <w:rPr>
                <w:b/>
                <w:color w:val="FFFFFF"/>
                <w:sz w:val="17"/>
              </w:rPr>
              <w:t>Exception owner</w:t>
            </w:r>
          </w:p>
        </w:tc>
      </w:tr>
      <w:tr>
        <w:trPr>
          <w:cantSplit/>
        </w:trPr>
        <w:tc>
          <w:tcPr>
            <w:tcW w:type="dxa" w:w="2579"/>
          </w:tcPr>
          <w:p>
            <w:r>
              <w:rPr>
                <w:sz w:val="17"/>
              </w:rPr>
            </w:r>
            <w:r>
              <w:rPr>
                <w:sz w:val="17"/>
              </w:rPr>
              <w:t>00-PIM</w:t>
            </w:r>
          </w:p>
        </w:tc>
        <w:tc>
          <w:tcPr>
            <w:tcW w:type="dxa" w:w="2388"/>
          </w:tcPr>
          <w:p>
            <w:r>
              <w:rPr>
                <w:sz w:val="17"/>
              </w:rPr>
            </w:r>
            <w:r>
              <w:rPr>
                <w:sz w:val="17"/>
              </w:rPr>
              <w:t>Project team</w:t>
            </w:r>
          </w:p>
        </w:tc>
        <w:tc>
          <w:tcPr>
            <w:tcW w:type="dxa" w:w="2735"/>
          </w:tcPr>
          <w:p>
            <w:r>
              <w:rPr>
                <w:sz w:val="17"/>
              </w:rPr>
            </w:r>
            <w:r>
              <w:rPr>
                <w:sz w:val="17"/>
              </w:rPr>
              <w:t>Yes (via README)</w:t>
            </w:r>
          </w:p>
        </w:tc>
        <w:tc>
          <w:tcPr>
            <w:tcW w:type="dxa" w:w="2764"/>
          </w:tcPr>
          <w:p>
            <w:r>
              <w:rPr>
                <w:sz w:val="17"/>
              </w:rPr>
            </w:r>
            <w:r>
              <w:rPr>
                <w:sz w:val="17"/>
              </w:rPr>
              <w:t>Information Manager</w:t>
            </w:r>
          </w:p>
        </w:tc>
      </w:tr>
      <w:tr>
        <w:trPr>
          <w:cantSplit/>
        </w:trPr>
        <w:tc>
          <w:tcPr>
            <w:tcW w:type="dxa" w:w="2579"/>
          </w:tcPr>
          <w:p>
            <w:r>
              <w:rPr>
                <w:sz w:val="17"/>
              </w:rPr>
            </w:r>
            <w:r>
              <w:rPr>
                <w:sz w:val="17"/>
              </w:rPr>
              <w:t>00-PIM/​02-SHARED</w:t>
            </w:r>
          </w:p>
        </w:tc>
        <w:tc>
          <w:tcPr>
            <w:tcW w:type="dxa" w:w="2388"/>
          </w:tcPr>
          <w:p>
            <w:r>
              <w:rPr>
                <w:sz w:val="17"/>
              </w:rPr>
            </w:r>
            <w:r>
              <w:rPr>
                <w:sz w:val="17"/>
              </w:rPr>
              <w:t>All project teams</w:t>
            </w:r>
          </w:p>
        </w:tc>
        <w:tc>
          <w:tcPr>
            <w:tcW w:type="dxa" w:w="2735"/>
          </w:tcPr>
          <w:p>
            <w:r>
              <w:rPr>
                <w:sz w:val="17"/>
              </w:rPr>
            </w:r>
            <w:r>
              <w:rPr>
                <w:sz w:val="17"/>
              </w:rPr>
              <w:t>Yes (via README)</w:t>
            </w:r>
          </w:p>
        </w:tc>
        <w:tc>
          <w:tcPr>
            <w:tcW w:type="dxa" w:w="2764"/>
          </w:tcPr>
          <w:p>
            <w:r>
              <w:rPr>
                <w:sz w:val="17"/>
              </w:rPr>
            </w:r>
            <w:r>
              <w:rPr>
                <w:sz w:val="17"/>
              </w:rPr>
              <w:t>Information Manager</w:t>
            </w:r>
          </w:p>
        </w:tc>
      </w:tr>
      <w:tr>
        <w:trPr>
          <w:cantSplit/>
        </w:trPr>
        <w:tc>
          <w:tcPr>
            <w:tcW w:type="dxa" w:w="2579"/>
          </w:tcPr>
          <w:p>
            <w:r>
              <w:rPr>
                <w:sz w:val="17"/>
              </w:rPr>
            </w:r>
            <w:r>
              <w:rPr>
                <w:sz w:val="17"/>
              </w:rPr>
              <w:t>01-ADMIN</w:t>
            </w:r>
          </w:p>
        </w:tc>
        <w:tc>
          <w:tcPr>
            <w:tcW w:type="dxa" w:w="2388"/>
          </w:tcPr>
          <w:p>
            <w:r>
              <w:rPr>
                <w:sz w:val="17"/>
              </w:rPr>
            </w:r>
            <w:r>
              <w:rPr>
                <w:sz w:val="17"/>
              </w:rPr>
              <w:t>Core team</w:t>
            </w:r>
          </w:p>
        </w:tc>
        <w:tc>
          <w:tcPr>
            <w:tcW w:type="dxa" w:w="2735"/>
          </w:tcPr>
          <w:p>
            <w:r>
              <w:rPr>
                <w:sz w:val="17"/>
              </w:rPr>
            </w:r>
            <w:r>
              <w:rPr>
                <w:sz w:val="17"/>
              </w:rPr>
              <w:t>Yes (via README)</w:t>
            </w:r>
          </w:p>
        </w:tc>
        <w:tc>
          <w:tcPr>
            <w:tcW w:type="dxa" w:w="2764"/>
          </w:tcPr>
          <w:p>
            <w:r>
              <w:rPr>
                <w:sz w:val="17"/>
              </w:rPr>
            </w:r>
            <w:r>
              <w:rPr>
                <w:sz w:val="17"/>
              </w:rPr>
              <w:t>Information Manager</w:t>
            </w:r>
          </w:p>
        </w:tc>
      </w:tr>
      <w:tr>
        <w:trPr>
          <w:cantSplit/>
        </w:trPr>
        <w:tc>
          <w:tcPr>
            <w:tcW w:type="dxa" w:w="2579"/>
          </w:tcPr>
          <w:p>
            <w:r>
              <w:rPr>
                <w:sz w:val="17"/>
              </w:rPr>
            </w:r>
            <w:r>
              <w:rPr>
                <w:sz w:val="17"/>
              </w:rPr>
              <w:t>02-REG</w:t>
            </w:r>
          </w:p>
        </w:tc>
        <w:tc>
          <w:tcPr>
            <w:tcW w:type="dxa" w:w="2388"/>
          </w:tcPr>
          <w:p>
            <w:r>
              <w:rPr>
                <w:sz w:val="17"/>
              </w:rPr>
            </w:r>
            <w:r>
              <w:rPr>
                <w:sz w:val="17"/>
              </w:rPr>
              <w:t>Core team</w:t>
            </w:r>
          </w:p>
        </w:tc>
        <w:tc>
          <w:tcPr>
            <w:tcW w:type="dxa" w:w="2735"/>
          </w:tcPr>
          <w:p>
            <w:r>
              <w:rPr>
                <w:sz w:val="17"/>
              </w:rPr>
            </w:r>
            <w:r>
              <w:rPr>
                <w:sz w:val="17"/>
              </w:rPr>
              <w:t>Yes (via README)</w:t>
            </w:r>
          </w:p>
        </w:tc>
        <w:tc>
          <w:tcPr>
            <w:tcW w:type="dxa" w:w="2764"/>
          </w:tcPr>
          <w:p>
            <w:r>
              <w:rPr>
                <w:sz w:val="17"/>
              </w:rPr>
            </w:r>
            <w:r>
              <w:rPr>
                <w:sz w:val="17"/>
              </w:rPr>
              <w:t>Information Manager</w:t>
            </w:r>
          </w:p>
        </w:tc>
      </w:tr>
      <w:tr>
        <w:trPr>
          <w:cantSplit/>
        </w:trPr>
        <w:tc>
          <w:tcPr>
            <w:tcW w:type="dxa" w:w="2579"/>
          </w:tcPr>
          <w:p>
            <w:r>
              <w:rPr>
                <w:sz w:val="17"/>
              </w:rPr>
            </w:r>
            <w:r>
              <w:rPr>
                <w:sz w:val="17"/>
              </w:rPr>
              <w:t>03-EI</w:t>
            </w:r>
          </w:p>
        </w:tc>
        <w:tc>
          <w:tcPr>
            <w:tcW w:type="dxa" w:w="2388"/>
          </w:tcPr>
          <w:p>
            <w:r>
              <w:rPr>
                <w:sz w:val="17"/>
              </w:rPr>
            </w:r>
            <w:r>
              <w:rPr>
                <w:sz w:val="17"/>
              </w:rPr>
              <w:t>Core team</w:t>
            </w:r>
          </w:p>
        </w:tc>
        <w:tc>
          <w:tcPr>
            <w:tcW w:type="dxa" w:w="2735"/>
          </w:tcPr>
          <w:p>
            <w:r>
              <w:rPr>
                <w:sz w:val="17"/>
              </w:rPr>
            </w:r>
            <w:r>
              <w:rPr>
                <w:sz w:val="17"/>
              </w:rPr>
              <w:t>Yes (via README)</w:t>
            </w:r>
          </w:p>
        </w:tc>
        <w:tc>
          <w:tcPr>
            <w:tcW w:type="dxa" w:w="2764"/>
          </w:tcPr>
          <w:p>
            <w:r>
              <w:rPr>
                <w:sz w:val="17"/>
              </w:rPr>
            </w:r>
            <w:r>
              <w:rPr>
                <w:sz w:val="17"/>
              </w:rPr>
              <w:t>Information Manager</w:t>
            </w:r>
          </w:p>
        </w:tc>
      </w:tr>
      <w:tr>
        <w:trPr>
          <w:cantSplit/>
        </w:trPr>
        <w:tc>
          <w:tcPr>
            <w:tcW w:type="dxa" w:w="2579"/>
          </w:tcPr>
          <w:p>
            <w:r>
              <w:rPr>
                <w:sz w:val="17"/>
              </w:rPr>
            </w:r>
            <w:r>
              <w:rPr>
                <w:sz w:val="17"/>
              </w:rPr>
              <w:t>04-DOCS</w:t>
            </w:r>
          </w:p>
        </w:tc>
        <w:tc>
          <w:tcPr>
            <w:tcW w:type="dxa" w:w="2388"/>
          </w:tcPr>
          <w:p>
            <w:r>
              <w:rPr>
                <w:sz w:val="17"/>
              </w:rPr>
            </w:r>
            <w:r>
              <w:rPr>
                <w:sz w:val="17"/>
              </w:rPr>
              <w:t>Core team</w:t>
            </w:r>
          </w:p>
        </w:tc>
        <w:tc>
          <w:tcPr>
            <w:tcW w:type="dxa" w:w="2735"/>
          </w:tcPr>
          <w:p>
            <w:r>
              <w:rPr>
                <w:sz w:val="17"/>
              </w:rPr>
            </w:r>
            <w:r>
              <w:rPr>
                <w:sz w:val="17"/>
              </w:rPr>
              <w:t>Yes (via README)</w:t>
            </w:r>
          </w:p>
        </w:tc>
        <w:tc>
          <w:tcPr>
            <w:tcW w:type="dxa" w:w="2764"/>
          </w:tcPr>
          <w:p>
            <w:r>
              <w:rPr>
                <w:sz w:val="17"/>
              </w:rPr>
            </w:r>
            <w:r>
              <w:rPr>
                <w:sz w:val="17"/>
              </w:rPr>
              <w:t>Information Manager</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601"/>
        <w:gridCol w:w="943"/>
        <w:gridCol w:w="1667"/>
        <w:gridCol w:w="5255"/>
      </w:tblGrid>
      <w:tr>
        <w:trPr>
          <w:cantSplit/>
          <w:tblHeader/>
        </w:trPr>
        <w:tc>
          <w:tcPr>
            <w:tcW w:type="dxa" w:w="2601"/>
            <w:shd w:val="clear" w:color="auto" w:fill="111113"/>
          </w:tcPr>
          <w:p>
            <w:r>
              <w:rPr>
                <w:b/>
                <w:color w:val="FFFFFF"/>
                <w:sz w:val="17"/>
              </w:rPr>
            </w:r>
            <w:r>
              <w:rPr>
                <w:b/>
                <w:color w:val="FFFFFF"/>
                <w:sz w:val="17"/>
              </w:rPr>
              <w:t>Item</w:t>
            </w:r>
          </w:p>
        </w:tc>
        <w:tc>
          <w:tcPr>
            <w:tcW w:type="dxa" w:w="943"/>
            <w:shd w:val="clear" w:color="auto" w:fill="111113"/>
          </w:tcPr>
          <w:p>
            <w:r>
              <w:rPr>
                <w:b/>
                <w:color w:val="FFFFFF"/>
                <w:sz w:val="17"/>
              </w:rPr>
            </w:r>
            <w:r>
              <w:rPr>
                <w:b/>
                <w:color w:val="FFFFFF"/>
                <w:sz w:val="17"/>
              </w:rPr>
              <w:t>Hierarchy level</w:t>
            </w:r>
          </w:p>
        </w:tc>
        <w:tc>
          <w:tcPr>
            <w:tcW w:type="dxa" w:w="1667"/>
            <w:shd w:val="clear" w:color="auto" w:fill="111113"/>
          </w:tcPr>
          <w:p>
            <w:r>
              <w:rPr>
                <w:b/>
                <w:color w:val="FFFFFF"/>
                <w:sz w:val="17"/>
              </w:rPr>
            </w:r>
            <w:r>
              <w:rPr>
                <w:b/>
                <w:color w:val="FFFFFF"/>
                <w:sz w:val="17"/>
              </w:rPr>
              <w:t>Access level</w:t>
            </w:r>
          </w:p>
        </w:tc>
        <w:tc>
          <w:tcPr>
            <w:tcW w:type="dxa" w:w="5255"/>
            <w:shd w:val="clear" w:color="auto" w:fill="111113"/>
          </w:tcPr>
          <w:p>
            <w:r>
              <w:rPr>
                <w:b/>
                <w:color w:val="FFFFFF"/>
                <w:sz w:val="17"/>
              </w:rPr>
            </w:r>
            <w:r>
              <w:rPr>
                <w:b/>
                <w:color w:val="FFFFFF"/>
                <w:sz w:val="17"/>
              </w:rPr>
              <w:t>Description</w:t>
            </w:r>
          </w:p>
        </w:tc>
      </w:tr>
      <w:tr>
        <w:trPr>
          <w:cantSplit/>
        </w:trPr>
        <w:tc>
          <w:tcPr>
            <w:tcW w:type="dxa" w:w="2601"/>
          </w:tcPr>
          <w:p>
            <w:r>
              <w:rPr>
                <w:sz w:val="17"/>
              </w:rPr>
            </w:r>
            <w:r>
              <w:rPr>
                <w:sz w:val="17"/>
              </w:rPr>
              <w:t>00-PIM</w:t>
            </w:r>
          </w:p>
        </w:tc>
        <w:tc>
          <w:tcPr>
            <w:tcW w:type="dxa" w:w="943"/>
          </w:tcPr>
          <w:p>
            <w:r>
              <w:rPr>
                <w:sz w:val="17"/>
              </w:rPr>
            </w:r>
            <w:r>
              <w:rPr>
                <w:sz w:val="17"/>
              </w:rPr>
              <w:t>1</w:t>
            </w:r>
          </w:p>
        </w:tc>
        <w:tc>
          <w:tcPr>
            <w:tcW w:type="dxa" w:w="1667"/>
          </w:tcPr>
          <w:p>
            <w:r>
              <w:rPr>
                <w:sz w:val="17"/>
              </w:rPr>
            </w:r>
            <w:r>
              <w:rPr>
                <w:sz w:val="17"/>
              </w:rPr>
              <w:t>Project team</w:t>
            </w:r>
          </w:p>
        </w:tc>
        <w:tc>
          <w:tcPr>
            <w:tcW w:type="dxa" w:w="5255"/>
          </w:tcPr>
          <w:p>
            <w:r>
              <w:rPr>
                <w:sz w:val="17"/>
              </w:rPr>
            </w:r>
            <w:r>
              <w:rPr>
                <w:sz w:val="17"/>
              </w:rPr>
              <w:t>Project Information Model workspace. Live working, shared coordination, published issues and archive.</w:t>
            </w:r>
          </w:p>
        </w:tc>
      </w:tr>
      <w:tr>
        <w:trPr>
          <w:cantSplit/>
        </w:trPr>
        <w:tc>
          <w:tcPr>
            <w:tcW w:type="dxa" w:w="2601"/>
          </w:tcPr>
          <w:p>
            <w:r>
              <w:rPr>
                <w:sz w:val="17"/>
              </w:rPr>
            </w:r>
            <w:r>
              <w:rPr>
                <w:sz w:val="17"/>
              </w:rPr>
              <w:t>01-WIP</w:t>
            </w:r>
          </w:p>
        </w:tc>
        <w:tc>
          <w:tcPr>
            <w:tcW w:type="dxa" w:w="943"/>
          </w:tcPr>
          <w:p>
            <w:r>
              <w:rPr>
                <w:sz w:val="17"/>
              </w:rPr>
            </w:r>
            <w:r>
              <w:rPr>
                <w:sz w:val="17"/>
              </w:rPr>
              <w:t>2</w:t>
            </w:r>
          </w:p>
        </w:tc>
        <w:tc>
          <w:tcPr>
            <w:tcW w:type="dxa" w:w="1667"/>
          </w:tcPr>
          <w:p>
            <w:r>
              <w:rPr>
                <w:sz w:val="17"/>
              </w:rPr>
            </w:r>
            <w:r>
              <w:rPr>
                <w:sz w:val="17"/>
              </w:rPr>
              <w:t>Task Teams only</w:t>
            </w:r>
          </w:p>
        </w:tc>
        <w:tc>
          <w:tcPr>
            <w:tcW w:type="dxa" w:w="5255"/>
          </w:tcPr>
          <w:p>
            <w:r>
              <w:rPr>
                <w:sz w:val="17"/>
              </w:rPr>
            </w:r>
            <w:r>
              <w:rPr>
                <w:sz w:val="17"/>
              </w:rPr>
              <w:t>Work in progress per data type and discipline. Not visible externally. Subject to model segregation rules.</w:t>
            </w:r>
          </w:p>
        </w:tc>
      </w:tr>
      <w:tr>
        <w:trPr>
          <w:cantSplit/>
        </w:trPr>
        <w:tc>
          <w:tcPr>
            <w:tcW w:type="dxa" w:w="2601"/>
          </w:tcPr>
          <w:p>
            <w:r>
              <w:rPr>
                <w:sz w:val="17"/>
              </w:rPr>
            </w:r>
            <w:r>
              <w:rPr>
                <w:sz w:val="17"/>
              </w:rPr>
              <w:t>00-RVT, 01-DWG, 02-PPT (under 01-WIP)</w:t>
            </w:r>
          </w:p>
        </w:tc>
        <w:tc>
          <w:tcPr>
            <w:tcW w:type="dxa" w:w="943"/>
          </w:tcPr>
          <w:p>
            <w:r>
              <w:rPr>
                <w:sz w:val="17"/>
              </w:rPr>
            </w:r>
            <w:r>
              <w:rPr>
                <w:sz w:val="17"/>
              </w:rPr>
              <w:t>3</w:t>
            </w:r>
          </w:p>
        </w:tc>
        <w:tc>
          <w:tcPr>
            <w:tcW w:type="dxa" w:w="1667"/>
          </w:tcPr>
          <w:p>
            <w:r>
              <w:rPr>
                <w:sz w:val="17"/>
              </w:rPr>
            </w:r>
            <w:r>
              <w:rPr>
                <w:sz w:val="17"/>
              </w:rPr>
              <w:t>Task Teams only</w:t>
            </w:r>
          </w:p>
        </w:tc>
        <w:tc>
          <w:tcPr>
            <w:tcW w:type="dxa" w:w="5255"/>
          </w:tcPr>
          <w:p>
            <w:r>
              <w:rPr>
                <w:sz w:val="17"/>
              </w:rPr>
            </w:r>
            <w:r>
              <w:rPr>
                <w:sz w:val="17"/>
              </w:rPr>
              <w:t>Data type folders.</w:t>
            </w:r>
          </w:p>
        </w:tc>
      </w:tr>
      <w:tr>
        <w:trPr>
          <w:cantSplit/>
        </w:trPr>
        <w:tc>
          <w:tcPr>
            <w:tcW w:type="dxa" w:w="2601"/>
          </w:tcPr>
          <w:p>
            <w:r>
              <w:rPr>
                <w:sz w:val="17"/>
              </w:rPr>
            </w:r>
            <w:r>
              <w:rPr>
                <w:sz w:val="17"/>
              </w:rPr>
              <w:t>00-ARC … 12-GEN (under each WIP data type)</w:t>
            </w:r>
          </w:p>
        </w:tc>
        <w:tc>
          <w:tcPr>
            <w:tcW w:type="dxa" w:w="943"/>
          </w:tcPr>
          <w:p>
            <w:r>
              <w:rPr>
                <w:sz w:val="17"/>
              </w:rPr>
            </w:r>
            <w:r>
              <w:rPr>
                <w:sz w:val="17"/>
              </w:rPr>
              <w:t>4</w:t>
            </w:r>
          </w:p>
        </w:tc>
        <w:tc>
          <w:tcPr>
            <w:tcW w:type="dxa" w:w="1667"/>
          </w:tcPr>
          <w:p>
            <w:r>
              <w:rPr>
                <w:sz w:val="17"/>
              </w:rPr>
            </w:r>
            <w:r>
              <w:rPr>
                <w:sz w:val="17"/>
              </w:rPr>
              <w:t>Task Teams only</w:t>
            </w:r>
          </w:p>
        </w:tc>
        <w:tc>
          <w:tcPr>
            <w:tcW w:type="dxa" w:w="5255"/>
          </w:tcPr>
          <w:p>
            <w:r>
              <w:rPr>
                <w:sz w:val="17"/>
              </w:rPr>
            </w:r>
            <w:r>
              <w:rPr>
                <w:sz w:val="17"/>
              </w:rPr>
              <w:t>Discipline folders, BBM-STD-93 codes. Hold WIP files.</w:t>
            </w:r>
          </w:p>
        </w:tc>
      </w:tr>
      <w:tr>
        <w:trPr>
          <w:cantSplit/>
        </w:trPr>
        <w:tc>
          <w:tcPr>
            <w:tcW w:type="dxa" w:w="2601"/>
          </w:tcPr>
          <w:p>
            <w:r>
              <w:rPr>
                <w:sz w:val="17"/>
              </w:rPr>
            </w:r>
            <w:r>
              <w:rPr>
                <w:sz w:val="17"/>
              </w:rPr>
              <w:t>02-SHARED</w:t>
            </w:r>
          </w:p>
        </w:tc>
        <w:tc>
          <w:tcPr>
            <w:tcW w:type="dxa" w:w="943"/>
          </w:tcPr>
          <w:p>
            <w:r>
              <w:rPr>
                <w:sz w:val="17"/>
              </w:rPr>
            </w:r>
            <w:r>
              <w:rPr>
                <w:sz w:val="17"/>
              </w:rPr>
              <w:t>2</w:t>
            </w:r>
          </w:p>
        </w:tc>
        <w:tc>
          <w:tcPr>
            <w:tcW w:type="dxa" w:w="1667"/>
          </w:tcPr>
          <w:p>
            <w:r>
              <w:rPr>
                <w:sz w:val="17"/>
              </w:rPr>
            </w:r>
            <w:r>
              <w:rPr>
                <w:sz w:val="17"/>
              </w:rPr>
              <w:t>All project teams</w:t>
            </w:r>
          </w:p>
        </w:tc>
        <w:tc>
          <w:tcPr>
            <w:tcW w:type="dxa" w:w="5255"/>
          </w:tcPr>
          <w:p>
            <w:r>
              <w:rPr>
                <w:sz w:val="17"/>
              </w:rPr>
            </w:r>
            <w:r>
              <w:rPr>
                <w:sz w:val="17"/>
              </w:rPr>
              <w:t>Interdisciplinary space for information approved to share across teams.</w:t>
            </w:r>
          </w:p>
        </w:tc>
      </w:tr>
      <w:tr>
        <w:trPr>
          <w:cantSplit/>
        </w:trPr>
        <w:tc>
          <w:tcPr>
            <w:tcW w:type="dxa" w:w="2601"/>
          </w:tcPr>
          <w:p>
            <w:r>
              <w:rPr>
                <w:sz w:val="17"/>
              </w:rPr>
            </w:r>
            <w:r>
              <w:rPr>
                <w:sz w:val="17"/>
              </w:rPr>
              <w:t>00-RVT, 01-DWG, 02-PPT (under 02-SHARED)</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Data type folders for shared models, drawings and presentations.</w:t>
            </w:r>
          </w:p>
        </w:tc>
      </w:tr>
      <w:tr>
        <w:trPr>
          <w:cantSplit/>
        </w:trPr>
        <w:tc>
          <w:tcPr>
            <w:tcW w:type="dxa" w:w="2601"/>
          </w:tcPr>
          <w:p>
            <w:r>
              <w:rPr>
                <w:sz w:val="17"/>
              </w:rPr>
            </w:r>
            <w:r>
              <w:rPr>
                <w:sz w:val="17"/>
              </w:rPr>
              <w:t>00-ARC … 12-GEN (under each SHARED data type)</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Discipline folders, BBM-STD-93 codes. Producer discipline writes; others read.</w:t>
            </w:r>
          </w:p>
        </w:tc>
      </w:tr>
      <w:tr>
        <w:trPr>
          <w:cantSplit/>
        </w:trPr>
        <w:tc>
          <w:tcPr>
            <w:tcW w:type="dxa" w:w="2601"/>
          </w:tcPr>
          <w:p>
            <w:r>
              <w:rPr>
                <w:sz w:val="17"/>
              </w:rPr>
            </w:r>
            <w:r>
              <w:rPr>
                <w:sz w:val="17"/>
              </w:rPr>
              <w:t>03-URS</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User requirements and similar upstream references.</w:t>
            </w:r>
          </w:p>
        </w:tc>
      </w:tr>
      <w:tr>
        <w:trPr>
          <w:cantSplit/>
        </w:trPr>
        <w:tc>
          <w:tcPr>
            <w:tcW w:type="dxa" w:w="2601"/>
          </w:tcPr>
          <w:p>
            <w:r>
              <w:rPr>
                <w:sz w:val="17"/>
              </w:rPr>
            </w:r>
            <w:r>
              <w:rPr>
                <w:sz w:val="17"/>
              </w:rPr>
              <w:t>04-RENDITIONS</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Shared visual outputs such as renders or exports for review.</w:t>
            </w:r>
          </w:p>
        </w:tc>
      </w:tr>
      <w:tr>
        <w:trPr>
          <w:cantSplit/>
        </w:trPr>
        <w:tc>
          <w:tcPr>
            <w:tcW w:type="dxa" w:w="2601"/>
          </w:tcPr>
          <w:p>
            <w:r>
              <w:rPr>
                <w:sz w:val="17"/>
              </w:rPr>
            </w:r>
            <w:r>
              <w:rPr>
                <w:sz w:val="17"/>
              </w:rPr>
              <w:t>05-DOCUMENTS</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Structured document set for initiation, standards, plans, and registers.</w:t>
            </w:r>
          </w:p>
        </w:tc>
      </w:tr>
      <w:tr>
        <w:trPr>
          <w:cantSplit/>
        </w:trPr>
        <w:tc>
          <w:tcPr>
            <w:tcW w:type="dxa" w:w="2601"/>
          </w:tcPr>
          <w:p>
            <w:r>
              <w:rPr>
                <w:sz w:val="17"/>
              </w:rPr>
            </w:r>
            <w:r>
              <w:rPr>
                <w:sz w:val="17"/>
              </w:rPr>
              <w:t>02-STANDARDS</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Adopted standards referenced by the project.</w:t>
            </w:r>
          </w:p>
        </w:tc>
      </w:tr>
      <w:tr>
        <w:trPr>
          <w:cantSplit/>
        </w:trPr>
        <w:tc>
          <w:tcPr>
            <w:tcW w:type="dxa" w:w="2601"/>
          </w:tcPr>
          <w:p>
            <w:r>
              <w:rPr>
                <w:sz w:val="17"/>
              </w:rPr>
            </w:r>
            <w:r>
              <w:rPr>
                <w:sz w:val="17"/>
              </w:rPr>
              <w:t>03-TASK-TEAM</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Task team definitions and allocations.</w:t>
            </w:r>
          </w:p>
        </w:tc>
      </w:tr>
      <w:tr>
        <w:trPr>
          <w:cantSplit/>
        </w:trPr>
        <w:tc>
          <w:tcPr>
            <w:tcW w:type="dxa" w:w="2601"/>
          </w:tcPr>
          <w:p>
            <w:r>
              <w:rPr>
                <w:sz w:val="17"/>
              </w:rPr>
            </w:r>
            <w:r>
              <w:rPr>
                <w:sz w:val="17"/>
              </w:rPr>
              <w:t>04-KICKOFFS</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Kickoff decks, minutes, and decisions.</w:t>
            </w:r>
          </w:p>
        </w:tc>
      </w:tr>
      <w:tr>
        <w:trPr>
          <w:cantSplit/>
        </w:trPr>
        <w:tc>
          <w:tcPr>
            <w:tcW w:type="dxa" w:w="2601"/>
          </w:tcPr>
          <w:p>
            <w:r>
              <w:rPr>
                <w:sz w:val="17"/>
              </w:rPr>
            </w:r>
            <w:r>
              <w:rPr>
                <w:sz w:val="17"/>
              </w:rPr>
              <w:t>05-BEP</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BIM Execution Plan and revisions.</w:t>
            </w:r>
          </w:p>
        </w:tc>
      </w:tr>
      <w:tr>
        <w:trPr>
          <w:cantSplit/>
        </w:trPr>
        <w:tc>
          <w:tcPr>
            <w:tcW w:type="dxa" w:w="2601"/>
          </w:tcPr>
          <w:p>
            <w:r>
              <w:rPr>
                <w:sz w:val="17"/>
              </w:rPr>
            </w:r>
            <w:r>
              <w:rPr>
                <w:sz w:val="17"/>
              </w:rPr>
              <w:t>06-CLASSIFICATIONS</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Classification systems and mappings, e.g., Uniclass.</w:t>
            </w:r>
          </w:p>
        </w:tc>
      </w:tr>
      <w:tr>
        <w:trPr>
          <w:cantSplit/>
        </w:trPr>
        <w:tc>
          <w:tcPr>
            <w:tcW w:type="dxa" w:w="2601"/>
          </w:tcPr>
          <w:p>
            <w:r>
              <w:rPr>
                <w:sz w:val="17"/>
              </w:rPr>
            </w:r>
            <w:r>
              <w:rPr>
                <w:sz w:val="17"/>
              </w:rPr>
              <w:t>07-QA-QC</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Quality procedures, checklists, and reports.</w:t>
            </w:r>
          </w:p>
        </w:tc>
      </w:tr>
      <w:tr>
        <w:trPr>
          <w:cantSplit/>
        </w:trPr>
        <w:tc>
          <w:tcPr>
            <w:tcW w:type="dxa" w:w="2601"/>
          </w:tcPr>
          <w:p>
            <w:r>
              <w:rPr>
                <w:sz w:val="17"/>
              </w:rPr>
            </w:r>
            <w:r>
              <w:rPr>
                <w:sz w:val="17"/>
              </w:rPr>
              <w:t>08-LOIN</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LOIN worksheets per exchange and object class (BBM-STD-54).</w:t>
            </w:r>
          </w:p>
        </w:tc>
      </w:tr>
      <w:tr>
        <w:trPr>
          <w:cantSplit/>
        </w:trPr>
        <w:tc>
          <w:tcPr>
            <w:tcW w:type="dxa" w:w="2601"/>
          </w:tcPr>
          <w:p>
            <w:r>
              <w:rPr>
                <w:sz w:val="17"/>
              </w:rPr>
            </w:r>
            <w:r>
              <w:rPr>
                <w:sz w:val="17"/>
              </w:rPr>
              <w:t>09-TIDP</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Task Information Delivery Plan files.</w:t>
            </w:r>
          </w:p>
        </w:tc>
      </w:tr>
      <w:tr>
        <w:trPr>
          <w:cantSplit/>
        </w:trPr>
        <w:tc>
          <w:tcPr>
            <w:tcW w:type="dxa" w:w="2601"/>
          </w:tcPr>
          <w:p>
            <w:r>
              <w:rPr>
                <w:sz w:val="17"/>
              </w:rPr>
            </w:r>
            <w:r>
              <w:rPr>
                <w:sz w:val="17"/>
              </w:rPr>
              <w:t>10-MIDP</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Master Information Delivery Plan and updates.</w:t>
            </w:r>
          </w:p>
        </w:tc>
      </w:tr>
      <w:tr>
        <w:trPr>
          <w:cantSplit/>
        </w:trPr>
        <w:tc>
          <w:tcPr>
            <w:tcW w:type="dxa" w:w="2601"/>
          </w:tcPr>
          <w:p>
            <w:r>
              <w:rPr>
                <w:sz w:val="17"/>
              </w:rPr>
            </w:r>
            <w:r>
              <w:rPr>
                <w:sz w:val="17"/>
              </w:rPr>
              <w:t>06-REPORTS</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Planning, model health, and clash coordination reports.</w:t>
            </w:r>
          </w:p>
        </w:tc>
      </w:tr>
      <w:tr>
        <w:trPr>
          <w:cantSplit/>
        </w:trPr>
        <w:tc>
          <w:tcPr>
            <w:tcW w:type="dxa" w:w="2601"/>
          </w:tcPr>
          <w:p>
            <w:r>
              <w:rPr>
                <w:sz w:val="17"/>
              </w:rPr>
            </w:r>
            <w:r>
              <w:rPr>
                <w:sz w:val="17"/>
              </w:rPr>
              <w:t>00-PLANNING</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Schedules, calendars, and planning outputs.</w:t>
            </w:r>
          </w:p>
        </w:tc>
      </w:tr>
      <w:tr>
        <w:trPr>
          <w:cantSplit/>
        </w:trPr>
        <w:tc>
          <w:tcPr>
            <w:tcW w:type="dxa" w:w="2601"/>
          </w:tcPr>
          <w:p>
            <w:r>
              <w:rPr>
                <w:sz w:val="17"/>
              </w:rPr>
            </w:r>
            <w:r>
              <w:rPr>
                <w:sz w:val="17"/>
              </w:rPr>
              <w:t>01-MODEL-HEALTH</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Model health KPIs and audit outputs.</w:t>
            </w:r>
          </w:p>
        </w:tc>
      </w:tr>
      <w:tr>
        <w:trPr>
          <w:cantSplit/>
        </w:trPr>
        <w:tc>
          <w:tcPr>
            <w:tcW w:type="dxa" w:w="2601"/>
          </w:tcPr>
          <w:p>
            <w:r>
              <w:rPr>
                <w:sz w:val="17"/>
              </w:rPr>
            </w:r>
            <w:r>
              <w:rPr>
                <w:sz w:val="17"/>
              </w:rPr>
              <w:t>02-CLASHES</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Clash reports and resolutions.</w:t>
            </w:r>
          </w:p>
        </w:tc>
      </w:tr>
      <w:tr>
        <w:trPr>
          <w:cantSplit/>
        </w:trPr>
        <w:tc>
          <w:tcPr>
            <w:tcW w:type="dxa" w:w="2601"/>
          </w:tcPr>
          <w:p>
            <w:r>
              <w:rPr>
                <w:sz w:val="17"/>
              </w:rPr>
            </w:r>
            <w:r>
              <w:rPr>
                <w:sz w:val="17"/>
              </w:rPr>
              <w:t>07-RECORD</w:t>
            </w:r>
          </w:p>
        </w:tc>
        <w:tc>
          <w:tcPr>
            <w:tcW w:type="dxa" w:w="943"/>
          </w:tcPr>
          <w:p>
            <w:r>
              <w:rPr>
                <w:sz w:val="17"/>
              </w:rPr>
            </w:r>
            <w:r>
              <w:rPr>
                <w:sz w:val="17"/>
              </w:rPr>
              <w:t>3</w:t>
            </w:r>
          </w:p>
        </w:tc>
        <w:tc>
          <w:tcPr>
            <w:tcW w:type="dxa" w:w="1667"/>
          </w:tcPr>
          <w:p>
            <w:r>
              <w:rPr>
                <w:sz w:val="17"/>
              </w:rPr>
            </w:r>
            <w:r>
              <w:rPr>
                <w:sz w:val="17"/>
              </w:rPr>
              <w:t>Core team</w:t>
            </w:r>
          </w:p>
        </w:tc>
        <w:tc>
          <w:tcPr>
            <w:tcW w:type="dxa" w:w="5255"/>
          </w:tcPr>
          <w:p>
            <w:r>
              <w:rPr>
                <w:sz w:val="17"/>
              </w:rPr>
            </w:r>
            <w:r>
              <w:rPr>
                <w:sz w:val="17"/>
              </w:rPr>
              <w:t>Registers of inbound and outbound transmittals and logs.</w:t>
            </w:r>
          </w:p>
        </w:tc>
      </w:tr>
      <w:tr>
        <w:trPr>
          <w:cantSplit/>
        </w:trPr>
        <w:tc>
          <w:tcPr>
            <w:tcW w:type="dxa" w:w="2601"/>
          </w:tcPr>
          <w:p>
            <w:r>
              <w:rPr>
                <w:sz w:val="17"/>
              </w:rPr>
            </w:r>
            <w:r>
              <w:rPr>
                <w:sz w:val="17"/>
              </w:rPr>
              <w:t>00-PROJECT-LOG</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Central project log.</w:t>
            </w:r>
          </w:p>
        </w:tc>
      </w:tr>
      <w:tr>
        <w:trPr>
          <w:cantSplit/>
        </w:trPr>
        <w:tc>
          <w:tcPr>
            <w:tcW w:type="dxa" w:w="2601"/>
          </w:tcPr>
          <w:p>
            <w:r>
              <w:rPr>
                <w:sz w:val="17"/>
              </w:rPr>
            </w:r>
            <w:r>
              <w:rPr>
                <w:sz w:val="17"/>
              </w:rPr>
              <w:t>01-IN</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Inbound correspondence and files.</w:t>
            </w:r>
          </w:p>
        </w:tc>
      </w:tr>
      <w:tr>
        <w:trPr>
          <w:cantSplit/>
        </w:trPr>
        <w:tc>
          <w:tcPr>
            <w:tcW w:type="dxa" w:w="2601"/>
          </w:tcPr>
          <w:p>
            <w:r>
              <w:rPr>
                <w:sz w:val="17"/>
              </w:rPr>
            </w:r>
            <w:r>
              <w:rPr>
                <w:sz w:val="17"/>
              </w:rPr>
              <w:t>02-OUT</w:t>
            </w:r>
          </w:p>
        </w:tc>
        <w:tc>
          <w:tcPr>
            <w:tcW w:type="dxa" w:w="943"/>
          </w:tcPr>
          <w:p>
            <w:r>
              <w:rPr>
                <w:sz w:val="17"/>
              </w:rPr>
            </w:r>
            <w:r>
              <w:rPr>
                <w:sz w:val="17"/>
              </w:rPr>
              <w:t>4</w:t>
            </w:r>
          </w:p>
        </w:tc>
        <w:tc>
          <w:tcPr>
            <w:tcW w:type="dxa" w:w="1667"/>
          </w:tcPr>
          <w:p>
            <w:r>
              <w:rPr>
                <w:sz w:val="17"/>
              </w:rPr>
            </w:r>
            <w:r>
              <w:rPr>
                <w:sz w:val="17"/>
              </w:rPr>
              <w:t>Core team</w:t>
            </w:r>
          </w:p>
        </w:tc>
        <w:tc>
          <w:tcPr>
            <w:tcW w:type="dxa" w:w="5255"/>
          </w:tcPr>
          <w:p>
            <w:r>
              <w:rPr>
                <w:sz w:val="17"/>
              </w:rPr>
            </w:r>
            <w:r>
              <w:rPr>
                <w:sz w:val="17"/>
              </w:rPr>
              <w:t>Outbound correspondence and files.</w:t>
            </w:r>
          </w:p>
        </w:tc>
      </w:tr>
      <w:tr>
        <w:trPr>
          <w:cantSplit/>
        </w:trPr>
        <w:tc>
          <w:tcPr>
            <w:tcW w:type="dxa" w:w="2601"/>
          </w:tcPr>
          <w:p>
            <w:r>
              <w:rPr>
                <w:sz w:val="17"/>
              </w:rPr>
            </w:r>
            <w:r>
              <w:rPr>
                <w:sz w:val="17"/>
              </w:rPr>
              <w:t>08-PROJECT-LIBRARY</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Shared project assets used across documentation.</w:t>
            </w:r>
          </w:p>
        </w:tc>
      </w:tr>
      <w:tr>
        <w:trPr>
          <w:cantSplit/>
        </w:trPr>
        <w:tc>
          <w:tcPr>
            <w:tcW w:type="dxa" w:w="2601"/>
          </w:tcPr>
          <w:p>
            <w:r>
              <w:rPr>
                <w:sz w:val="17"/>
              </w:rPr>
            </w:r>
            <w:r>
              <w:rPr>
                <w:sz w:val="17"/>
              </w:rPr>
              <w:t>00-TTB-AND-COVER</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Title blocks, covers, and sheet assets.</w:t>
            </w:r>
          </w:p>
        </w:tc>
      </w:tr>
      <w:tr>
        <w:trPr>
          <w:cantSplit/>
        </w:trPr>
        <w:tc>
          <w:tcPr>
            <w:tcW w:type="dxa" w:w="2601"/>
          </w:tcPr>
          <w:p>
            <w:r>
              <w:rPr>
                <w:sz w:val="17"/>
              </w:rPr>
            </w:r>
            <w:r>
              <w:rPr>
                <w:sz w:val="17"/>
              </w:rPr>
              <w:t>01-GENERAL</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Common reusable resources.</w:t>
            </w:r>
          </w:p>
        </w:tc>
      </w:tr>
      <w:tr>
        <w:trPr>
          <w:cantSplit/>
        </w:trPr>
        <w:tc>
          <w:tcPr>
            <w:tcW w:type="dxa" w:w="2601"/>
          </w:tcPr>
          <w:p>
            <w:r>
              <w:rPr>
                <w:sz w:val="17"/>
              </w:rPr>
            </w:r>
            <w:r>
              <w:rPr>
                <w:sz w:val="17"/>
              </w:rPr>
              <w:t>02-ARC … 13-CON</w:t>
            </w:r>
          </w:p>
        </w:tc>
        <w:tc>
          <w:tcPr>
            <w:tcW w:type="dxa" w:w="943"/>
          </w:tcPr>
          <w:p>
            <w:r>
              <w:rPr>
                <w:sz w:val="17"/>
              </w:rPr>
            </w:r>
            <w:r>
              <w:rPr>
                <w:sz w:val="17"/>
              </w:rPr>
              <w:t>4</w:t>
            </w:r>
          </w:p>
        </w:tc>
        <w:tc>
          <w:tcPr>
            <w:tcW w:type="dxa" w:w="1667"/>
          </w:tcPr>
          <w:p>
            <w:r>
              <w:rPr>
                <w:sz w:val="17"/>
              </w:rPr>
            </w:r>
            <w:r>
              <w:rPr>
                <w:sz w:val="17"/>
              </w:rPr>
              <w:t>Discipline team</w:t>
            </w:r>
          </w:p>
        </w:tc>
        <w:tc>
          <w:tcPr>
            <w:tcW w:type="dxa" w:w="5255"/>
          </w:tcPr>
          <w:p>
            <w:r>
              <w:rPr>
                <w:sz w:val="17"/>
              </w:rPr>
            </w:r>
            <w:r>
              <w:rPr>
                <w:sz w:val="17"/>
              </w:rPr>
              <w:t>Discipline library items, BBM-STD-93 order.</w:t>
            </w:r>
          </w:p>
        </w:tc>
      </w:tr>
      <w:tr>
        <w:trPr>
          <w:cantSplit/>
        </w:trPr>
        <w:tc>
          <w:tcPr>
            <w:tcW w:type="dxa" w:w="2601"/>
          </w:tcPr>
          <w:p>
            <w:r>
              <w:rPr>
                <w:sz w:val="17"/>
              </w:rPr>
            </w:r>
            <w:r>
              <w:rPr>
                <w:sz w:val="17"/>
              </w:rPr>
              <w:t>09-NON-GRAPHICAL</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Non-graphical data deliverables and validations.</w:t>
            </w:r>
          </w:p>
        </w:tc>
      </w:tr>
      <w:tr>
        <w:trPr>
          <w:cantSplit/>
        </w:trPr>
        <w:tc>
          <w:tcPr>
            <w:tcW w:type="dxa" w:w="2601"/>
          </w:tcPr>
          <w:p>
            <w:r>
              <w:rPr>
                <w:sz w:val="17"/>
              </w:rPr>
            </w:r>
            <w:r>
              <w:rPr>
                <w:sz w:val="17"/>
              </w:rPr>
              <w:t>00-COBIE</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COBie exports and checks.</w:t>
            </w:r>
          </w:p>
        </w:tc>
      </w:tr>
      <w:tr>
        <w:trPr>
          <w:cantSplit/>
        </w:trPr>
        <w:tc>
          <w:tcPr>
            <w:tcW w:type="dxa" w:w="2601"/>
          </w:tcPr>
          <w:p>
            <w:r>
              <w:rPr>
                <w:sz w:val="17"/>
              </w:rPr>
            </w:r>
            <w:r>
              <w:rPr>
                <w:sz w:val="17"/>
              </w:rPr>
              <w:t>01-ASSET-REGISTERS</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Asset registers per client requirements.</w:t>
            </w:r>
          </w:p>
        </w:tc>
      </w:tr>
      <w:tr>
        <w:trPr>
          <w:cantSplit/>
        </w:trPr>
        <w:tc>
          <w:tcPr>
            <w:tcW w:type="dxa" w:w="2601"/>
          </w:tcPr>
          <w:p>
            <w:r>
              <w:rPr>
                <w:sz w:val="17"/>
              </w:rPr>
            </w:r>
            <w:r>
              <w:rPr>
                <w:sz w:val="17"/>
              </w:rPr>
              <w:t>02-IFC-VALIDATION</w:t>
            </w:r>
          </w:p>
        </w:tc>
        <w:tc>
          <w:tcPr>
            <w:tcW w:type="dxa" w:w="943"/>
          </w:tcPr>
          <w:p>
            <w:r>
              <w:rPr>
                <w:sz w:val="17"/>
              </w:rPr>
            </w:r>
            <w:r>
              <w:rPr>
                <w:sz w:val="17"/>
              </w:rPr>
              <w:t>4</w:t>
            </w:r>
          </w:p>
        </w:tc>
        <w:tc>
          <w:tcPr>
            <w:tcW w:type="dxa" w:w="1667"/>
          </w:tcPr>
          <w:p>
            <w:r>
              <w:rPr>
                <w:sz w:val="17"/>
              </w:rPr>
            </w:r>
            <w:r>
              <w:rPr>
                <w:sz w:val="17"/>
              </w:rPr>
              <w:t>All project teams</w:t>
            </w:r>
          </w:p>
        </w:tc>
        <w:tc>
          <w:tcPr>
            <w:tcW w:type="dxa" w:w="5255"/>
          </w:tcPr>
          <w:p>
            <w:r>
              <w:rPr>
                <w:sz w:val="17"/>
              </w:rPr>
            </w:r>
            <w:r>
              <w:rPr>
                <w:sz w:val="17"/>
              </w:rPr>
              <w:t>IFC validation reports and rule sets.</w:t>
            </w:r>
          </w:p>
        </w:tc>
      </w:tr>
      <w:tr>
        <w:trPr>
          <w:cantSplit/>
        </w:trPr>
        <w:tc>
          <w:tcPr>
            <w:tcW w:type="dxa" w:w="2601"/>
          </w:tcPr>
          <w:p>
            <w:r>
              <w:rPr>
                <w:sz w:val="17"/>
              </w:rPr>
            </w:r>
            <w:r>
              <w:rPr>
                <w:sz w:val="17"/>
              </w:rPr>
              <w:t>03-PARAMETER-EXPORTS</w:t>
            </w:r>
          </w:p>
        </w:tc>
        <w:tc>
          <w:tcPr>
            <w:tcW w:type="dxa" w:w="943"/>
          </w:tcPr>
          <w:p>
            <w:r>
              <w:rPr>
                <w:sz w:val="17"/>
              </w:rPr>
            </w:r>
            <w:r>
              <w:rPr>
                <w:sz w:val="17"/>
              </w:rPr>
              <w:t>4</w:t>
            </w:r>
          </w:p>
        </w:tc>
        <w:tc>
          <w:tcPr>
            <w:tcW w:type="dxa" w:w="1667"/>
          </w:tcPr>
          <w:p>
            <w:r>
              <w:rPr>
                <w:sz w:val="17"/>
              </w:rPr>
            </w:r>
            <w:r>
              <w:rPr>
                <w:sz w:val="17"/>
              </w:rPr>
              <w:t>Authorised project users</w:t>
            </w:r>
          </w:p>
        </w:tc>
        <w:tc>
          <w:tcPr>
            <w:tcW w:type="dxa" w:w="5255"/>
          </w:tcPr>
          <w:p>
            <w:r>
              <w:rPr>
                <w:sz w:val="17"/>
              </w:rPr>
            </w:r>
            <w:r>
              <w:rPr>
                <w:sz w:val="17"/>
              </w:rPr>
              <w:t>Parameter CSV exports with timestamp and schema reference.</w:t>
            </w:r>
          </w:p>
        </w:tc>
      </w:tr>
      <w:tr>
        <w:trPr>
          <w:cantSplit/>
        </w:trPr>
        <w:tc>
          <w:tcPr>
            <w:tcW w:type="dxa" w:w="2601"/>
          </w:tcPr>
          <w:p>
            <w:r>
              <w:rPr>
                <w:sz w:val="17"/>
              </w:rPr>
            </w:r>
            <w:r>
              <w:rPr>
                <w:sz w:val="17"/>
              </w:rPr>
              <w:t>03-PUBLISHED</w:t>
            </w:r>
          </w:p>
        </w:tc>
        <w:tc>
          <w:tcPr>
            <w:tcW w:type="dxa" w:w="943"/>
          </w:tcPr>
          <w:p>
            <w:r>
              <w:rPr>
                <w:sz w:val="17"/>
              </w:rPr>
            </w:r>
            <w:r>
              <w:rPr>
                <w:sz w:val="17"/>
              </w:rPr>
              <w:t>2</w:t>
            </w:r>
          </w:p>
        </w:tc>
        <w:tc>
          <w:tcPr>
            <w:tcW w:type="dxa" w:w="1667"/>
          </w:tcPr>
          <w:p>
            <w:r>
              <w:rPr>
                <w:sz w:val="17"/>
              </w:rPr>
            </w:r>
            <w:r>
              <w:rPr>
                <w:sz w:val="17"/>
              </w:rPr>
              <w:t>Internal + External recipients</w:t>
            </w:r>
          </w:p>
        </w:tc>
        <w:tc>
          <w:tcPr>
            <w:tcW w:type="dxa" w:w="5255"/>
          </w:tcPr>
          <w:p>
            <w:r>
              <w:rPr>
                <w:sz w:val="17"/>
              </w:rPr>
            </w:r>
            <w:r>
              <w:rPr>
                <w:sz w:val="17"/>
              </w:rPr>
              <w:t>Formal submittals, split by stage, then by issue pack.</w:t>
            </w:r>
          </w:p>
        </w:tc>
      </w:tr>
      <w:tr>
        <w:trPr>
          <w:cantSplit/>
        </w:trPr>
        <w:tc>
          <w:tcPr>
            <w:tcW w:type="dxa" w:w="2601"/>
          </w:tcPr>
          <w:p>
            <w:r>
              <w:rPr>
                <w:sz w:val="17"/>
              </w:rPr>
            </w:r>
            <w:r>
              <w:rPr>
                <w:sz w:val="17"/>
              </w:rPr>
              <w:t>00-STAGE-0 … 07-STAGE-7</w:t>
            </w:r>
          </w:p>
        </w:tc>
        <w:tc>
          <w:tcPr>
            <w:tcW w:type="dxa" w:w="943"/>
          </w:tcPr>
          <w:p>
            <w:r>
              <w:rPr>
                <w:sz w:val="17"/>
              </w:rPr>
            </w:r>
            <w:r>
              <w:rPr>
                <w:sz w:val="17"/>
              </w:rPr>
              <w:t>3</w:t>
            </w:r>
          </w:p>
        </w:tc>
        <w:tc>
          <w:tcPr>
            <w:tcW w:type="dxa" w:w="1667"/>
          </w:tcPr>
          <w:p>
            <w:r>
              <w:rPr>
                <w:sz w:val="17"/>
              </w:rPr>
            </w:r>
            <w:r>
              <w:rPr>
                <w:sz w:val="17"/>
              </w:rPr>
              <w:t>Internal + External recipients</w:t>
            </w:r>
          </w:p>
        </w:tc>
        <w:tc>
          <w:tcPr>
            <w:tcW w:type="dxa" w:w="5255"/>
          </w:tcPr>
          <w:p>
            <w:r>
              <w:rPr>
                <w:sz w:val="17"/>
              </w:rPr>
            </w:r>
            <w:r>
              <w:rPr>
                <w:sz w:val="17"/>
              </w:rPr>
              <w:t>One folder per stage of 2.3 that has an issue.</w:t>
            </w:r>
          </w:p>
        </w:tc>
      </w:tr>
      <w:tr>
        <w:trPr>
          <w:cantSplit/>
        </w:trPr>
        <w:tc>
          <w:tcPr>
            <w:tcW w:type="dxa" w:w="2601"/>
          </w:tcPr>
          <w:p>
            <w:r>
              <w:rPr>
                <w:sz w:val="17"/>
              </w:rPr>
            </w:r>
            <w:r>
              <w:rPr>
                <w:sz w:val="17"/>
              </w:rPr>
              <w:t>YYYY-MM-DD-DESCRIPTION</w:t>
            </w:r>
          </w:p>
        </w:tc>
        <w:tc>
          <w:tcPr>
            <w:tcW w:type="dxa" w:w="943"/>
          </w:tcPr>
          <w:p>
            <w:r>
              <w:rPr>
                <w:sz w:val="17"/>
              </w:rPr>
            </w:r>
            <w:r>
              <w:rPr>
                <w:sz w:val="17"/>
              </w:rPr>
              <w:t>4</w:t>
            </w:r>
          </w:p>
        </w:tc>
        <w:tc>
          <w:tcPr>
            <w:tcW w:type="dxa" w:w="1667"/>
          </w:tcPr>
          <w:p>
            <w:r>
              <w:rPr>
                <w:sz w:val="17"/>
              </w:rPr>
            </w:r>
            <w:r>
              <w:rPr>
                <w:sz w:val="17"/>
              </w:rPr>
              <w:t>External recipients</w:t>
            </w:r>
          </w:p>
        </w:tc>
        <w:tc>
          <w:tcPr>
            <w:tcW w:type="dxa" w:w="5255"/>
          </w:tcPr>
          <w:p>
            <w:r>
              <w:rPr>
                <w:sz w:val="17"/>
              </w:rPr>
            </w:r>
            <w:r>
              <w:rPr>
                <w:sz w:val="17"/>
              </w:rPr>
              <w:t>One issue pack; children 00-COVERSHEETS, 01-DRAWINGS, 02-MODELS, 03-SCHEDULES, 04-REPORTS, 05-TRANSMITTAL.</w:t>
            </w:r>
          </w:p>
        </w:tc>
      </w:tr>
      <w:tr>
        <w:trPr>
          <w:cantSplit/>
        </w:trPr>
        <w:tc>
          <w:tcPr>
            <w:tcW w:type="dxa" w:w="2601"/>
          </w:tcPr>
          <w:p>
            <w:r>
              <w:rPr>
                <w:sz w:val="17"/>
              </w:rPr>
            </w:r>
            <w:r>
              <w:rPr>
                <w:sz w:val="17"/>
              </w:rPr>
              <w:t>2026-10-14-IFC-PACKAGE-W2</w:t>
            </w:r>
          </w:p>
        </w:tc>
        <w:tc>
          <w:tcPr>
            <w:tcW w:type="dxa" w:w="943"/>
          </w:tcPr>
          <w:p>
            <w:r>
              <w:rPr>
                <w:sz w:val="17"/>
              </w:rPr>
            </w:r>
          </w:p>
        </w:tc>
        <w:tc>
          <w:tcPr>
            <w:tcW w:type="dxa" w:w="1667"/>
          </w:tcPr>
          <w:p>
            <w:r>
              <w:rPr>
                <w:sz w:val="17"/>
              </w:rPr>
            </w:r>
          </w:p>
        </w:tc>
        <w:tc>
          <w:tcPr>
            <w:tcW w:type="dxa" w:w="5255"/>
          </w:tcPr>
          <w:p>
            <w:r>
              <w:rPr>
                <w:sz w:val="17"/>
              </w:rPr>
            </w:r>
            <w:r>
              <w:rPr>
                <w:sz w:val="17"/>
              </w:rPr>
              <w:t>Example of required naming for an issue pack.</w:t>
            </w:r>
          </w:p>
        </w:tc>
      </w:tr>
      <w:tr>
        <w:trPr>
          <w:cantSplit/>
        </w:trPr>
        <w:tc>
          <w:tcPr>
            <w:tcW w:type="dxa" w:w="2601"/>
          </w:tcPr>
          <w:p>
            <w:r>
              <w:rPr>
                <w:sz w:val="17"/>
              </w:rPr>
            </w:r>
            <w:r>
              <w:rPr>
                <w:sz w:val="17"/>
              </w:rPr>
              <w:t>04-ARCHIVE</w:t>
            </w:r>
          </w:p>
        </w:tc>
        <w:tc>
          <w:tcPr>
            <w:tcW w:type="dxa" w:w="943"/>
          </w:tcPr>
          <w:p>
            <w:r>
              <w:rPr>
                <w:sz w:val="17"/>
              </w:rPr>
            </w:r>
            <w:r>
              <w:rPr>
                <w:sz w:val="17"/>
              </w:rPr>
              <w:t>2</w:t>
            </w:r>
          </w:p>
        </w:tc>
        <w:tc>
          <w:tcPr>
            <w:tcW w:type="dxa" w:w="1667"/>
          </w:tcPr>
          <w:p>
            <w:r>
              <w:rPr>
                <w:sz w:val="17"/>
              </w:rPr>
            </w:r>
            <w:r>
              <w:rPr>
                <w:sz w:val="17"/>
              </w:rPr>
              <w:t>Read-only</w:t>
            </w:r>
          </w:p>
        </w:tc>
        <w:tc>
          <w:tcPr>
            <w:tcW w:type="dxa" w:w="5255"/>
          </w:tcPr>
          <w:p>
            <w:r>
              <w:rPr>
                <w:sz w:val="17"/>
              </w:rPr>
            </w:r>
            <w:r>
              <w:rPr>
                <w:sz w:val="17"/>
              </w:rPr>
              <w:t>Immutable records and learnings.</w:t>
            </w:r>
          </w:p>
        </w:tc>
      </w:tr>
      <w:tr>
        <w:trPr>
          <w:cantSplit/>
        </w:trPr>
        <w:tc>
          <w:tcPr>
            <w:tcW w:type="dxa" w:w="2601"/>
          </w:tcPr>
          <w:p>
            <w:r>
              <w:rPr>
                <w:sz w:val="17"/>
              </w:rPr>
            </w:r>
            <w:r>
              <w:rPr>
                <w:sz w:val="17"/>
              </w:rPr>
              <w:t>00-LESSONS-LEARNED</w:t>
            </w:r>
          </w:p>
        </w:tc>
        <w:tc>
          <w:tcPr>
            <w:tcW w:type="dxa" w:w="943"/>
          </w:tcPr>
          <w:p>
            <w:r>
              <w:rPr>
                <w:sz w:val="17"/>
              </w:rPr>
            </w:r>
            <w:r>
              <w:rPr>
                <w:sz w:val="17"/>
              </w:rPr>
              <w:t>3</w:t>
            </w:r>
          </w:p>
        </w:tc>
        <w:tc>
          <w:tcPr>
            <w:tcW w:type="dxa" w:w="1667"/>
          </w:tcPr>
          <w:p>
            <w:r>
              <w:rPr>
                <w:sz w:val="17"/>
              </w:rPr>
            </w:r>
            <w:r>
              <w:rPr>
                <w:sz w:val="17"/>
              </w:rPr>
              <w:t>All project teams</w:t>
            </w:r>
          </w:p>
        </w:tc>
        <w:tc>
          <w:tcPr>
            <w:tcW w:type="dxa" w:w="5255"/>
          </w:tcPr>
          <w:p>
            <w:r>
              <w:rPr>
                <w:sz w:val="17"/>
              </w:rPr>
            </w:r>
            <w:r>
              <w:rPr>
                <w:sz w:val="17"/>
              </w:rPr>
              <w:t>Retrospectives and process improvements.</w:t>
            </w:r>
          </w:p>
        </w:tc>
      </w:tr>
      <w:tr>
        <w:trPr>
          <w:cantSplit/>
        </w:trPr>
        <w:tc>
          <w:tcPr>
            <w:tcW w:type="dxa" w:w="2601"/>
          </w:tcPr>
          <w:p>
            <w:r>
              <w:rPr>
                <w:sz w:val="17"/>
              </w:rPr>
            </w:r>
            <w:r>
              <w:rPr>
                <w:sz w:val="17"/>
              </w:rPr>
              <w:t>01-STANDARD-UPDATES</w:t>
            </w:r>
          </w:p>
        </w:tc>
        <w:tc>
          <w:tcPr>
            <w:tcW w:type="dxa" w:w="943"/>
          </w:tcPr>
          <w:p>
            <w:r>
              <w:rPr>
                <w:sz w:val="17"/>
              </w:rPr>
            </w:r>
            <w:r>
              <w:rPr>
                <w:sz w:val="17"/>
              </w:rPr>
              <w:t>3</w:t>
            </w:r>
          </w:p>
        </w:tc>
        <w:tc>
          <w:tcPr>
            <w:tcW w:type="dxa" w:w="1667"/>
          </w:tcPr>
          <w:p>
            <w:r>
              <w:rPr>
                <w:sz w:val="17"/>
              </w:rPr>
            </w:r>
            <w:r>
              <w:rPr>
                <w:sz w:val="17"/>
              </w:rPr>
              <w:t>Core team</w:t>
            </w:r>
          </w:p>
        </w:tc>
        <w:tc>
          <w:tcPr>
            <w:tcW w:type="dxa" w:w="5255"/>
          </w:tcPr>
          <w:p>
            <w:r>
              <w:rPr>
                <w:sz w:val="17"/>
              </w:rPr>
            </w:r>
            <w:r>
              <w:rPr>
                <w:sz w:val="17"/>
              </w:rPr>
              <w:t>Archived updates to standards.</w:t>
            </w:r>
          </w:p>
        </w:tc>
      </w:tr>
      <w:tr>
        <w:trPr>
          <w:cantSplit/>
        </w:trPr>
        <w:tc>
          <w:tcPr>
            <w:tcW w:type="dxa" w:w="2601"/>
          </w:tcPr>
          <w:p>
            <w:r>
              <w:rPr>
                <w:sz w:val="17"/>
              </w:rPr>
            </w:r>
            <w:r>
              <w:rPr>
                <w:sz w:val="17"/>
              </w:rPr>
              <w:t>02-LIBRARY-UPDATES</w:t>
            </w:r>
          </w:p>
        </w:tc>
        <w:tc>
          <w:tcPr>
            <w:tcW w:type="dxa" w:w="943"/>
          </w:tcPr>
          <w:p>
            <w:r>
              <w:rPr>
                <w:sz w:val="17"/>
              </w:rPr>
            </w:r>
            <w:r>
              <w:rPr>
                <w:sz w:val="17"/>
              </w:rPr>
              <w:t>3</w:t>
            </w:r>
          </w:p>
        </w:tc>
        <w:tc>
          <w:tcPr>
            <w:tcW w:type="dxa" w:w="1667"/>
          </w:tcPr>
          <w:p>
            <w:r>
              <w:rPr>
                <w:sz w:val="17"/>
              </w:rPr>
            </w:r>
            <w:r>
              <w:rPr>
                <w:sz w:val="17"/>
              </w:rPr>
              <w:t>Core team</w:t>
            </w:r>
          </w:p>
        </w:tc>
        <w:tc>
          <w:tcPr>
            <w:tcW w:type="dxa" w:w="5255"/>
          </w:tcPr>
          <w:p>
            <w:r>
              <w:rPr>
                <w:sz w:val="17"/>
              </w:rPr>
            </w:r>
            <w:r>
              <w:rPr>
                <w:sz w:val="17"/>
              </w:rPr>
              <w:t>Archived updates to libraries.</w:t>
            </w:r>
          </w:p>
        </w:tc>
      </w:tr>
      <w:tr>
        <w:trPr>
          <w:cantSplit/>
        </w:trPr>
        <w:tc>
          <w:tcPr>
            <w:tcW w:type="dxa" w:w="2601"/>
          </w:tcPr>
          <w:p>
            <w:r>
              <w:rPr>
                <w:sz w:val="17"/>
              </w:rPr>
            </w:r>
            <w:r>
              <w:rPr>
                <w:sz w:val="17"/>
              </w:rPr>
              <w:t>01-ADMIN</w:t>
            </w:r>
          </w:p>
        </w:tc>
        <w:tc>
          <w:tcPr>
            <w:tcW w:type="dxa" w:w="943"/>
          </w:tcPr>
          <w:p>
            <w:r>
              <w:rPr>
                <w:sz w:val="17"/>
              </w:rPr>
            </w:r>
            <w:r>
              <w:rPr>
                <w:sz w:val="17"/>
              </w:rPr>
              <w:t>1</w:t>
            </w:r>
          </w:p>
        </w:tc>
        <w:tc>
          <w:tcPr>
            <w:tcW w:type="dxa" w:w="1667"/>
          </w:tcPr>
          <w:p>
            <w:r>
              <w:rPr>
                <w:sz w:val="17"/>
              </w:rPr>
            </w:r>
            <w:r>
              <w:rPr>
                <w:sz w:val="17"/>
              </w:rPr>
              <w:t>Core team</w:t>
            </w:r>
          </w:p>
        </w:tc>
        <w:tc>
          <w:tcPr>
            <w:tcW w:type="dxa" w:w="5255"/>
          </w:tcPr>
          <w:p>
            <w:r>
              <w:rPr>
                <w:sz w:val="17"/>
              </w:rPr>
            </w:r>
            <w:r>
              <w:rPr>
                <w:sz w:val="17"/>
              </w:rPr>
              <w:t>Administration and commercial records.</w:t>
            </w:r>
          </w:p>
        </w:tc>
      </w:tr>
      <w:tr>
        <w:trPr>
          <w:cantSplit/>
        </w:trPr>
        <w:tc>
          <w:tcPr>
            <w:tcW w:type="dxa" w:w="2601"/>
          </w:tcPr>
          <w:p>
            <w:r>
              <w:rPr>
                <w:sz w:val="17"/>
              </w:rPr>
            </w:r>
            <w:r>
              <w:rPr>
                <w:sz w:val="17"/>
              </w:rPr>
              <w:t>00-DIRECTORY</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Project directory and contacts.</w:t>
            </w:r>
          </w:p>
        </w:tc>
      </w:tr>
      <w:tr>
        <w:trPr>
          <w:cantSplit/>
        </w:trPr>
        <w:tc>
          <w:tcPr>
            <w:tcW w:type="dxa" w:w="2601"/>
          </w:tcPr>
          <w:p>
            <w:r>
              <w:rPr>
                <w:sz w:val="17"/>
              </w:rPr>
            </w:r>
            <w:r>
              <w:rPr>
                <w:sz w:val="17"/>
              </w:rPr>
              <w:t>01-FEE-ANALYSIS</w:t>
            </w:r>
          </w:p>
        </w:tc>
        <w:tc>
          <w:tcPr>
            <w:tcW w:type="dxa" w:w="943"/>
          </w:tcPr>
          <w:p>
            <w:r>
              <w:rPr>
                <w:sz w:val="17"/>
              </w:rPr>
            </w:r>
            <w:r>
              <w:rPr>
                <w:sz w:val="17"/>
              </w:rPr>
              <w:t>2</w:t>
            </w:r>
          </w:p>
        </w:tc>
        <w:tc>
          <w:tcPr>
            <w:tcW w:type="dxa" w:w="1667"/>
          </w:tcPr>
          <w:p>
            <w:r>
              <w:rPr>
                <w:sz w:val="17"/>
              </w:rPr>
            </w:r>
            <w:r>
              <w:rPr>
                <w:sz w:val="17"/>
              </w:rPr>
              <w:t>Restricted</w:t>
            </w:r>
          </w:p>
        </w:tc>
        <w:tc>
          <w:tcPr>
            <w:tcW w:type="dxa" w:w="5255"/>
          </w:tcPr>
          <w:p>
            <w:r>
              <w:rPr>
                <w:sz w:val="17"/>
              </w:rPr>
            </w:r>
            <w:r>
              <w:rPr>
                <w:sz w:val="17"/>
              </w:rPr>
              <w:t>Fee breakdowns and financial analysis.</w:t>
            </w:r>
          </w:p>
        </w:tc>
      </w:tr>
      <w:tr>
        <w:trPr>
          <w:cantSplit/>
        </w:trPr>
        <w:tc>
          <w:tcPr>
            <w:tcW w:type="dxa" w:w="2601"/>
          </w:tcPr>
          <w:p>
            <w:r>
              <w:rPr>
                <w:sz w:val="17"/>
              </w:rPr>
            </w:r>
            <w:r>
              <w:rPr>
                <w:sz w:val="17"/>
              </w:rPr>
              <w:t>02-AUTHORITIES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Authority communications and approvals.</w:t>
            </w:r>
          </w:p>
        </w:tc>
      </w:tr>
      <w:tr>
        <w:trPr>
          <w:cantSplit/>
        </w:trPr>
        <w:tc>
          <w:tcPr>
            <w:tcW w:type="dxa" w:w="2601"/>
          </w:tcPr>
          <w:p>
            <w:r>
              <w:rPr>
                <w:sz w:val="17"/>
              </w:rPr>
            </w:r>
            <w:r>
              <w:rPr>
                <w:sz w:val="17"/>
              </w:rPr>
              <w:t>03-CONTRACT-DOCS</w:t>
            </w:r>
          </w:p>
        </w:tc>
        <w:tc>
          <w:tcPr>
            <w:tcW w:type="dxa" w:w="943"/>
          </w:tcPr>
          <w:p>
            <w:r>
              <w:rPr>
                <w:sz w:val="17"/>
              </w:rPr>
            </w:r>
            <w:r>
              <w:rPr>
                <w:sz w:val="17"/>
              </w:rPr>
              <w:t>2</w:t>
            </w:r>
          </w:p>
        </w:tc>
        <w:tc>
          <w:tcPr>
            <w:tcW w:type="dxa" w:w="1667"/>
          </w:tcPr>
          <w:p>
            <w:r>
              <w:rPr>
                <w:sz w:val="17"/>
              </w:rPr>
            </w:r>
            <w:r>
              <w:rPr>
                <w:sz w:val="17"/>
              </w:rPr>
              <w:t>Restricted</w:t>
            </w:r>
          </w:p>
        </w:tc>
        <w:tc>
          <w:tcPr>
            <w:tcW w:type="dxa" w:w="5255"/>
          </w:tcPr>
          <w:p>
            <w:r>
              <w:rPr>
                <w:sz w:val="17"/>
              </w:rPr>
            </w:r>
            <w:r>
              <w:rPr>
                <w:sz w:val="17"/>
              </w:rPr>
              <w:t>Contracts and legal documents.</w:t>
            </w:r>
          </w:p>
        </w:tc>
      </w:tr>
      <w:tr>
        <w:trPr>
          <w:cantSplit/>
        </w:trPr>
        <w:tc>
          <w:tcPr>
            <w:tcW w:type="dxa" w:w="2601"/>
          </w:tcPr>
          <w:p>
            <w:r>
              <w:rPr>
                <w:sz w:val="17"/>
              </w:rPr>
            </w:r>
            <w:r>
              <w:rPr>
                <w:sz w:val="17"/>
              </w:rPr>
              <w:t>04-SITE-SUPERVISION</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Site supervision records.</w:t>
            </w:r>
          </w:p>
        </w:tc>
      </w:tr>
      <w:tr>
        <w:trPr>
          <w:cantSplit/>
        </w:trPr>
        <w:tc>
          <w:tcPr>
            <w:tcW w:type="dxa" w:w="2601"/>
          </w:tcPr>
          <w:p>
            <w:r>
              <w:rPr>
                <w:sz w:val="17"/>
              </w:rPr>
            </w:r>
            <w:r>
              <w:rPr>
                <w:sz w:val="17"/>
              </w:rPr>
              <w:t>05-HANDOVER</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Handover planning and artifacts.</w:t>
            </w:r>
          </w:p>
        </w:tc>
      </w:tr>
      <w:tr>
        <w:trPr>
          <w:cantSplit/>
        </w:trPr>
        <w:tc>
          <w:tcPr>
            <w:tcW w:type="dxa" w:w="2601"/>
          </w:tcPr>
          <w:p>
            <w:r>
              <w:rPr>
                <w:sz w:val="17"/>
              </w:rPr>
            </w:r>
            <w:r>
              <w:rPr>
                <w:sz w:val="17"/>
              </w:rPr>
              <w:t>06-RFP</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Request for Proposal and related correspondence (moved from 02-SHARED/​05-DOCUMENTS).</w:t>
            </w:r>
          </w:p>
        </w:tc>
      </w:tr>
      <w:tr>
        <w:trPr>
          <w:cantSplit/>
        </w:trPr>
        <w:tc>
          <w:tcPr>
            <w:tcW w:type="dxa" w:w="2601"/>
          </w:tcPr>
          <w:p>
            <w:r>
              <w:rPr>
                <w:sz w:val="17"/>
              </w:rPr>
            </w:r>
            <w:r>
              <w:rPr>
                <w:sz w:val="17"/>
              </w:rPr>
              <w:t>07-SCOPE-ANALYSIS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Scope breakdowns and clarifications (moved from 02-SHARED/​05-DOCUMENTS).</w:t>
            </w:r>
          </w:p>
        </w:tc>
      </w:tr>
      <w:tr>
        <w:trPr>
          <w:cantSplit/>
        </w:trPr>
        <w:tc>
          <w:tcPr>
            <w:tcW w:type="dxa" w:w="2601"/>
          </w:tcPr>
          <w:p>
            <w:r>
              <w:rPr>
                <w:sz w:val="17"/>
              </w:rPr>
            </w:r>
            <w:r>
              <w:rPr>
                <w:sz w:val="17"/>
              </w:rPr>
              <w:t>02-REG</w:t>
            </w:r>
          </w:p>
        </w:tc>
        <w:tc>
          <w:tcPr>
            <w:tcW w:type="dxa" w:w="943"/>
          </w:tcPr>
          <w:p>
            <w:r>
              <w:rPr>
                <w:sz w:val="17"/>
              </w:rPr>
            </w:r>
            <w:r>
              <w:rPr>
                <w:sz w:val="17"/>
              </w:rPr>
              <w:t>1</w:t>
            </w:r>
          </w:p>
        </w:tc>
        <w:tc>
          <w:tcPr>
            <w:tcW w:type="dxa" w:w="1667"/>
          </w:tcPr>
          <w:p>
            <w:r>
              <w:rPr>
                <w:sz w:val="17"/>
              </w:rPr>
            </w:r>
            <w:r>
              <w:rPr>
                <w:sz w:val="17"/>
              </w:rPr>
              <w:t>Core team</w:t>
            </w:r>
          </w:p>
        </w:tc>
        <w:tc>
          <w:tcPr>
            <w:tcW w:type="dxa" w:w="5255"/>
          </w:tcPr>
          <w:p>
            <w:r>
              <w:rPr>
                <w:sz w:val="17"/>
              </w:rPr>
            </w:r>
            <w:r>
              <w:rPr>
                <w:sz w:val="17"/>
              </w:rPr>
              <w:t>Regulatory materials and records.</w:t>
            </w:r>
          </w:p>
        </w:tc>
      </w:tr>
      <w:tr>
        <w:trPr>
          <w:cantSplit/>
        </w:trPr>
        <w:tc>
          <w:tcPr>
            <w:tcW w:type="dxa" w:w="2601"/>
          </w:tcPr>
          <w:p>
            <w:r>
              <w:rPr>
                <w:sz w:val="17"/>
              </w:rPr>
            </w:r>
            <w:r>
              <w:rPr>
                <w:sz w:val="17"/>
              </w:rPr>
              <w:t>00-PERMITS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Permit applications and approvals.</w:t>
            </w:r>
          </w:p>
        </w:tc>
      </w:tr>
      <w:tr>
        <w:trPr>
          <w:cantSplit/>
        </w:trPr>
        <w:tc>
          <w:tcPr>
            <w:tcW w:type="dxa" w:w="2601"/>
          </w:tcPr>
          <w:p>
            <w:r>
              <w:rPr>
                <w:sz w:val="17"/>
              </w:rPr>
            </w:r>
            <w:r>
              <w:rPr>
                <w:sz w:val="17"/>
              </w:rPr>
              <w:t>00-APPLICATIONS</w:t>
            </w:r>
          </w:p>
        </w:tc>
        <w:tc>
          <w:tcPr>
            <w:tcW w:type="dxa" w:w="943"/>
          </w:tcPr>
          <w:p>
            <w:r>
              <w:rPr>
                <w:sz w:val="17"/>
              </w:rPr>
            </w:r>
            <w:r>
              <w:rPr>
                <w:sz w:val="17"/>
              </w:rPr>
              <w:t>3</w:t>
            </w:r>
          </w:p>
        </w:tc>
        <w:tc>
          <w:tcPr>
            <w:tcW w:type="dxa" w:w="1667"/>
          </w:tcPr>
          <w:p>
            <w:r>
              <w:rPr>
                <w:sz w:val="17"/>
              </w:rPr>
            </w:r>
            <w:r>
              <w:rPr>
                <w:sz w:val="17"/>
              </w:rPr>
              <w:t>Core team</w:t>
            </w:r>
          </w:p>
        </w:tc>
        <w:tc>
          <w:tcPr>
            <w:tcW w:type="dxa" w:w="5255"/>
          </w:tcPr>
          <w:p>
            <w:r>
              <w:rPr>
                <w:sz w:val="17"/>
              </w:rPr>
            </w:r>
            <w:r>
              <w:rPr>
                <w:sz w:val="17"/>
              </w:rPr>
              <w:t>Permit applications, receipts and approvals.</w:t>
            </w:r>
          </w:p>
        </w:tc>
      </w:tr>
      <w:tr>
        <w:trPr>
          <w:cantSplit/>
        </w:trPr>
        <w:tc>
          <w:tcPr>
            <w:tcW w:type="dxa" w:w="2601"/>
          </w:tcPr>
          <w:p>
            <w:r>
              <w:rPr>
                <w:sz w:val="17"/>
              </w:rPr>
            </w:r>
            <w:r>
              <w:rPr>
                <w:sz w:val="17"/>
              </w:rPr>
              <w:t>01-BIM-SUBMISSIONS</w:t>
            </w:r>
          </w:p>
        </w:tc>
        <w:tc>
          <w:tcPr>
            <w:tcW w:type="dxa" w:w="943"/>
          </w:tcPr>
          <w:p>
            <w:r>
              <w:rPr>
                <w:sz w:val="17"/>
              </w:rPr>
            </w:r>
            <w:r>
              <w:rPr>
                <w:sz w:val="17"/>
              </w:rPr>
              <w:t>3</w:t>
            </w:r>
          </w:p>
        </w:tc>
        <w:tc>
          <w:tcPr>
            <w:tcW w:type="dxa" w:w="1667"/>
          </w:tcPr>
          <w:p>
            <w:r>
              <w:rPr>
                <w:sz w:val="17"/>
              </w:rPr>
            </w:r>
            <w:r>
              <w:rPr>
                <w:sz w:val="17"/>
              </w:rPr>
              <w:t>Core team</w:t>
            </w:r>
          </w:p>
        </w:tc>
        <w:tc>
          <w:tcPr>
            <w:tcW w:type="dxa" w:w="5255"/>
          </w:tcPr>
          <w:p>
            <w:r>
              <w:rPr>
                <w:sz w:val="17"/>
              </w:rPr>
            </w:r>
            <w:r>
              <w:rPr>
                <w:sz w:val="17"/>
              </w:rPr>
              <w:t>Authority BIM submissions, validation results, portal receipts and comments (11.4).</w:t>
            </w:r>
          </w:p>
        </w:tc>
      </w:tr>
      <w:tr>
        <w:trPr>
          <w:cantSplit/>
        </w:trPr>
        <w:tc>
          <w:tcPr>
            <w:tcW w:type="dxa" w:w="2601"/>
          </w:tcPr>
          <w:p>
            <w:r>
              <w:rPr>
                <w:sz w:val="17"/>
              </w:rPr>
            </w:r>
            <w:r>
              <w:rPr>
                <w:sz w:val="17"/>
              </w:rPr>
              <w:t>01-RISK</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Risk registers and assessments.</w:t>
            </w:r>
          </w:p>
        </w:tc>
      </w:tr>
      <w:tr>
        <w:trPr>
          <w:cantSplit/>
        </w:trPr>
        <w:tc>
          <w:tcPr>
            <w:tcW w:type="dxa" w:w="2601"/>
          </w:tcPr>
          <w:p>
            <w:r>
              <w:rPr>
                <w:sz w:val="17"/>
              </w:rPr>
            </w:r>
            <w:r>
              <w:rPr>
                <w:sz w:val="17"/>
              </w:rPr>
              <w:t>02-PROCEDURES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Regulatory procedures and SOPs.</w:t>
            </w:r>
          </w:p>
        </w:tc>
      </w:tr>
      <w:tr>
        <w:trPr>
          <w:cantSplit/>
        </w:trPr>
        <w:tc>
          <w:tcPr>
            <w:tcW w:type="dxa" w:w="2601"/>
          </w:tcPr>
          <w:p>
            <w:r>
              <w:rPr>
                <w:sz w:val="17"/>
              </w:rPr>
            </w:r>
            <w:r>
              <w:rPr>
                <w:sz w:val="17"/>
              </w:rPr>
              <w:t>03-REQUESTS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RFIs and formal requests.</w:t>
            </w:r>
          </w:p>
        </w:tc>
      </w:tr>
      <w:tr>
        <w:trPr>
          <w:cantSplit/>
        </w:trPr>
        <w:tc>
          <w:tcPr>
            <w:tcW w:type="dxa" w:w="2601"/>
          </w:tcPr>
          <w:p>
            <w:r>
              <w:rPr>
                <w:sz w:val="17"/>
              </w:rPr>
            </w:r>
            <w:r>
              <w:rPr>
                <w:sz w:val="17"/>
              </w:rPr>
              <w:t>04-SITE-ARCHIVE</w:t>
            </w:r>
          </w:p>
        </w:tc>
        <w:tc>
          <w:tcPr>
            <w:tcW w:type="dxa" w:w="943"/>
          </w:tcPr>
          <w:p>
            <w:r>
              <w:rPr>
                <w:sz w:val="17"/>
              </w:rPr>
            </w:r>
            <w:r>
              <w:rPr>
                <w:sz w:val="17"/>
              </w:rPr>
              <w:t>2</w:t>
            </w:r>
          </w:p>
        </w:tc>
        <w:tc>
          <w:tcPr>
            <w:tcW w:type="dxa" w:w="1667"/>
          </w:tcPr>
          <w:p>
            <w:r>
              <w:rPr>
                <w:sz w:val="17"/>
              </w:rPr>
            </w:r>
            <w:r>
              <w:rPr>
                <w:sz w:val="17"/>
              </w:rPr>
              <w:t>Read-only</w:t>
            </w:r>
          </w:p>
        </w:tc>
        <w:tc>
          <w:tcPr>
            <w:tcW w:type="dxa" w:w="5255"/>
          </w:tcPr>
          <w:p>
            <w:r>
              <w:rPr>
                <w:sz w:val="17"/>
              </w:rPr>
            </w:r>
            <w:r>
              <w:rPr>
                <w:sz w:val="17"/>
              </w:rPr>
              <w:t>On-site archival materials.</w:t>
            </w:r>
          </w:p>
        </w:tc>
      </w:tr>
      <w:tr>
        <w:trPr>
          <w:cantSplit/>
        </w:trPr>
        <w:tc>
          <w:tcPr>
            <w:tcW w:type="dxa" w:w="2601"/>
          </w:tcPr>
          <w:p>
            <w:r>
              <w:rPr>
                <w:sz w:val="17"/>
              </w:rPr>
            </w:r>
            <w:r>
              <w:rPr>
                <w:sz w:val="17"/>
              </w:rPr>
              <w:t>05-MOMS</w:t>
            </w:r>
          </w:p>
        </w:tc>
        <w:tc>
          <w:tcPr>
            <w:tcW w:type="dxa" w:w="943"/>
          </w:tcPr>
          <w:p>
            <w:r>
              <w:rPr>
                <w:sz w:val="17"/>
              </w:rPr>
            </w:r>
            <w:r>
              <w:rPr>
                <w:sz w:val="17"/>
              </w:rPr>
              <w:t>2</w:t>
            </w:r>
          </w:p>
        </w:tc>
        <w:tc>
          <w:tcPr>
            <w:tcW w:type="dxa" w:w="1667"/>
          </w:tcPr>
          <w:p>
            <w:r>
              <w:rPr>
                <w:sz w:val="17"/>
              </w:rPr>
            </w:r>
            <w:r>
              <w:rPr>
                <w:sz w:val="17"/>
              </w:rPr>
              <w:t>All project teams</w:t>
            </w:r>
          </w:p>
        </w:tc>
        <w:tc>
          <w:tcPr>
            <w:tcW w:type="dxa" w:w="5255"/>
          </w:tcPr>
          <w:p>
            <w:r>
              <w:rPr>
                <w:sz w:val="17"/>
              </w:rPr>
            </w:r>
            <w:r>
              <w:rPr>
                <w:sz w:val="17"/>
              </w:rPr>
              <w:t>Minutes of meetings.</w:t>
            </w:r>
          </w:p>
        </w:tc>
      </w:tr>
      <w:tr>
        <w:trPr>
          <w:cantSplit/>
        </w:trPr>
        <w:tc>
          <w:tcPr>
            <w:tcW w:type="dxa" w:w="2601"/>
          </w:tcPr>
          <w:p>
            <w:r>
              <w:rPr>
                <w:sz w:val="17"/>
              </w:rPr>
            </w:r>
            <w:r>
              <w:rPr>
                <w:sz w:val="17"/>
              </w:rPr>
              <w:t>03-EI</w:t>
            </w:r>
          </w:p>
        </w:tc>
        <w:tc>
          <w:tcPr>
            <w:tcW w:type="dxa" w:w="943"/>
          </w:tcPr>
          <w:p>
            <w:r>
              <w:rPr>
                <w:sz w:val="17"/>
              </w:rPr>
            </w:r>
            <w:r>
              <w:rPr>
                <w:sz w:val="17"/>
              </w:rPr>
              <w:t>1</w:t>
            </w:r>
          </w:p>
        </w:tc>
        <w:tc>
          <w:tcPr>
            <w:tcW w:type="dxa" w:w="1667"/>
          </w:tcPr>
          <w:p>
            <w:r>
              <w:rPr>
                <w:sz w:val="17"/>
              </w:rPr>
            </w:r>
            <w:r>
              <w:rPr>
                <w:sz w:val="17"/>
              </w:rPr>
              <w:t>Core team</w:t>
            </w:r>
          </w:p>
        </w:tc>
        <w:tc>
          <w:tcPr>
            <w:tcW w:type="dxa" w:w="5255"/>
          </w:tcPr>
          <w:p>
            <w:r>
              <w:rPr>
                <w:sz w:val="17"/>
              </w:rPr>
            </w:r>
            <w:r>
              <w:rPr>
                <w:sz w:val="17"/>
              </w:rPr>
              <w:t>Engineering intelligence and analytics.</w:t>
            </w:r>
          </w:p>
        </w:tc>
      </w:tr>
      <w:tr>
        <w:trPr>
          <w:cantSplit/>
        </w:trPr>
        <w:tc>
          <w:tcPr>
            <w:tcW w:type="dxa" w:w="2601"/>
          </w:tcPr>
          <w:p>
            <w:r>
              <w:rPr>
                <w:sz w:val="17"/>
              </w:rPr>
            </w:r>
            <w:r>
              <w:rPr>
                <w:sz w:val="17"/>
              </w:rPr>
              <w:t>00-DASHBOARDS</w:t>
            </w:r>
          </w:p>
        </w:tc>
        <w:tc>
          <w:tcPr>
            <w:tcW w:type="dxa" w:w="943"/>
          </w:tcPr>
          <w:p>
            <w:r>
              <w:rPr>
                <w:sz w:val="17"/>
              </w:rPr>
            </w:r>
            <w:r>
              <w:rPr>
                <w:sz w:val="17"/>
              </w:rPr>
              <w:t>2</w:t>
            </w:r>
          </w:p>
        </w:tc>
        <w:tc>
          <w:tcPr>
            <w:tcW w:type="dxa" w:w="1667"/>
          </w:tcPr>
          <w:p>
            <w:r>
              <w:rPr>
                <w:sz w:val="17"/>
              </w:rPr>
            </w:r>
            <w:r>
              <w:rPr>
                <w:sz w:val="17"/>
              </w:rPr>
              <w:t>All project teams</w:t>
            </w:r>
          </w:p>
        </w:tc>
        <w:tc>
          <w:tcPr>
            <w:tcW w:type="dxa" w:w="5255"/>
          </w:tcPr>
          <w:p>
            <w:r>
              <w:rPr>
                <w:sz w:val="17"/>
              </w:rPr>
            </w:r>
            <w:r>
              <w:rPr>
                <w:sz w:val="17"/>
              </w:rPr>
              <w:t>Live dashboards and summaries.</w:t>
            </w:r>
          </w:p>
        </w:tc>
      </w:tr>
      <w:tr>
        <w:trPr>
          <w:cantSplit/>
        </w:trPr>
        <w:tc>
          <w:tcPr>
            <w:tcW w:type="dxa" w:w="2601"/>
          </w:tcPr>
          <w:p>
            <w:r>
              <w:rPr>
                <w:sz w:val="17"/>
              </w:rPr>
            </w:r>
            <w:r>
              <w:rPr>
                <w:sz w:val="17"/>
              </w:rPr>
              <w:t>01-ANALYTICS</w:t>
            </w:r>
          </w:p>
        </w:tc>
        <w:tc>
          <w:tcPr>
            <w:tcW w:type="dxa" w:w="943"/>
          </w:tcPr>
          <w:p>
            <w:r>
              <w:rPr>
                <w:sz w:val="17"/>
              </w:rPr>
            </w:r>
            <w:r>
              <w:rPr>
                <w:sz w:val="17"/>
              </w:rPr>
              <w:t>2</w:t>
            </w:r>
          </w:p>
        </w:tc>
        <w:tc>
          <w:tcPr>
            <w:tcW w:type="dxa" w:w="1667"/>
          </w:tcPr>
          <w:p>
            <w:r>
              <w:rPr>
                <w:sz w:val="17"/>
              </w:rPr>
            </w:r>
            <w:r>
              <w:rPr>
                <w:sz w:val="17"/>
              </w:rPr>
              <w:t>All project teams</w:t>
            </w:r>
          </w:p>
        </w:tc>
        <w:tc>
          <w:tcPr>
            <w:tcW w:type="dxa" w:w="5255"/>
          </w:tcPr>
          <w:p>
            <w:r>
              <w:rPr>
                <w:sz w:val="17"/>
              </w:rPr>
            </w:r>
            <w:r>
              <w:rPr>
                <w:sz w:val="17"/>
              </w:rPr>
              <w:t>Analytical outputs and datasets.</w:t>
            </w:r>
          </w:p>
        </w:tc>
      </w:tr>
      <w:tr>
        <w:trPr>
          <w:cantSplit/>
        </w:trPr>
        <w:tc>
          <w:tcPr>
            <w:tcW w:type="dxa" w:w="2601"/>
          </w:tcPr>
          <w:p>
            <w:r>
              <w:rPr>
                <w:sz w:val="17"/>
              </w:rPr>
            </w:r>
            <w:r>
              <w:rPr>
                <w:sz w:val="17"/>
              </w:rPr>
              <w:t>02-POTENTIALS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Opportunities and initiatives.</w:t>
            </w:r>
          </w:p>
        </w:tc>
      </w:tr>
      <w:tr>
        <w:trPr>
          <w:cantSplit/>
        </w:trPr>
        <w:tc>
          <w:tcPr>
            <w:tcW w:type="dxa" w:w="2601"/>
          </w:tcPr>
          <w:p>
            <w:r>
              <w:rPr>
                <w:sz w:val="17"/>
              </w:rPr>
            </w:r>
            <w:r>
              <w:rPr>
                <w:sz w:val="17"/>
              </w:rPr>
              <w:t>03-PRESENTATIONS</w:t>
            </w:r>
          </w:p>
        </w:tc>
        <w:tc>
          <w:tcPr>
            <w:tcW w:type="dxa" w:w="943"/>
          </w:tcPr>
          <w:p>
            <w:r>
              <w:rPr>
                <w:sz w:val="17"/>
              </w:rPr>
            </w:r>
            <w:r>
              <w:rPr>
                <w:sz w:val="17"/>
              </w:rPr>
              <w:t>2</w:t>
            </w:r>
          </w:p>
        </w:tc>
        <w:tc>
          <w:tcPr>
            <w:tcW w:type="dxa" w:w="1667"/>
          </w:tcPr>
          <w:p>
            <w:r>
              <w:rPr>
                <w:sz w:val="17"/>
              </w:rPr>
            </w:r>
            <w:r>
              <w:rPr>
                <w:sz w:val="17"/>
              </w:rPr>
              <w:t>All project teams</w:t>
            </w:r>
          </w:p>
        </w:tc>
        <w:tc>
          <w:tcPr>
            <w:tcW w:type="dxa" w:w="5255"/>
          </w:tcPr>
          <w:p>
            <w:r>
              <w:rPr>
                <w:sz w:val="17"/>
              </w:rPr>
            </w:r>
            <w:r>
              <w:rPr>
                <w:sz w:val="17"/>
              </w:rPr>
              <w:t>Presentation decks.</w:t>
            </w:r>
          </w:p>
        </w:tc>
      </w:tr>
      <w:tr>
        <w:trPr>
          <w:cantSplit/>
        </w:trPr>
        <w:tc>
          <w:tcPr>
            <w:tcW w:type="dxa" w:w="2601"/>
          </w:tcPr>
          <w:p>
            <w:r>
              <w:rPr>
                <w:sz w:val="17"/>
              </w:rPr>
            </w:r>
            <w:r>
              <w:rPr>
                <w:sz w:val="17"/>
              </w:rPr>
              <w:t>04-R-AND-D</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Research and development materials.</w:t>
            </w:r>
          </w:p>
        </w:tc>
      </w:tr>
      <w:tr>
        <w:trPr>
          <w:cantSplit/>
        </w:trPr>
        <w:tc>
          <w:tcPr>
            <w:tcW w:type="dxa" w:w="2601"/>
          </w:tcPr>
          <w:p>
            <w:r>
              <w:rPr>
                <w:sz w:val="17"/>
              </w:rPr>
            </w:r>
            <w:r>
              <w:rPr>
                <w:sz w:val="17"/>
              </w:rPr>
              <w:t>05-EXTRACTIONS</w:t>
            </w:r>
          </w:p>
        </w:tc>
        <w:tc>
          <w:tcPr>
            <w:tcW w:type="dxa" w:w="943"/>
          </w:tcPr>
          <w:p>
            <w:r>
              <w:rPr>
                <w:sz w:val="17"/>
              </w:rPr>
            </w:r>
            <w:r>
              <w:rPr>
                <w:sz w:val="17"/>
              </w:rPr>
              <w:t>2</w:t>
            </w:r>
          </w:p>
        </w:tc>
        <w:tc>
          <w:tcPr>
            <w:tcW w:type="dxa" w:w="1667"/>
          </w:tcPr>
          <w:p>
            <w:r>
              <w:rPr>
                <w:sz w:val="17"/>
              </w:rPr>
            </w:r>
            <w:r>
              <w:rPr>
                <w:sz w:val="17"/>
              </w:rPr>
              <w:t>All project teams</w:t>
            </w:r>
          </w:p>
        </w:tc>
        <w:tc>
          <w:tcPr>
            <w:tcW w:type="dxa" w:w="5255"/>
          </w:tcPr>
          <w:p>
            <w:r>
              <w:rPr>
                <w:sz w:val="17"/>
              </w:rPr>
            </w:r>
            <w:r>
              <w:rPr>
                <w:sz w:val="17"/>
              </w:rPr>
              <w:t>Data or drawing extractions.</w:t>
            </w:r>
          </w:p>
        </w:tc>
      </w:tr>
      <w:tr>
        <w:trPr>
          <w:cantSplit/>
        </w:trPr>
        <w:tc>
          <w:tcPr>
            <w:tcW w:type="dxa" w:w="2601"/>
          </w:tcPr>
          <w:p>
            <w:r>
              <w:rPr>
                <w:sz w:val="17"/>
              </w:rPr>
            </w:r>
            <w:r>
              <w:rPr>
                <w:sz w:val="17"/>
              </w:rPr>
              <w:t>04-DOCS</w:t>
            </w:r>
          </w:p>
        </w:tc>
        <w:tc>
          <w:tcPr>
            <w:tcW w:type="dxa" w:w="943"/>
          </w:tcPr>
          <w:p>
            <w:r>
              <w:rPr>
                <w:sz w:val="17"/>
              </w:rPr>
            </w:r>
            <w:r>
              <w:rPr>
                <w:sz w:val="17"/>
              </w:rPr>
              <w:t>1</w:t>
            </w:r>
          </w:p>
        </w:tc>
        <w:tc>
          <w:tcPr>
            <w:tcW w:type="dxa" w:w="1667"/>
          </w:tcPr>
          <w:p>
            <w:r>
              <w:rPr>
                <w:sz w:val="17"/>
              </w:rPr>
            </w:r>
            <w:r>
              <w:rPr>
                <w:sz w:val="17"/>
              </w:rPr>
              <w:t>Core team</w:t>
            </w:r>
          </w:p>
        </w:tc>
        <w:tc>
          <w:tcPr>
            <w:tcW w:type="dxa" w:w="5255"/>
          </w:tcPr>
          <w:p>
            <w:r>
              <w:rPr>
                <w:sz w:val="17"/>
              </w:rPr>
            </w:r>
            <w:r>
              <w:rPr>
                <w:sz w:val="17"/>
              </w:rPr>
              <w:t>Documents repository for strategies and profiles.</w:t>
            </w:r>
          </w:p>
        </w:tc>
      </w:tr>
      <w:tr>
        <w:trPr>
          <w:cantSplit/>
        </w:trPr>
        <w:tc>
          <w:tcPr>
            <w:tcW w:type="dxa" w:w="2601"/>
          </w:tcPr>
          <w:p>
            <w:r>
              <w:rPr>
                <w:sz w:val="17"/>
              </w:rPr>
            </w:r>
            <w:r>
              <w:rPr>
                <w:sz w:val="17"/>
              </w:rPr>
              <w:t>00-BOD</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Basis of Design documents.</w:t>
            </w:r>
          </w:p>
        </w:tc>
      </w:tr>
      <w:tr>
        <w:trPr>
          <w:cantSplit/>
        </w:trPr>
        <w:tc>
          <w:tcPr>
            <w:tcW w:type="dxa" w:w="2601"/>
          </w:tcPr>
          <w:p>
            <w:r>
              <w:rPr>
                <w:sz w:val="17"/>
              </w:rPr>
            </w:r>
            <w:r>
              <w:rPr>
                <w:sz w:val="17"/>
              </w:rPr>
              <w:t>01-STRATEGIES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Design and delivery strategies.</w:t>
            </w:r>
          </w:p>
        </w:tc>
      </w:tr>
      <w:tr>
        <w:trPr>
          <w:cantSplit/>
        </w:trPr>
        <w:tc>
          <w:tcPr>
            <w:tcW w:type="dxa" w:w="2601"/>
          </w:tcPr>
          <w:p>
            <w:r>
              <w:rPr>
                <w:sz w:val="17"/>
              </w:rPr>
            </w:r>
            <w:r>
              <w:rPr>
                <w:sz w:val="17"/>
              </w:rPr>
              <w:t>02-ANALYTICS</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Analyses and studies.</w:t>
            </w:r>
          </w:p>
        </w:tc>
      </w:tr>
      <w:tr>
        <w:trPr>
          <w:cantSplit/>
        </w:trPr>
        <w:tc>
          <w:tcPr>
            <w:tcW w:type="dxa" w:w="2601"/>
          </w:tcPr>
          <w:p>
            <w:r>
              <w:rPr>
                <w:sz w:val="17"/>
              </w:rPr>
            </w:r>
            <w:r>
              <w:rPr>
                <w:sz w:val="17"/>
              </w:rPr>
              <w:t>03-PROCUREMENT</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Procurement documents.</w:t>
            </w:r>
          </w:p>
        </w:tc>
      </w:tr>
      <w:tr>
        <w:trPr>
          <w:cantSplit/>
        </w:trPr>
        <w:tc>
          <w:tcPr>
            <w:tcW w:type="dxa" w:w="2601"/>
          </w:tcPr>
          <w:p>
            <w:r>
              <w:rPr>
                <w:sz w:val="17"/>
              </w:rPr>
            </w:r>
            <w:r>
              <w:rPr>
                <w:sz w:val="17"/>
              </w:rPr>
              <w:t>04-CLIENT-PROFILE</w:t>
            </w:r>
          </w:p>
        </w:tc>
        <w:tc>
          <w:tcPr>
            <w:tcW w:type="dxa" w:w="943"/>
          </w:tcPr>
          <w:p>
            <w:r>
              <w:rPr>
                <w:sz w:val="17"/>
              </w:rPr>
            </w:r>
            <w:r>
              <w:rPr>
                <w:sz w:val="17"/>
              </w:rPr>
              <w:t>2</w:t>
            </w:r>
          </w:p>
        </w:tc>
        <w:tc>
          <w:tcPr>
            <w:tcW w:type="dxa" w:w="1667"/>
          </w:tcPr>
          <w:p>
            <w:r>
              <w:rPr>
                <w:sz w:val="17"/>
              </w:rPr>
            </w:r>
            <w:r>
              <w:rPr>
                <w:sz w:val="17"/>
              </w:rPr>
              <w:t>Core team</w:t>
            </w:r>
          </w:p>
        </w:tc>
        <w:tc>
          <w:tcPr>
            <w:tcW w:type="dxa" w:w="5255"/>
          </w:tcPr>
          <w:p>
            <w:r>
              <w:rPr>
                <w:sz w:val="17"/>
              </w:rPr>
            </w:r>
            <w:r>
              <w:rPr>
                <w:sz w:val="17"/>
              </w:rPr>
              <w:t>Client background and preferences.</w:t>
            </w:r>
          </w:p>
        </w:tc>
      </w:tr>
      <w:tr>
        <w:trPr>
          <w:cantSplit/>
        </w:trPr>
        <w:tc>
          <w:tcPr>
            <w:tcW w:type="dxa" w:w="2601"/>
          </w:tcPr>
          <w:p>
            <w:r>
              <w:rPr>
                <w:sz w:val="17"/>
              </w:rPr>
            </w:r>
            <w:r>
              <w:rPr>
                <w:sz w:val="17"/>
              </w:rPr>
              <w:t>05 (retired)</w:t>
            </w:r>
          </w:p>
        </w:tc>
        <w:tc>
          <w:tcPr>
            <w:tcW w:type="dxa" w:w="943"/>
          </w:tcPr>
          <w:p>
            <w:r>
              <w:rPr>
                <w:sz w:val="17"/>
              </w:rPr>
            </w:r>
            <w:r>
              <w:rPr>
                <w:sz w:val="17"/>
              </w:rPr>
              <w:t>2</w:t>
            </w:r>
          </w:p>
        </w:tc>
        <w:tc>
          <w:tcPr>
            <w:tcW w:type="dxa" w:w="1667"/>
          </w:tcPr>
          <w:p>
            <w:r>
              <w:rPr>
                <w:sz w:val="17"/>
              </w:rPr>
            </w:r>
            <w:r>
              <w:rPr>
                <w:sz w:val="17"/>
              </w:rPr>
              <w:t>—</w:t>
            </w:r>
          </w:p>
        </w:tc>
        <w:tc>
          <w:tcPr>
            <w:tcW w:type="dxa" w:w="5255"/>
          </w:tcPr>
          <w:p>
            <w:r>
              <w:rPr>
                <w:sz w:val="17"/>
              </w:rPr>
            </w:r>
            <w:r>
              <w:rPr>
                <w:sz w:val="17"/>
              </w:rPr>
              <w:t>Merged into 01-STRATEGIES; number not reused (O-DEC-124).</w:t>
            </w:r>
          </w:p>
        </w:tc>
      </w:tr>
    </w:tbl>
    <w:p/>
    <w:p>
      <w:pPr/>
      <w:r>
        <w:t>Rule: Access level = default role. Any exception must be listed in a README with owner and expiry date.</w:t>
      </w:r>
    </w:p>
    <w:p>
      <w:pPr/>
      <w:r>
        <w:t>Notes</w:t>
      </w:r>
    </w:p>
    <w:p>
      <w:pPr/>
      <w:r>
        <w:t>File names must follow the project naming standard. See 12.3 Naming and metadata.</w:t>
      </w:r>
    </w:p>
    <w:p>
      <w:pPr/>
      <w:r>
        <w:t>If a model exceeds size or scope, split by floor, zone, or system. Record the rule in Model Notes (3.3).</w:t>
      </w:r>
    </w:p>
    <w:p>
      <w:pPr/>
      <w:r>
        <w:t>Keep analytical, coordination, and documentation models distinct when required, and document links in 2.3 evidence.</w:t>
      </w:r>
    </w:p>
    <w:p>
      <w:pPr/>
      <w:r>
        <w:t>Acceptance for 12.1</w:t>
      </w:r>
    </w:p>
    <w:p>
      <w:pPr/>
      <w:r>
        <w:t>The CDE root mirrors the exact tree above.</w:t>
      </w:r>
    </w:p>
    <w:p>
      <w:pPr/>
      <w:r>
        <w:t>Every folder name passes the naming fast checks above.</w:t>
      </w:r>
    </w:p>
    <w:p>
      <w:pPr/>
      <w:r>
        <w:t>Issue packs use a YYYY-MM-DD-DESCRIPTION folder under the stage folder of 03-PUBLISHED.</w:t>
      </w:r>
    </w:p>
    <w:p>
      <w:pPr/>
      <w:r>
        <w:t>Do not add new top-level folders without updating this manual.</w:t>
      </w:r>
    </w:p>
    <w:p>
      <w:pPr/>
      <w:r>
        <w:t>Acceptance for 12.1 updates</w:t>
      </w:r>
    </w:p>
    <w:p>
      <w:pPr/>
      <w:r>
        <w:t>Any change to the office tree (top-level groups or their immediate children, data types or discipline folders) is an office standard change: proposed by the BIM Manager and approved by the office director (O-DEC-012). Project-specific access exceptions are approved by the Information Manager and LAP through the README below.</w:t>
      </w:r>
    </w:p>
    <w:p>
      <w:pPr/>
      <w:r>
        <w:t>Evidence of approval and rationale must be logged in the local change log below and mirrored in 1.1 Revision History.</w:t>
      </w:r>
    </w:p>
    <w:p>
      <w:pPr/>
      <w:r>
        <w:t>The permissions schedule must mirror the tree with zero drift.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47"/>
        <w:gridCol w:w="2114"/>
        <w:gridCol w:w="2385"/>
        <w:gridCol w:w="2015"/>
        <w:gridCol w:w="2105"/>
      </w:tblGrid>
      <w:tr>
        <w:trPr>
          <w:cantSplit/>
          <w:tblHeader/>
        </w:trPr>
        <w:tc>
          <w:tcPr>
            <w:tcW w:type="dxa" w:w="1847"/>
            <w:shd w:val="clear" w:color="auto" w:fill="111113"/>
          </w:tcPr>
          <w:p>
            <w:r>
              <w:rPr>
                <w:b/>
                <w:color w:val="FFFFFF"/>
                <w:sz w:val="17"/>
              </w:rPr>
            </w:r>
            <w:r>
              <w:rPr>
                <w:b/>
                <w:color w:val="FFFFFF"/>
                <w:sz w:val="17"/>
              </w:rPr>
              <w:t>Date</w:t>
            </w:r>
          </w:p>
        </w:tc>
        <w:tc>
          <w:tcPr>
            <w:tcW w:type="dxa" w:w="2114"/>
            <w:shd w:val="clear" w:color="auto" w:fill="111113"/>
          </w:tcPr>
          <w:p>
            <w:r>
              <w:rPr>
                <w:b/>
                <w:color w:val="FFFFFF"/>
                <w:sz w:val="17"/>
              </w:rPr>
            </w:r>
            <w:r>
              <w:rPr>
                <w:b/>
                <w:color w:val="FFFFFF"/>
                <w:sz w:val="17"/>
              </w:rPr>
              <w:t>Change</w:t>
            </w:r>
          </w:p>
        </w:tc>
        <w:tc>
          <w:tcPr>
            <w:tcW w:type="dxa" w:w="2385"/>
            <w:shd w:val="clear" w:color="auto" w:fill="111113"/>
          </w:tcPr>
          <w:p>
            <w:r>
              <w:rPr>
                <w:b/>
                <w:color w:val="FFFFFF"/>
                <w:sz w:val="17"/>
              </w:rPr>
            </w:r>
            <w:r>
              <w:rPr>
                <w:b/>
                <w:color w:val="FFFFFF"/>
                <w:sz w:val="17"/>
              </w:rPr>
              <w:t>Section/​ID</w:t>
            </w:r>
          </w:p>
        </w:tc>
        <w:tc>
          <w:tcPr>
            <w:tcW w:type="dxa" w:w="2015"/>
            <w:shd w:val="clear" w:color="auto" w:fill="111113"/>
          </w:tcPr>
          <w:p>
            <w:r>
              <w:rPr>
                <w:b/>
                <w:color w:val="FFFFFF"/>
                <w:sz w:val="17"/>
              </w:rPr>
            </w:r>
            <w:r>
              <w:rPr>
                <w:b/>
                <w:color w:val="FFFFFF"/>
                <w:sz w:val="17"/>
              </w:rPr>
              <w:t>Owner</w:t>
            </w:r>
          </w:p>
        </w:tc>
        <w:tc>
          <w:tcPr>
            <w:tcW w:type="dxa" w:w="2105"/>
            <w:shd w:val="clear" w:color="auto" w:fill="111113"/>
          </w:tcPr>
          <w:p>
            <w:r>
              <w:rPr>
                <w:b/>
                <w:color w:val="FFFFFF"/>
                <w:sz w:val="17"/>
              </w:rPr>
            </w:r>
            <w:r>
              <w:rPr>
                <w:b/>
                <w:color w:val="FFFFFF"/>
                <w:sz w:val="17"/>
              </w:rPr>
              <w:t>Reason</w:t>
            </w:r>
          </w:p>
        </w:tc>
      </w:tr>
      <w:tr>
        <w:trPr>
          <w:cantSplit/>
        </w:trPr>
        <w:tc>
          <w:tcPr>
            <w:tcW w:type="dxa" w:w="1847"/>
          </w:tcPr>
          <w:p>
            <w:r>
              <w:rPr>
                <w:sz w:val="17"/>
              </w:rPr>
            </w:r>
          </w:p>
        </w:tc>
        <w:tc>
          <w:tcPr>
            <w:tcW w:type="dxa" w:w="2114"/>
          </w:tcPr>
          <w:p>
            <w:r>
              <w:rPr>
                <w:sz w:val="17"/>
              </w:rPr>
            </w:r>
          </w:p>
        </w:tc>
        <w:tc>
          <w:tcPr>
            <w:tcW w:type="dxa" w:w="2385"/>
          </w:tcPr>
          <w:p>
            <w:r>
              <w:rPr>
                <w:sz w:val="17"/>
              </w:rPr>
            </w:r>
          </w:p>
        </w:tc>
        <w:tc>
          <w:tcPr>
            <w:tcW w:type="dxa" w:w="2015"/>
          </w:tcPr>
          <w:p>
            <w:r>
              <w:rPr>
                <w:sz w:val="17"/>
              </w:rPr>
            </w:r>
          </w:p>
        </w:tc>
        <w:tc>
          <w:tcPr>
            <w:tcW w:type="dxa" w:w="2105"/>
          </w:tcPr>
          <w:p>
            <w:r>
              <w:rPr>
                <w:sz w:val="17"/>
              </w:rPr>
            </w:r>
          </w:p>
        </w:tc>
      </w:tr>
      <w:tr>
        <w:trPr>
          <w:cantSplit/>
        </w:trPr>
        <w:tc>
          <w:tcPr>
            <w:tcW w:type="dxa" w:w="1847"/>
          </w:tcPr>
          <w:p>
            <w:r>
              <w:rPr>
                <w:sz w:val="17"/>
              </w:rPr>
            </w:r>
          </w:p>
        </w:tc>
        <w:tc>
          <w:tcPr>
            <w:tcW w:type="dxa" w:w="2114"/>
          </w:tcPr>
          <w:p>
            <w:r>
              <w:rPr>
                <w:sz w:val="17"/>
              </w:rPr>
            </w:r>
          </w:p>
        </w:tc>
        <w:tc>
          <w:tcPr>
            <w:tcW w:type="dxa" w:w="2385"/>
          </w:tcPr>
          <w:p>
            <w:r>
              <w:rPr>
                <w:sz w:val="17"/>
              </w:rPr>
            </w:r>
          </w:p>
        </w:tc>
        <w:tc>
          <w:tcPr>
            <w:tcW w:type="dxa" w:w="2015"/>
          </w:tcPr>
          <w:p>
            <w:r>
              <w:rPr>
                <w:sz w:val="17"/>
              </w:rPr>
            </w:r>
          </w:p>
        </w:tc>
        <w:tc>
          <w:tcPr>
            <w:tcW w:type="dxa" w:w="2105"/>
          </w:tcPr>
          <w:p>
            <w:r>
              <w:rPr>
                <w:sz w:val="17"/>
              </w:rPr>
            </w:r>
          </w:p>
        </w:tc>
      </w:tr>
      <w:tr>
        <w:trPr>
          <w:cantSplit/>
        </w:trPr>
        <w:tc>
          <w:tcPr>
            <w:tcW w:type="dxa" w:w="1847"/>
          </w:tcPr>
          <w:p>
            <w:r>
              <w:rPr>
                <w:sz w:val="17"/>
              </w:rPr>
            </w:r>
          </w:p>
        </w:tc>
        <w:tc>
          <w:tcPr>
            <w:tcW w:type="dxa" w:w="2114"/>
          </w:tcPr>
          <w:p>
            <w:r>
              <w:rPr>
                <w:sz w:val="17"/>
              </w:rPr>
            </w:r>
          </w:p>
        </w:tc>
        <w:tc>
          <w:tcPr>
            <w:tcW w:type="dxa" w:w="2385"/>
          </w:tcPr>
          <w:p>
            <w:r>
              <w:rPr>
                <w:sz w:val="17"/>
              </w:rPr>
            </w:r>
          </w:p>
        </w:tc>
        <w:tc>
          <w:tcPr>
            <w:tcW w:type="dxa" w:w="2015"/>
          </w:tcPr>
          <w:p>
            <w:r>
              <w:rPr>
                <w:sz w:val="17"/>
              </w:rPr>
            </w:r>
          </w:p>
        </w:tc>
        <w:tc>
          <w:tcPr>
            <w:tcW w:type="dxa" w:w="2105"/>
          </w:tcPr>
          <w:p>
            <w:r>
              <w:rPr>
                <w:sz w:val="17"/>
              </w:rPr>
            </w:r>
          </w:p>
        </w:tc>
      </w:tr>
    </w:tbl>
    <w:p/>
    <w:p>
      <w:pPr/>
      <w:r>
        <w:t>Interlocks and guardrails</w:t>
      </w:r>
    </w:p>
    <w:p>
      <w:pPr/>
      <w:r>
        <w:t>Interlocks</w:t>
      </w:r>
    </w:p>
    <w:p>
      <w:pPr/>
      <w:r>
        <w:t>Permissions: Align changes in 2.4 with 12.1 (Folder structure and permissions). No access changes without README + sign-off.</w:t>
      </w:r>
    </w:p>
    <w:p>
      <w:pPr/>
      <w:r>
        <w:t>Naming: All folder and file names must validate against 12.1 A) and 12.3 (Naming and metadata) before issue.</w:t>
      </w:r>
    </w:p>
    <w:p>
      <w:pPr/>
      <w:r>
        <w:t>Evidence: Pre-gate evidence packs in 2.3 must reference the exact 12.1 paths used at issue.</w:t>
      </w:r>
    </w:p>
    <w:p>
      <w:pPr/>
      <w:r>
        <w:t>Do not create (by area)</w:t>
      </w:r>
    </w:p>
    <w:p>
      <w:pPr/>
      <w:r>
        <w:t>SHARED: No personal drafts, temporary zips, or raw tool exports.</w:t>
      </w:r>
    </w:p>
    <w:p>
      <w:pPr/>
      <w:r>
        <w:t>PUBLISHED: No analytical scratch files, no partial or empty subfolders, no files without approved container metadata.</w:t>
      </w:r>
    </w:p>
    <w:p>
      <w:pPr/>
      <w:r>
        <w:t>ADMIN/REG/DOCS: No WIP models or federations. Documents only.</w:t>
      </w:r>
    </w:p>
    <w:p>
      <w:pPr/>
      <w:r>
        <w:t>EI: No formal submittals. Place formal outputs in PUBLISHED only.</w:t>
      </w:r>
    </w:p>
    <w:p>
      <w:pPr/>
      <w:r>
        <w:t>ARCHIVE: Read-only. No edits; add new items via approved archiving action only.</w:t>
      </w:r>
    </w:p>
    <w:p>
      <w:pPr/>
      <w:r>
        <w:t>D) Label conventions and access-exception README</w:t>
      </w:r>
    </w:p>
    <w:p>
      <w:pPr/>
      <w:r>
        <w:t>Label conventions</w:t>
      </w:r>
    </w:p>
    <w:p>
      <w:pPr/>
      <w:r>
        <w:t>All folders, at every level, use NN-NAME as set in A); issue pack folders use YYYY-MM-DD-DESCRIPTION.</w:t>
      </w:r>
    </w:p>
    <w:p>
      <w:pPr/>
      <w:r>
        <w:t>Hyphens join words: SITE-SUPERVISION, CLIENT-PROFILE, TTB-AND-COVER.</w:t>
      </w:r>
    </w:p>
    <w:p>
      <w:pPr/>
      <w:r>
        <w:t>Access exceptions README</w:t>
      </w:r>
    </w:p>
    <w:p>
      <w:pPr/>
      <w:r>
        <w:t>Title line: README — Access Exception</w:t>
      </w:r>
    </w:p>
    <w:p>
      <w:pPr/>
      <w:r>
        <w:t>Exception: &lt;describe the exception precisely&gt;</w:t>
      </w:r>
    </w:p>
    <w:p>
      <w:pPr/>
      <w:r>
        <w:t>Owner: &lt;name or role&gt;</w:t>
      </w:r>
    </w:p>
    <w:p>
      <w:pPr/>
      <w:r>
        <w:t>Rationale: &lt;why the exception is required&gt;</w:t>
      </w:r>
    </w:p>
    <w:p>
      <w:pPr/>
      <w:r>
        <w:t>Effective date: YYYY-MM-DD</w:t>
      </w:r>
    </w:p>
    <w:p>
      <w:pPr/>
      <w:r>
        <w:t>Expiry date: YYYY-MM-DD</w:t>
      </w:r>
    </w:p>
    <w:p>
      <w:pPr/>
      <w:r>
        <w:t>Approved by: Information Manager, LAP</w:t>
      </w:r>
    </w:p>
    <w:p>
      <w:pPr/>
      <w:r>
        <w:t>Review cadence: Per gate</w:t>
      </w:r>
    </w:p>
    <w:p>
      <w:pPr/>
      <w:r>
        <w:t>Scope:</w:t>
      </w:r>
    </w:p>
    <w:p>
      <w:pPr>
        <w:pStyle w:val="ListParagraph"/>
        <w:spacing w:after="40"/>
        <w:ind w:left="360" w:hanging="240"/>
      </w:pPr>
      <w:r>
        <w:t xml:space="preserve">•  </w:t>
      </w:r>
      <w:r>
        <w:t>Affected group/folder: &lt;e.g., 00-PIM/02-SHARED/05-DOCUMENTS&gt;</w:t>
      </w:r>
    </w:p>
    <w:p>
      <w:pPr>
        <w:pStyle w:val="ListParagraph"/>
        <w:spacing w:after="40"/>
        <w:ind w:left="360" w:hanging="240"/>
      </w:pPr>
      <w:r>
        <w:t xml:space="preserve">•  </w:t>
      </w:r>
      <w:r>
        <w:t>Affected teams/users: &lt;list&gt;</w:t>
      </w:r>
    </w:p>
    <w:p>
      <w:pPr>
        <w:pStyle w:val="ListParagraph"/>
        <w:spacing w:after="40"/>
        <w:ind w:left="360" w:hanging="240"/>
      </w:pPr>
      <w:r>
        <w:t xml:space="preserve">•  </w:t>
      </w:r>
      <w:r>
        <w:t>Permissions delta: &lt;from → to&gt;</w:t>
      </w:r>
    </w:p>
    <w:p>
      <w:pPr/>
      <w:r>
        <w:t>Notes:</w:t>
      </w:r>
    </w:p>
    <w:p>
      <w:pPr>
        <w:pStyle w:val="ListParagraph"/>
        <w:spacing w:after="40"/>
        <w:ind w:left="360" w:hanging="240"/>
      </w:pPr>
      <w:r>
        <w:t xml:space="preserve">•  </w:t>
      </w:r>
      <w:r>
        <w:t>On expiry, remove the exception and restore default access.</w:t>
      </w:r>
    </w:p>
    <w:p>
      <w:pPr>
        <w:pStyle w:val="ListParagraph"/>
        <w:spacing w:after="40"/>
        <w:ind w:left="360" w:hanging="240"/>
      </w:pPr>
      <w:r>
        <w:t xml:space="preserve">•  </w:t>
      </w:r>
      <w:r>
        <w:t>Archive this README in 04-ARCHIVE when the exception is closed.</w:t>
      </w:r>
    </w:p>
    <w:p>
      <w:pPr/>
      <w:r>
        <w:t>Location: Place a README in each top-level group and any folder with exceptions</w:t>
      </w:r>
    </w:p>
    <w:p>
      <w:pPr/>
      <w:r>
        <w:t>Filename: README.md</w:t>
      </w:r>
    </w:p>
    <w:p>
      <w:pPr/>
      <w:r>
        <w:t>Fields: Exception, Owner, Rationale, Effective date, Expiry date, Approved by</w:t>
      </w:r>
    </w:p>
    <w:p>
      <w:pPr>
        <w:pStyle w:val="Heading2"/>
      </w:pPr>
      <w:r>
        <w:t>12.2 VERSIONING AND TRANSMITTALS</w:t>
      </w:r>
    </w:p>
    <w:p>
      <w:pPr/>
      <w:r>
        <w:t>Spec — 12.2 Versioning and Transmittals</w:t>
      </w:r>
    </w:p>
    <w:p>
      <w:pPr/>
      <w:r>
        <w:t>Purpose</w:t>
      </w:r>
    </w:p>
    <w:p>
      <w:pPr/>
      <w:r>
        <w:t>Provide consistent rules for version control of models, drawings, schedules, and data, and a standard process to package and send formal issues.</w:t>
      </w:r>
    </w:p>
    <w:p>
      <w:pPr/>
      <w:r>
        <w:t>Versioning model</w:t>
      </w:r>
    </w:p>
    <w:p>
      <w:pPr/>
      <w:r>
        <w:t>Working versions</w:t>
      </w:r>
    </w:p>
    <w:p>
      <w:pPr/>
      <w:r>
        <w:t>File naming does not include ad-hoc version suffixes in WIP. Version is tracked by the CDE history and the Project Log</w:t>
      </w:r>
    </w:p>
    <w:p>
      <w:pPr/>
      <w:r>
        <w:t>Optional local working tokens allowed only in WIP: -draft, -work. Must be removed before moving to SHARED or PUBLISHED</w:t>
      </w:r>
    </w:p>
    <w:p>
      <w:pPr/>
      <w:r>
        <w:t>Shared versions</w:t>
      </w:r>
    </w:p>
    <w:p>
      <w:pPr/>
      <w:r>
        <w:t>SHARED is for approved-to-share information. No personal tokens. Names must pass 12.3 checks</w:t>
      </w:r>
    </w:p>
    <w:p>
      <w:pPr/>
      <w:r>
        <w:t>Updates to SHARED require a short change note in 00-PROJECT-LOG and, when relevant, links to affected items</w:t>
      </w:r>
    </w:p>
    <w:p>
      <w:pPr/>
      <w:r>
        <w:t>Published issues (formal packs)</w:t>
      </w:r>
    </w:p>
    <w:p>
      <w:pPr/>
      <w:r>
        <w:t>Use dated folder “YYYY-MM-DD-DESCRIPTION” in the stage folder of 03-PUBLISHED (12.1)</w:t>
      </w:r>
    </w:p>
    <w:p>
      <w:pPr/>
      <w:r>
        <w:t>Rnn increases per changed container and is never recycled; unchanged containers keep their revision; the pack manifest lists each container's actual revision (3.1, 7.3; O-DEC-113)</w:t>
      </w:r>
    </w:p>
    <w:p>
      <w:pPr/>
      <w:r>
        <w:t>Never overwrite or rename an issued pack. Supersede with a new dated folder</w:t>
      </w:r>
    </w:p>
    <w:p>
      <w:pPr/>
      <w:r>
        <w:t>File- and sheet-level revision rules</w:t>
      </w:r>
    </w:p>
    <w:p>
      <w:pPr/>
      <w:r>
        <w:t>Sheets: Rnn per sheet, matching the sheet index and the pack manifest</w:t>
      </w:r>
    </w:p>
    <w:p>
      <w:pPr/>
      <w:r>
        <w:t>Models: Do not embed ad-hoc text revisions in model filenames. Revision is captured by issue pack metadata and transmittal</w:t>
      </w:r>
    </w:p>
    <w:p>
      <w:pPr/>
      <w:r>
        <w:t>Schedules and data: Include a date and hash or row count in the cover note for traceability</w:t>
      </w:r>
    </w:p>
    <w:p>
      <w:pPr/>
      <w:r>
        <w:t>Change control and audit</w:t>
      </w:r>
    </w:p>
    <w:p>
      <w:pPr/>
      <w:r>
        <w:t>Every move from WIP → SHARED or inclusion in a PUBLISHED pack requires:</w:t>
      </w:r>
    </w:p>
    <w:p>
      <w:pPr/>
      <w:r>
        <w:t>Change note: what changed, why, and impact</w:t>
      </w:r>
    </w:p>
    <w:p>
      <w:pPr/>
      <w:r>
        <w:t>Owner and date</w:t>
      </w:r>
    </w:p>
    <w:p>
      <w:pPr/>
      <w:r>
        <w:t>Links to evidence, issues, or approvals</w:t>
      </w:r>
    </w:p>
    <w:p>
      <w:pPr/>
      <w:r>
        <w:t>Gate evidence (2.3): Include change summaries since the previous gate</w:t>
      </w:r>
    </w:p>
    <w:p>
      <w:pPr/>
      <w:r>
        <w:t>Transmittals</w:t>
      </w:r>
    </w:p>
    <w:p>
      <w:pPr/>
      <w:r>
        <w:t>Required for each formal pack (7.3)</w:t>
      </w:r>
    </w:p>
    <w:p>
      <w:pPr/>
      <w:r>
        <w:t>Content</w:t>
      </w:r>
    </w:p>
    <w:p>
      <w:pPr/>
      <w:r>
        <w:t>Header: Project code, pack date, description, confidentiality</w:t>
      </w:r>
    </w:p>
    <w:p>
      <w:pPr/>
      <w:r>
        <w:t>Recipient list: company, contact, role</w:t>
      </w:r>
    </w:p>
    <w:p>
      <w:pPr/>
      <w:r>
        <w:t>Distribution codes: A for action, I for information, R for review (or project-specific codes)</w:t>
      </w:r>
    </w:p>
    <w:p>
      <w:pPr/>
      <w:r>
        <w:t>File table: filename, version or revision, type, size, optional checksum</w:t>
      </w:r>
    </w:p>
    <w:p>
      <w:pPr/>
      <w:r>
        <w:t>Notes: purpose of issue, references to contracts or instructions where applicable</w:t>
      </w:r>
    </w:p>
    <w:p>
      <w:pPr/>
      <w:r>
        <w:t>Storage</w:t>
      </w:r>
    </w:p>
    <w:p>
      <w:pPr/>
      <w:r>
        <w:t>Place in 05-TRANSMITTAL inside the dated PUBLISHED pack</w:t>
      </w:r>
    </w:p>
    <w:p>
      <w:pPr/>
      <w:r>
        <w:t>Copy or link the PDF to SHARED/07-RECORD/02-OUT with the same date prefix</w:t>
      </w:r>
    </w:p>
    <w:p>
      <w:pPr/>
      <w:r>
        <w:t>Supersedence and archive</w:t>
      </w:r>
    </w:p>
    <w:p>
      <w:pPr/>
      <w:r>
        <w:t>Superseding rule: The authorised manifest explicitly lists superseded container IDs/revisions and replacement IDs/revisions. A later folder with the same DESCRIPTION does not automatically supersede every earlier container</w:t>
      </w:r>
    </w:p>
    <w:p>
      <w:pPr/>
      <w:r>
        <w:t>Archive: Move superseded drafts or temporary staging packs to 04-ARCHIVE with a short README stating reason and link to the superseding pack</w:t>
      </w:r>
    </w:p>
    <w:p>
      <w:pPr/>
      <w:r>
        <w:t>Naming interactions</w:t>
      </w:r>
    </w:p>
    <w:p>
      <w:pPr/>
      <w:r>
        <w:t>All filenames must validate against 12.3 naming rules</w:t>
      </w:r>
    </w:p>
    <w:p>
      <w:pPr/>
      <w:r>
        <w:t>Container ID + revision + suitability/state + immutable CDE version is the authoritative issue identity; date folders group issues and do not replace container metadata</w:t>
      </w:r>
    </w:p>
    <w:p>
      <w:pPr/>
      <w:r>
        <w:t>Quick workflows</w:t>
      </w:r>
    </w:p>
    <w:p>
      <w:pPr/>
      <w:r>
        <w:t>Minor correction after issue (same day)</w:t>
      </w:r>
    </w:p>
    <w:p>
      <w:pPr/>
      <w:r>
        <w:t>New pack folder with same DESCRIPTION and later date, or same date + “-CORRECTION” suffix</w:t>
      </w:r>
    </w:p>
    <w:p>
      <w:pPr/>
      <w:r>
        <w:t>Transmittal with explanation and affected file list; Rnn increases on affected sheets only</w:t>
      </w:r>
    </w:p>
    <w:p>
      <w:pPr/>
      <w:r>
        <w:t>Client-requested re-issue without design change</w:t>
      </w:r>
    </w:p>
    <w:p>
      <w:pPr/>
      <w:r>
        <w:t>New transmittal referencing prior pack. Only administrative updates allowed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72"/>
        <w:gridCol w:w="2602"/>
        <w:gridCol w:w="1788"/>
        <w:gridCol w:w="2304"/>
      </w:tblGrid>
      <w:tr>
        <w:trPr>
          <w:cantSplit/>
          <w:tblHeader/>
        </w:trPr>
        <w:tc>
          <w:tcPr>
            <w:tcW w:type="dxa" w:w="3772"/>
            <w:shd w:val="clear" w:color="auto" w:fill="111113"/>
          </w:tcPr>
          <w:p>
            <w:r>
              <w:rPr>
                <w:b/>
                <w:color w:val="FFFFFF"/>
                <w:sz w:val="17"/>
              </w:rPr>
            </w:r>
            <w:r>
              <w:rPr>
                <w:b/>
                <w:color w:val="FFFFFF"/>
                <w:sz w:val="17"/>
              </w:rPr>
              <w:t>Acceptance criteria</w:t>
            </w:r>
          </w:p>
        </w:tc>
        <w:tc>
          <w:tcPr>
            <w:tcW w:type="dxa" w:w="2602"/>
            <w:shd w:val="clear" w:color="auto" w:fill="111113"/>
          </w:tcPr>
          <w:p>
            <w:r>
              <w:rPr>
                <w:b/>
                <w:color w:val="FFFFFF"/>
                <w:sz w:val="17"/>
              </w:rPr>
            </w:r>
            <w:r>
              <w:rPr>
                <w:b/>
                <w:color w:val="FFFFFF"/>
                <w:sz w:val="17"/>
              </w:rPr>
              <w:t>Quality checks</w:t>
            </w:r>
          </w:p>
        </w:tc>
        <w:tc>
          <w:tcPr>
            <w:tcW w:type="dxa" w:w="1788"/>
            <w:shd w:val="clear" w:color="auto" w:fill="111113"/>
          </w:tcPr>
          <w:p>
            <w:r>
              <w:rPr>
                <w:b/>
                <w:color w:val="FFFFFF"/>
                <w:sz w:val="17"/>
              </w:rPr>
            </w:r>
            <w:r>
              <w:rPr>
                <w:b/>
                <w:color w:val="FFFFFF"/>
                <w:sz w:val="17"/>
              </w:rPr>
              <w:t>Owner</w:t>
            </w:r>
          </w:p>
        </w:tc>
        <w:tc>
          <w:tcPr>
            <w:tcW w:type="dxa" w:w="2304"/>
            <w:shd w:val="clear" w:color="auto" w:fill="111113"/>
          </w:tcPr>
          <w:p>
            <w:r>
              <w:rPr>
                <w:b/>
                <w:color w:val="FFFFFF"/>
                <w:sz w:val="17"/>
              </w:rPr>
            </w:r>
            <w:r>
              <w:rPr>
                <w:b/>
                <w:color w:val="FFFFFF"/>
                <w:sz w:val="17"/>
              </w:rPr>
              <w:t>Evidence</w:t>
            </w:r>
          </w:p>
        </w:tc>
      </w:tr>
      <w:tr>
        <w:trPr>
          <w:cantSplit/>
        </w:trPr>
        <w:tc>
          <w:tcPr>
            <w:tcW w:type="dxa" w:w="3772"/>
          </w:tcPr>
          <w:p>
            <w:r>
              <w:rPr>
                <w:sz w:val="17"/>
              </w:rPr>
            </w:r>
            <w:r>
              <w:rPr>
                <w:sz w:val="17"/>
              </w:rPr>
              <w:t>No issued pack overwritten or renamed</w:t>
            </w:r>
          </w:p>
        </w:tc>
        <w:tc>
          <w:tcPr>
            <w:tcW w:type="dxa" w:w="2602"/>
          </w:tcPr>
          <w:p>
            <w:r>
              <w:rPr>
                <w:sz w:val="17"/>
              </w:rPr>
            </w:r>
            <w:r>
              <w:rPr>
                <w:sz w:val="17"/>
              </w:rPr>
              <w:t>Folder history audit in CDE</w:t>
            </w:r>
          </w:p>
        </w:tc>
        <w:tc>
          <w:tcPr>
            <w:tcW w:type="dxa" w:w="1788"/>
          </w:tcPr>
          <w:p>
            <w:r>
              <w:rPr>
                <w:sz w:val="17"/>
              </w:rPr>
            </w:r>
            <w:r>
              <w:rPr>
                <w:sz w:val="17"/>
              </w:rPr>
              <w:t>Information Manager</w:t>
            </w:r>
          </w:p>
        </w:tc>
        <w:tc>
          <w:tcPr>
            <w:tcW w:type="dxa" w:w="2304"/>
          </w:tcPr>
          <w:p>
            <w:r>
              <w:rPr>
                <w:sz w:val="17"/>
              </w:rPr>
            </w:r>
            <w:r>
              <w:rPr>
                <w:sz w:val="17"/>
              </w:rPr>
              <w:t>Pack timeline view</w:t>
            </w:r>
          </w:p>
        </w:tc>
      </w:tr>
      <w:tr>
        <w:trPr>
          <w:cantSplit/>
        </w:trPr>
        <w:tc>
          <w:tcPr>
            <w:tcW w:type="dxa" w:w="3772"/>
          </w:tcPr>
          <w:p>
            <w:r>
              <w:rPr>
                <w:sz w:val="17"/>
              </w:rPr>
            </w:r>
            <w:r>
              <w:rPr>
                <w:sz w:val="17"/>
              </w:rPr>
              <w:t>All pack folders named “YYYY-MM-DD-DESCRIPTION”</w:t>
            </w:r>
          </w:p>
        </w:tc>
        <w:tc>
          <w:tcPr>
            <w:tcW w:type="dxa" w:w="2602"/>
          </w:tcPr>
          <w:p>
            <w:r>
              <w:rPr>
                <w:sz w:val="17"/>
              </w:rPr>
            </w:r>
            <w:r>
              <w:rPr>
                <w:sz w:val="17"/>
              </w:rPr>
              <w:t>Regex check on each 03-PUBLISHED stage folder</w:t>
            </w:r>
          </w:p>
        </w:tc>
        <w:tc>
          <w:tcPr>
            <w:tcW w:type="dxa" w:w="1788"/>
          </w:tcPr>
          <w:p>
            <w:r>
              <w:rPr>
                <w:sz w:val="17"/>
              </w:rPr>
            </w:r>
            <w:r>
              <w:rPr>
                <w:sz w:val="17"/>
              </w:rPr>
              <w:t>BIM Coordinator</w:t>
            </w:r>
          </w:p>
        </w:tc>
        <w:tc>
          <w:tcPr>
            <w:tcW w:type="dxa" w:w="2304"/>
          </w:tcPr>
          <w:p>
            <w:r>
              <w:rPr>
                <w:sz w:val="17"/>
              </w:rPr>
            </w:r>
            <w:r>
              <w:rPr>
                <w:sz w:val="17"/>
              </w:rPr>
              <w:t>Folder scan</w:t>
            </w:r>
          </w:p>
        </w:tc>
      </w:tr>
      <w:tr>
        <w:trPr>
          <w:cantSplit/>
        </w:trPr>
        <w:tc>
          <w:tcPr>
            <w:tcW w:type="dxa" w:w="3772"/>
          </w:tcPr>
          <w:p>
            <w:r>
              <w:rPr>
                <w:sz w:val="17"/>
              </w:rPr>
            </w:r>
            <w:r>
              <w:rPr>
                <w:sz w:val="17"/>
              </w:rPr>
              <w:t>Each sheet's Rnn coherent with index and manifest; no recycled revision</w:t>
            </w:r>
          </w:p>
        </w:tc>
        <w:tc>
          <w:tcPr>
            <w:tcW w:type="dxa" w:w="2602"/>
          </w:tcPr>
          <w:p>
            <w:r>
              <w:rPr>
                <w:sz w:val="17"/>
              </w:rPr>
            </w:r>
            <w:r>
              <w:rPr>
                <w:sz w:val="17"/>
              </w:rPr>
              <w:t>Automated comparison report</w:t>
            </w:r>
          </w:p>
        </w:tc>
        <w:tc>
          <w:tcPr>
            <w:tcW w:type="dxa" w:w="1788"/>
          </w:tcPr>
          <w:p>
            <w:r>
              <w:rPr>
                <w:sz w:val="17"/>
              </w:rPr>
            </w:r>
            <w:r>
              <w:rPr>
                <w:sz w:val="17"/>
              </w:rPr>
              <w:t>QA-QC Lead</w:t>
            </w:r>
          </w:p>
        </w:tc>
        <w:tc>
          <w:tcPr>
            <w:tcW w:type="dxa" w:w="2304"/>
          </w:tcPr>
          <w:p>
            <w:r>
              <w:rPr>
                <w:sz w:val="17"/>
              </w:rPr>
            </w:r>
            <w:r>
              <w:rPr>
                <w:sz w:val="17"/>
              </w:rPr>
              <w:t>Report in 05-TRANSMITTAL or 04-REPORTS</w:t>
            </w:r>
          </w:p>
        </w:tc>
      </w:tr>
      <w:tr>
        <w:trPr>
          <w:cantSplit/>
        </w:trPr>
        <w:tc>
          <w:tcPr>
            <w:tcW w:type="dxa" w:w="3772"/>
          </w:tcPr>
          <w:p>
            <w:r>
              <w:rPr>
                <w:sz w:val="17"/>
              </w:rPr>
            </w:r>
            <w:r>
              <w:rPr>
                <w:sz w:val="17"/>
              </w:rPr>
              <w:t>Transmittal present with required headers and file table</w:t>
            </w:r>
          </w:p>
        </w:tc>
        <w:tc>
          <w:tcPr>
            <w:tcW w:type="dxa" w:w="2602"/>
          </w:tcPr>
          <w:p>
            <w:r>
              <w:rPr>
                <w:sz w:val="17"/>
              </w:rPr>
            </w:r>
            <w:r>
              <w:rPr>
                <w:sz w:val="17"/>
              </w:rPr>
              <w:t>Transmittal parse for required fields</w:t>
            </w:r>
          </w:p>
        </w:tc>
        <w:tc>
          <w:tcPr>
            <w:tcW w:type="dxa" w:w="1788"/>
          </w:tcPr>
          <w:p>
            <w:r>
              <w:rPr>
                <w:sz w:val="17"/>
              </w:rPr>
            </w:r>
            <w:r>
              <w:rPr>
                <w:sz w:val="17"/>
              </w:rPr>
              <w:t>LAP</w:t>
            </w:r>
          </w:p>
        </w:tc>
        <w:tc>
          <w:tcPr>
            <w:tcW w:type="dxa" w:w="2304"/>
          </w:tcPr>
          <w:p>
            <w:r>
              <w:rPr>
                <w:sz w:val="17"/>
              </w:rPr>
            </w:r>
            <w:r>
              <w:rPr>
                <w:sz w:val="17"/>
              </w:rPr>
              <w:t>PDF in 05-TRANSMITTAL</w:t>
            </w:r>
          </w:p>
        </w:tc>
      </w:tr>
      <w:tr>
        <w:trPr>
          <w:cantSplit/>
        </w:trPr>
        <w:tc>
          <w:tcPr>
            <w:tcW w:type="dxa" w:w="3772"/>
          </w:tcPr>
          <w:p>
            <w:r>
              <w:rPr>
                <w:sz w:val="17"/>
              </w:rPr>
            </w:r>
            <w:r>
              <w:rPr>
                <w:sz w:val="17"/>
              </w:rPr>
              <w:t>Change notes recorded for SHARED updates and issues</w:t>
            </w:r>
          </w:p>
        </w:tc>
        <w:tc>
          <w:tcPr>
            <w:tcW w:type="dxa" w:w="2602"/>
          </w:tcPr>
          <w:p>
            <w:r>
              <w:rPr>
                <w:sz w:val="17"/>
              </w:rPr>
            </w:r>
            <w:r>
              <w:rPr>
                <w:sz w:val="17"/>
              </w:rPr>
              <w:t>Spot-check 00-PROJECT-LOG entries</w:t>
            </w:r>
          </w:p>
        </w:tc>
        <w:tc>
          <w:tcPr>
            <w:tcW w:type="dxa" w:w="1788"/>
          </w:tcPr>
          <w:p>
            <w:r>
              <w:rPr>
                <w:sz w:val="17"/>
              </w:rPr>
            </w:r>
            <w:r>
              <w:rPr>
                <w:sz w:val="17"/>
              </w:rPr>
              <w:t>Information Manager</w:t>
            </w:r>
          </w:p>
        </w:tc>
        <w:tc>
          <w:tcPr>
            <w:tcW w:type="dxa" w:w="2304"/>
          </w:tcPr>
          <w:p>
            <w:r>
              <w:rPr>
                <w:sz w:val="17"/>
              </w:rPr>
            </w:r>
            <w:r>
              <w:rPr>
                <w:sz w:val="17"/>
              </w:rPr>
              <w:t>Log excerpts</w:t>
            </w:r>
          </w:p>
        </w:tc>
      </w:tr>
    </w:tbl>
    <w:p/>
    <w:p>
      <w:pPr/>
      <w:r>
        <w:t>Interlocks</w:t>
      </w:r>
    </w:p>
    <w:p>
      <w:pPr/>
      <w:r>
        <w:t>Folder structure and pack location per 12.1</w:t>
      </w:r>
    </w:p>
    <w:p>
      <w:pPr/>
      <w:r>
        <w:t>Sheet and revision rules per 3.1 and 7.3</w:t>
      </w:r>
    </w:p>
    <w:p>
      <w:pPr/>
      <w:r>
        <w:t>Evidence and gate interactions per 2.3</w:t>
      </w:r>
    </w:p>
    <w:p>
      <w:pPr/>
      <w:r>
        <w:t>IFC and data exports per 11.1–11.2</w:t>
      </w:r>
    </w:p>
    <w:p>
      <w:pPr>
        <w:pStyle w:val="Heading2"/>
      </w:pPr>
      <w:r>
        <w:t>12.3 NAMING AND METADATA</w:t>
      </w:r>
    </w:p>
    <w:p>
      <w:pPr/>
      <w:r>
        <w:t>Purpose</w:t>
      </w:r>
    </w:p>
    <w:p>
      <w:pPr/>
      <w:r>
        <w:t>Define tokenized naming rules and required metadata so files, views, sheets, folders, and data exports are consistent, searchable, and pack-ready.</w:t>
      </w:r>
    </w:p>
    <w:p>
      <w:pPr/>
      <w:r>
        <w:t>Token model (general)</w:t>
      </w:r>
    </w:p>
    <w:p>
      <w:pPr/>
      <w:r>
        <w:t>Tokens are UPPERCASE with hyphen separators</w:t>
      </w:r>
    </w:p>
    <w:p>
      <w:pPr/>
      <w:r>
        <w:t>No spaces around separators. No emojis. No double separators</w:t>
      </w:r>
    </w:p>
    <w:p>
      <w:pPr/>
      <w:r>
        <w:t>Allowed separators: hyphen - for tokens. No underscore and no dot in folder names; pack child folders use NN-NAME (12.1, O-DEC-149)</w:t>
      </w:r>
    </w:p>
    <w:p>
      <w:pPr/>
      <w:r>
        <w:t>File names (models, details, exports)</w:t>
      </w:r>
    </w:p>
    <w:p>
      <w:pPr/>
      <w:r>
        <w:t>External container pattern: CLIENT-ORG-PROJ-VOLUME-LEVEL-TYPE-ROLE-NUMBER.ext (8 tokens, NUMBER 4 digits, lowercase extension) per the Project Naming Register (O-DEC-002, O-DEC-102)</w:t>
      </w:r>
    </w:p>
    <w:p>
      <w:pPr/>
      <w:r>
        <w:t>CLIENT: Client code. ORG: Originator code. PROJ: Project code</w:t>
      </w:r>
    </w:p>
    <w:p>
      <w:pPr/>
      <w:r>
        <w:t xml:space="preserve">VOLUME: Volume/system or ZZ (whole). LEVEL: Level/location or ZZ (whole). Allowed values and patterns of CLIENT, ORG, PROJ, VOLUME, LEVEL and TYPE: </w:t>
      </w:r>
      <w:r>
        <w:rPr>
          <w:color w:val="9A7B45"/>
          <w:u w:val="single"/>
        </w:rPr>
        <w:t>BBM-STD-93</w:t>
      </w:r>
      <w:r>
        <w:t xml:space="preserve"> §2.2 (</w:t>
      </w:r>
      <w:r>
        <w:rPr>
          <w:color w:val="9A7B45"/>
          <w:u w:val="single"/>
        </w:rPr>
        <w:t>O-DEC-162</w:t>
      </w:r>
      <w:r>
        <w:t>)</w:t>
      </w:r>
    </w:p>
    <w:p>
      <w:pPr/>
      <w:r>
        <w:t>TYPE: Information type (e.g. M3 model, DR drawing)</w:t>
      </w:r>
    </w:p>
    <w:p>
      <w:pPr/>
      <w:r>
        <w:t>ROLE: 1-letter role code from BBM-STD-93 (A, S, M, E, L, P, F, I, C, G, Q, W, Z)</w:t>
      </w:r>
    </w:p>
    <w:p>
      <w:pPr/>
      <w:r>
        <w:t>NUMBER: 4-digit sequence</w:t>
      </w:r>
    </w:p>
    <w:p>
      <w:pPr/>
      <w:r>
        <w:t>Example: CLI-OFF-P001-ZZ-ZZ-M3-A-0001.ifc</w:t>
      </w:r>
    </w:p>
    <w:p>
      <w:pPr/>
      <w:r>
        <w:t>Legacy internal WIP alias: ORG-PROJ-DISC-PHASE-SEQUENCE, mapped one-to-one to the external ID, never issued; PHASE retired (O-DEC-023)</w:t>
      </w:r>
    </w:p>
    <w:p>
      <w:pPr/>
      <w:r>
        <w:t>Rules</w:t>
      </w:r>
    </w:p>
    <w:p>
      <w:pPr/>
      <w:r>
        <w:t>No ad-hoc v1/v2 in filenames. Versioning is per 12.2</w:t>
      </w:r>
    </w:p>
    <w:p>
      <w:pPr/>
      <w:r>
        <w:t>Exported IFC must follow the external pattern and be placed under 03-PUBLISHED/&lt;NN-STAGE-N&gt;/&lt;YYYY-MM-DD-DESCRIPTION&gt;/02-MODELS</w:t>
      </w:r>
    </w:p>
    <w:p>
      <w:pPr/>
      <w:r>
        <w:t>View names (Revit examples)</w:t>
      </w:r>
    </w:p>
    <w:p>
      <w:pPr/>
      <w:r>
        <w:t>Pattern: DISC-LEVEL-ZONE-TYPE-DESC</w:t>
      </w:r>
    </w:p>
    <w:p>
      <w:pPr/>
      <w:r>
        <w:t>DISC: 3-letter discipline code from BBM-STD-93 (ARC, STR, MEC, ELE, LSC, PLU, FLS, INT, CIV, SUR, QTY, CON, GEN)</w:t>
      </w:r>
    </w:p>
    <w:p>
      <w:pPr/>
      <w:r>
        <w:t>LEVEL: L01, L02, LRF (roof) or ALL</w:t>
      </w:r>
    </w:p>
    <w:p>
      <w:pPr/>
      <w:r>
        <w:t>ZONE: Z01..Z99 or omit if N/A</w:t>
      </w:r>
    </w:p>
    <w:p>
      <w:pPr/>
      <w:r>
        <w:t>TYPE: PLAN, SECTION, ELEV, 3D, DETAIL, SCHEDULE</w:t>
      </w:r>
    </w:p>
    <w:p>
      <w:pPr/>
      <w:r>
        <w:t>DESC: Short Title Case description</w:t>
      </w:r>
    </w:p>
    <w:p>
      <w:pPr/>
      <w:r>
        <w:t>Examples</w:t>
      </w:r>
    </w:p>
    <w:p>
      <w:pPr/>
      <w:r>
        <w:t>ARC-L02-Z03-PLAN-Layouts</w:t>
      </w:r>
    </w:p>
    <w:p>
      <w:pPr/>
      <w:r>
        <w:t>STR-ALL-SECTION-Framing</w:t>
      </w:r>
    </w:p>
    <w:p>
      <w:pPr/>
      <w:r>
        <w:t>MEC-L01-3D-Coord</w:t>
      </w:r>
    </w:p>
    <w:p>
      <w:pPr/>
      <w:r>
        <w:t>Rules</w:t>
      </w:r>
    </w:p>
    <w:p>
      <w:pPr/>
      <w:r>
        <w:t>Only approved issue views are placed on sheets (4.11.1); schedules, legends, drafting details and dependent views follow their recorded exceptions</w:t>
      </w:r>
    </w:p>
    <w:p>
      <w:pPr/>
      <w:r>
        <w:t>Sheet numbers and titles</w:t>
      </w:r>
    </w:p>
    <w:p>
      <w:pPr/>
      <w:r>
        <w:t>Pattern: DISC-CAT-INDEX</w:t>
      </w:r>
    </w:p>
    <w:p>
      <w:pPr/>
      <w:r>
        <w:t>DISC: 1-letter ROLE code from BBM-STD-93 (A Architecture, S Structure, M Mechanical, E Electrical, P Plumbing, F Fire and Life Safety, L Landscape, I Interiors, C Civil, G Survey, Q Quantities, W Contractor, Z General)</w:t>
      </w:r>
    </w:p>
    <w:p>
      <w:pPr/>
      <w:r>
        <w:t>CAT: Two-digit category block, e.g., 10 Plans, 20 Sections, 30 Elevations, 40 Details, 50 Schedules, 01 General</w:t>
      </w:r>
    </w:p>
    <w:p>
      <w:pPr/>
      <w:r>
        <w:t>INDEX: Three-digit sequential number (001..999)</w:t>
      </w:r>
    </w:p>
    <w:p>
      <w:pPr/>
      <w:r>
        <w:t>Examples</w:t>
      </w:r>
    </w:p>
    <w:p>
      <w:pPr/>
      <w:r>
        <w:t>A-10-101</w:t>
      </w:r>
    </w:p>
    <w:p>
      <w:pPr/>
      <w:r>
        <w:t>S-20-201</w:t>
      </w:r>
    </w:p>
    <w:p>
      <w:pPr/>
      <w:r>
        <w:t>Titles</w:t>
      </w:r>
    </w:p>
    <w:p>
      <w:pPr/>
      <w:r>
        <w:t>Title Case. No trailing punctuation</w:t>
      </w:r>
    </w:p>
    <w:p>
      <w:pPr/>
      <w:r>
        <w:t>Front matter sheets use “General Notes”, “Abbreviations”, etc.</w:t>
      </w:r>
    </w:p>
    <w:p>
      <w:pPr/>
      <w:r>
        <w:t>Folder and pack naming</w:t>
      </w:r>
    </w:p>
    <w:p>
      <w:pPr/>
      <w:r>
        <w:t>All folders NN-NAME per 12.1 A), no dots, spaces, underscores or &amp; (</w:t>
      </w:r>
      <w:r>
        <w:rPr>
          <w:color w:val="9A7B45"/>
          <w:u w:val="single"/>
        </w:rPr>
        <w:t>O-DEC-149</w:t>
      </w:r>
      <w:r>
        <w:t>)</w:t>
      </w:r>
    </w:p>
    <w:p>
      <w:pPr/>
      <w:r>
        <w:t>PUBLISHED pack folder: YYYY-MM-DD-DESCRIPTION, inside its stage folder</w:t>
      </w:r>
    </w:p>
    <w:p>
      <w:pPr/>
      <w:r>
        <w:t>Children: 00-COVERSHEETS, 01-DRAWINGS, 02-MODELS, 03-SCHEDULES, 04-REPORTS, 05-TRANSMITTAL</w:t>
      </w:r>
    </w:p>
    <w:p>
      <w:pPr/>
      <w:r>
        <w:t>Metadata — minimum required fields by asset type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02"/>
        <w:gridCol w:w="3404"/>
        <w:gridCol w:w="2049"/>
        <w:gridCol w:w="3711"/>
      </w:tblGrid>
      <w:tr>
        <w:trPr>
          <w:cantSplit/>
          <w:tblHeader/>
        </w:trPr>
        <w:tc>
          <w:tcPr>
            <w:tcW w:type="dxa" w:w="1302"/>
            <w:shd w:val="clear" w:color="auto" w:fill="111113"/>
          </w:tcPr>
          <w:p>
            <w:r>
              <w:rPr>
                <w:b/>
                <w:color w:val="FFFFFF"/>
                <w:sz w:val="17"/>
              </w:rPr>
            </w:r>
            <w:r>
              <w:rPr>
                <w:b/>
                <w:color w:val="FFFFFF"/>
                <w:sz w:val="17"/>
              </w:rPr>
              <w:t>Asset</w:t>
            </w:r>
          </w:p>
        </w:tc>
        <w:tc>
          <w:tcPr>
            <w:tcW w:type="dxa" w:w="3404"/>
            <w:shd w:val="clear" w:color="auto" w:fill="111113"/>
          </w:tcPr>
          <w:p>
            <w:r>
              <w:rPr>
                <w:b/>
                <w:color w:val="FFFFFF"/>
                <w:sz w:val="17"/>
              </w:rPr>
            </w:r>
            <w:r>
              <w:rPr>
                <w:b/>
                <w:color w:val="FFFFFF"/>
                <w:sz w:val="17"/>
              </w:rPr>
              <w:t>Required fields</w:t>
            </w:r>
          </w:p>
        </w:tc>
        <w:tc>
          <w:tcPr>
            <w:tcW w:type="dxa" w:w="2049"/>
            <w:shd w:val="clear" w:color="auto" w:fill="111113"/>
          </w:tcPr>
          <w:p>
            <w:r>
              <w:rPr>
                <w:b/>
                <w:color w:val="FFFFFF"/>
                <w:sz w:val="17"/>
              </w:rPr>
            </w:r>
            <w:r>
              <w:rPr>
                <w:b/>
                <w:color w:val="FFFFFF"/>
                <w:sz w:val="17"/>
              </w:rPr>
              <w:t>Where set</w:t>
            </w:r>
          </w:p>
        </w:tc>
        <w:tc>
          <w:tcPr>
            <w:tcW w:type="dxa" w:w="3711"/>
            <w:shd w:val="clear" w:color="auto" w:fill="111113"/>
          </w:tcPr>
          <w:p>
            <w:r>
              <w:rPr>
                <w:b/>
                <w:color w:val="FFFFFF"/>
                <w:sz w:val="17"/>
              </w:rPr>
            </w:r>
            <w:r>
              <w:rPr>
                <w:b/>
                <w:color w:val="FFFFFF"/>
                <w:sz w:val="17"/>
              </w:rPr>
              <w:t>Notes</w:t>
            </w:r>
          </w:p>
        </w:tc>
      </w:tr>
      <w:tr>
        <w:trPr>
          <w:cantSplit/>
        </w:trPr>
        <w:tc>
          <w:tcPr>
            <w:tcW w:type="dxa" w:w="1302"/>
          </w:tcPr>
          <w:p>
            <w:r>
              <w:rPr>
                <w:sz w:val="17"/>
              </w:rPr>
            </w:r>
            <w:r>
              <w:rPr>
                <w:sz w:val="17"/>
              </w:rPr>
              <w:t>Model file</w:t>
            </w:r>
          </w:p>
        </w:tc>
        <w:tc>
          <w:tcPr>
            <w:tcW w:type="dxa" w:w="3404"/>
          </w:tcPr>
          <w:p>
            <w:r>
              <w:rPr>
                <w:sz w:val="17"/>
              </w:rPr>
            </w:r>
            <w:r>
              <w:rPr>
                <w:sz w:val="17"/>
              </w:rPr>
              <w:t>CLIENT, ORG, PROJ, VOLUME, LEVEL, TYPE, ROLE, NUMBER</w:t>
            </w:r>
          </w:p>
        </w:tc>
        <w:tc>
          <w:tcPr>
            <w:tcW w:type="dxa" w:w="2049"/>
          </w:tcPr>
          <w:p>
            <w:r>
              <w:rPr>
                <w:sz w:val="17"/>
              </w:rPr>
            </w:r>
            <w:r>
              <w:rPr>
                <w:sz w:val="17"/>
              </w:rPr>
              <w:t>Filename</w:t>
            </w:r>
          </w:p>
        </w:tc>
        <w:tc>
          <w:tcPr>
            <w:tcW w:type="dxa" w:w="3711"/>
          </w:tcPr>
          <w:p>
            <w:r>
              <w:rPr>
                <w:sz w:val="17"/>
              </w:rPr>
            </w:r>
            <w:r>
              <w:rPr>
                <w:sz w:val="17"/>
              </w:rPr>
              <w:t>External pattern above; legacy alias recorded in the naming register</w:t>
            </w:r>
          </w:p>
        </w:tc>
      </w:tr>
      <w:tr>
        <w:trPr>
          <w:cantSplit/>
        </w:trPr>
        <w:tc>
          <w:tcPr>
            <w:tcW w:type="dxa" w:w="1302"/>
          </w:tcPr>
          <w:p>
            <w:r>
              <w:rPr>
                <w:sz w:val="17"/>
              </w:rPr>
            </w:r>
            <w:r>
              <w:rPr>
                <w:sz w:val="17"/>
              </w:rPr>
              <w:t>Views</w:t>
            </w:r>
          </w:p>
        </w:tc>
        <w:tc>
          <w:tcPr>
            <w:tcW w:type="dxa" w:w="3404"/>
          </w:tcPr>
          <w:p>
            <w:r>
              <w:rPr>
                <w:sz w:val="17"/>
              </w:rPr>
            </w:r>
            <w:r>
              <w:rPr>
                <w:sz w:val="17"/>
              </w:rPr>
              <w:t>DISC, LEVEL, ZONE, TYPE, DESC</w:t>
            </w:r>
          </w:p>
        </w:tc>
        <w:tc>
          <w:tcPr>
            <w:tcW w:type="dxa" w:w="2049"/>
          </w:tcPr>
          <w:p>
            <w:r>
              <w:rPr>
                <w:sz w:val="17"/>
              </w:rPr>
            </w:r>
            <w:r>
              <w:rPr>
                <w:sz w:val="17"/>
              </w:rPr>
              <w:t>View name</w:t>
            </w:r>
          </w:p>
        </w:tc>
        <w:tc>
          <w:tcPr>
            <w:tcW w:type="dxa" w:w="3711"/>
          </w:tcPr>
          <w:p>
            <w:r>
              <w:rPr>
                <w:sz w:val="17"/>
              </w:rPr>
            </w:r>
            <w:r>
              <w:rPr>
                <w:sz w:val="17"/>
              </w:rPr>
              <w:t>Used by 7.3 audits</w:t>
            </w:r>
          </w:p>
        </w:tc>
      </w:tr>
      <w:tr>
        <w:trPr>
          <w:cantSplit/>
        </w:trPr>
        <w:tc>
          <w:tcPr>
            <w:tcW w:type="dxa" w:w="1302"/>
          </w:tcPr>
          <w:p>
            <w:r>
              <w:rPr>
                <w:sz w:val="17"/>
              </w:rPr>
            </w:r>
            <w:r>
              <w:rPr>
                <w:sz w:val="17"/>
              </w:rPr>
              <w:t>Sheets</w:t>
            </w:r>
          </w:p>
        </w:tc>
        <w:tc>
          <w:tcPr>
            <w:tcW w:type="dxa" w:w="3404"/>
          </w:tcPr>
          <w:p>
            <w:r>
              <w:rPr>
                <w:sz w:val="17"/>
              </w:rPr>
            </w:r>
            <w:r>
              <w:rPr>
                <w:sz w:val="17"/>
              </w:rPr>
              <w:t>Number (DISC-CAT-INDEX), Title, Rnn</w:t>
            </w:r>
          </w:p>
        </w:tc>
        <w:tc>
          <w:tcPr>
            <w:tcW w:type="dxa" w:w="2049"/>
          </w:tcPr>
          <w:p>
            <w:r>
              <w:rPr>
                <w:sz w:val="17"/>
              </w:rPr>
            </w:r>
            <w:r>
              <w:rPr>
                <w:sz w:val="17"/>
              </w:rPr>
              <w:t>Title block</w:t>
            </w:r>
          </w:p>
        </w:tc>
        <w:tc>
          <w:tcPr>
            <w:tcW w:type="dxa" w:w="3711"/>
          </w:tcPr>
          <w:p>
            <w:r>
              <w:rPr>
                <w:sz w:val="17"/>
              </w:rPr>
            </w:r>
            <w:r>
              <w:rPr>
                <w:sz w:val="17"/>
              </w:rPr>
              <w:t>Rnn per sheet, never recycled (O-DEC-113)</w:t>
            </w:r>
          </w:p>
        </w:tc>
      </w:tr>
      <w:tr>
        <w:trPr>
          <w:cantSplit/>
        </w:trPr>
        <w:tc>
          <w:tcPr>
            <w:tcW w:type="dxa" w:w="1302"/>
          </w:tcPr>
          <w:p>
            <w:r>
              <w:rPr>
                <w:sz w:val="17"/>
              </w:rPr>
            </w:r>
            <w:r>
              <w:rPr>
                <w:sz w:val="17"/>
              </w:rPr>
              <w:t>IFC exports</w:t>
            </w:r>
          </w:p>
        </w:tc>
        <w:tc>
          <w:tcPr>
            <w:tcW w:type="dxa" w:w="3404"/>
          </w:tcPr>
          <w:p>
            <w:r>
              <w:rPr>
                <w:sz w:val="17"/>
              </w:rPr>
            </w:r>
            <w:r>
              <w:rPr>
                <w:sz w:val="17"/>
              </w:rPr>
              <w:t>Filename tokens + Export Preset name</w:t>
            </w:r>
          </w:p>
        </w:tc>
        <w:tc>
          <w:tcPr>
            <w:tcW w:type="dxa" w:w="2049"/>
          </w:tcPr>
          <w:p>
            <w:r>
              <w:rPr>
                <w:sz w:val="17"/>
              </w:rPr>
            </w:r>
            <w:r>
              <w:rPr>
                <w:sz w:val="17"/>
              </w:rPr>
              <w:t>Filename + Transmittal</w:t>
            </w:r>
          </w:p>
        </w:tc>
        <w:tc>
          <w:tcPr>
            <w:tcW w:type="dxa" w:w="3711"/>
          </w:tcPr>
          <w:p>
            <w:r>
              <w:rPr>
                <w:sz w:val="17"/>
              </w:rPr>
            </w:r>
            <w:r>
              <w:rPr>
                <w:sz w:val="17"/>
              </w:rPr>
              <w:t>See 11.2</w:t>
            </w:r>
          </w:p>
        </w:tc>
      </w:tr>
      <w:tr>
        <w:trPr>
          <w:cantSplit/>
        </w:trPr>
        <w:tc>
          <w:tcPr>
            <w:tcW w:type="dxa" w:w="1302"/>
          </w:tcPr>
          <w:p>
            <w:r>
              <w:rPr>
                <w:sz w:val="17"/>
              </w:rPr>
            </w:r>
            <w:r>
              <w:rPr>
                <w:sz w:val="17"/>
              </w:rPr>
              <w:t>COBie or CSV</w:t>
            </w:r>
          </w:p>
        </w:tc>
        <w:tc>
          <w:tcPr>
            <w:tcW w:type="dxa" w:w="3404"/>
          </w:tcPr>
          <w:p>
            <w:r>
              <w:rPr>
                <w:sz w:val="17"/>
              </w:rPr>
            </w:r>
            <w:r>
              <w:rPr>
                <w:sz w:val="17"/>
              </w:rPr>
              <w:t>Project code, export date, schema version</w:t>
            </w:r>
          </w:p>
        </w:tc>
        <w:tc>
          <w:tcPr>
            <w:tcW w:type="dxa" w:w="2049"/>
          </w:tcPr>
          <w:p>
            <w:r>
              <w:rPr>
                <w:sz w:val="17"/>
              </w:rPr>
            </w:r>
            <w:r>
              <w:rPr>
                <w:sz w:val="17"/>
              </w:rPr>
              <w:t>Header</w:t>
            </w:r>
          </w:p>
        </w:tc>
        <w:tc>
          <w:tcPr>
            <w:tcW w:type="dxa" w:w="3711"/>
          </w:tcPr>
          <w:p>
            <w:r>
              <w:rPr>
                <w:sz w:val="17"/>
              </w:rPr>
            </w:r>
            <w:r>
              <w:rPr>
                <w:sz w:val="17"/>
              </w:rPr>
              <w:t>Evidence in 04-REPORTS</w:t>
            </w:r>
          </w:p>
        </w:tc>
      </w:tr>
    </w:tbl>
    <w:p/>
    <w:p>
      <w:pPr/>
      <w:r>
        <w:t>Validation rules (regex snippets)</w:t>
      </w:r>
    </w:p>
    <w:p>
      <w:pPr/>
      <w:r>
        <w:t xml:space="preserve">Date folder (legacy display alias): </w:t>
      </w:r>
      <w:r>
        <w:rPr>
          <w:rFonts w:ascii="JetBrains Mono" w:hAnsi="JetBrains Mono"/>
        </w:rPr>
        <w:t>^\d{4}-\d{2}-\d{2} – .+$</w:t>
      </w:r>
      <w:r>
        <w:t>; additionally parse a real calendar date</w:t>
      </w:r>
    </w:p>
    <w:p>
      <w:pPr/>
      <w:r>
        <w:t xml:space="preserve">External container: </w:t>
      </w:r>
      <w:r>
        <w:rPr>
          <w:rFonts w:ascii="JetBrains Mono" w:hAnsi="JetBrains Mono"/>
        </w:rPr>
        <w:t>^[A-Z0-9]{2,6}-[A-Z0-9]{2,6}-[A-Z0-9]{2,6}-[A-Z0-9]{2,3}-[A-Z0-9]{2,3}-[A-Z0-9]{2}-[ASMEPFLICGQWZ]-\d{4}\.[a-z0-9]+$</w:t>
      </w:r>
      <w:r>
        <w:t>; then validate every token against the BBM-STD-93 code lists</w:t>
      </w:r>
    </w:p>
    <w:p>
      <w:pPr/>
      <w:r>
        <w:t xml:space="preserve">Legacy internal WIP alias stem (never issued): </w:t>
      </w:r>
      <w:r>
        <w:rPr>
          <w:rFonts w:ascii="JetBrains Mono" w:hAnsi="JetBrains Mono"/>
        </w:rPr>
        <w:t>^[A-Z]{2,}-[A-Z0-9]{2,}-(ARC|STR|MEC|ELE|PLU|FLS|LSC|INT|CIV|SUR|QTY|CON|GEN)-[A-Z0-9]+-[A-Z0-9]+$</w:t>
      </w:r>
    </w:p>
    <w:p>
      <w:pPr/>
      <w:r>
        <w:t xml:space="preserve">View: </w:t>
      </w:r>
      <w:r>
        <w:rPr>
          <w:rFonts w:ascii="JetBrains Mono" w:hAnsi="JetBrains Mono"/>
        </w:rPr>
        <w:t>^(ARC|STR|MEC|ELE|PLU|FLS|LSC|INT|CIV|SUR|QTY|CON|GEN)-(L\d{2}|LRF|ALL)(-Z\d{2})?-(PLAN|SECTION|ELEV|3D|DETAIL|SCHEDULE)-[A-Za-z0-9][A-Za-z0-9_-]*$</w:t>
      </w:r>
      <w:r>
        <w:t xml:space="preserve">; controlled Start View exception is </w:t>
      </w:r>
      <w:r>
        <w:rPr>
          <w:rFonts w:ascii="JetBrains Mono" w:hAnsi="JetBrains Mono"/>
        </w:rPr>
        <w:t>STD00-STARTING-VIEW</w:t>
      </w:r>
    </w:p>
    <w:p>
      <w:pPr/>
      <w:r>
        <w:t xml:space="preserve">Sheet: </w:t>
      </w:r>
      <w:r>
        <w:rPr>
          <w:rFonts w:ascii="JetBrains Mono" w:hAnsi="JetBrains Mono"/>
        </w:rPr>
        <w:t>^[ASMEPFLICGQWZ]-\d{2}-\d{3}$</w:t>
      </w:r>
      <w:r>
        <w:t>; validate the approved discipline and category code lists</w:t>
      </w:r>
    </w:p>
    <w:p>
      <w:pPr/>
      <w:r>
        <w:t>Common pitfalls and fixes</w:t>
      </w:r>
    </w:p>
    <w:p>
      <w:pPr/>
      <w:r>
        <w:t>Double separators or trailing space</w:t>
      </w:r>
    </w:p>
    <w:p>
      <w:pPr/>
      <w:r>
        <w:t>Fix by renaming to single hyphens. Never use spaces around -</w:t>
      </w:r>
    </w:p>
    <w:p>
      <w:pPr/>
      <w:r>
        <w:t>Mixed case tokens</w:t>
      </w:r>
    </w:p>
    <w:p>
      <w:pPr/>
      <w:r>
        <w:t>Convert tokens to UPPERCASE. Keep DESC in Title Case</w:t>
      </w:r>
    </w:p>
    <w:p>
      <w:pPr/>
      <w:r>
        <w:t>Missing ZONE</w:t>
      </w:r>
    </w:p>
    <w:p>
      <w:pPr/>
      <w:r>
        <w:t>Omit the -ZONE token entirely. Do not use Z00</w:t>
      </w:r>
    </w:p>
    <w:p>
      <w:pPr/>
      <w:r>
        <w:t>Wrong pack child names</w:t>
      </w:r>
    </w:p>
    <w:p>
      <w:pPr/>
      <w:r>
        <w:t>Children must be exactly 00-COVERSHEETS, 01-DRAWINGS, 02-MODELS, 03-SCHEDULES, 04-REPORTS, 05-TRANSMITTAL</w:t>
      </w:r>
    </w:p>
    <w:p>
      <w:pPr/>
      <w:r>
        <w:t>Automation and audits</w:t>
      </w:r>
    </w:p>
    <w:p>
      <w:pPr/>
      <w:r>
        <w:t>Pre-issue script validates file/view/sheet names and pack structure</w:t>
      </w:r>
    </w:p>
    <w:p>
      <w:pPr/>
      <w:r>
        <w:t>Report stored under 03-PUBLISHED/&lt;NN-STAGE-N&gt;/&lt;Pack&gt;/04-REPORTS/01-NAMING-VALIDATION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727"/>
        <w:gridCol w:w="1740"/>
        <w:gridCol w:w="1260"/>
        <w:gridCol w:w="1739"/>
      </w:tblGrid>
      <w:tr>
        <w:trPr>
          <w:cantSplit/>
          <w:tblHeader/>
        </w:trPr>
        <w:tc>
          <w:tcPr>
            <w:tcW w:type="dxa" w:w="5727"/>
            <w:shd w:val="clear" w:color="auto" w:fill="111113"/>
          </w:tcPr>
          <w:p>
            <w:r>
              <w:rPr>
                <w:b/>
                <w:color w:val="FFFFFF"/>
                <w:sz w:val="17"/>
              </w:rPr>
            </w:r>
            <w:r>
              <w:rPr>
                <w:b/>
                <w:color w:val="FFFFFF"/>
                <w:sz w:val="17"/>
              </w:rPr>
              <w:t>Acceptance criteria</w:t>
            </w:r>
          </w:p>
        </w:tc>
        <w:tc>
          <w:tcPr>
            <w:tcW w:type="dxa" w:w="1740"/>
            <w:shd w:val="clear" w:color="auto" w:fill="111113"/>
          </w:tcPr>
          <w:p>
            <w:r>
              <w:rPr>
                <w:b/>
                <w:color w:val="FFFFFF"/>
                <w:sz w:val="17"/>
              </w:rPr>
            </w:r>
            <w:r>
              <w:rPr>
                <w:b/>
                <w:color w:val="FFFFFF"/>
                <w:sz w:val="17"/>
              </w:rPr>
              <w:t>Quality checks</w:t>
            </w:r>
          </w:p>
        </w:tc>
        <w:tc>
          <w:tcPr>
            <w:tcW w:type="dxa" w:w="1260"/>
            <w:shd w:val="clear" w:color="auto" w:fill="111113"/>
          </w:tcPr>
          <w:p>
            <w:r>
              <w:rPr>
                <w:b/>
                <w:color w:val="FFFFFF"/>
                <w:sz w:val="17"/>
              </w:rPr>
            </w:r>
            <w:r>
              <w:rPr>
                <w:b/>
                <w:color w:val="FFFFFF"/>
                <w:sz w:val="17"/>
              </w:rPr>
              <w:t>Owner</w:t>
            </w:r>
          </w:p>
        </w:tc>
        <w:tc>
          <w:tcPr>
            <w:tcW w:type="dxa" w:w="1739"/>
            <w:shd w:val="clear" w:color="auto" w:fill="111113"/>
          </w:tcPr>
          <w:p>
            <w:r>
              <w:rPr>
                <w:b/>
                <w:color w:val="FFFFFF"/>
                <w:sz w:val="17"/>
              </w:rPr>
            </w:r>
            <w:r>
              <w:rPr>
                <w:b/>
                <w:color w:val="FFFFFF"/>
                <w:sz w:val="17"/>
              </w:rPr>
              <w:t>Evidence</w:t>
            </w:r>
          </w:p>
        </w:tc>
      </w:tr>
      <w:tr>
        <w:trPr>
          <w:cantSplit/>
        </w:trPr>
        <w:tc>
          <w:tcPr>
            <w:tcW w:type="dxa" w:w="5727"/>
          </w:tcPr>
          <w:p>
            <w:r>
              <w:rPr>
                <w:sz w:val="17"/>
              </w:rPr>
            </w:r>
            <w:r>
              <w:rPr>
                <w:sz w:val="17"/>
              </w:rPr>
              <w:t>100% of files, views, and sheets pass naming regex</w:t>
            </w:r>
          </w:p>
        </w:tc>
        <w:tc>
          <w:tcPr>
            <w:tcW w:type="dxa" w:w="1740"/>
          </w:tcPr>
          <w:p>
            <w:r>
              <w:rPr>
                <w:sz w:val="17"/>
              </w:rPr>
            </w:r>
            <w:r>
              <w:rPr>
                <w:sz w:val="17"/>
              </w:rPr>
              <w:t>Automated regex audit</w:t>
            </w:r>
          </w:p>
        </w:tc>
        <w:tc>
          <w:tcPr>
            <w:tcW w:type="dxa" w:w="1260"/>
          </w:tcPr>
          <w:p>
            <w:r>
              <w:rPr>
                <w:sz w:val="17"/>
              </w:rPr>
            </w:r>
            <w:r>
              <w:rPr>
                <w:sz w:val="17"/>
              </w:rPr>
              <w:t>Information Manager</w:t>
            </w:r>
          </w:p>
        </w:tc>
        <w:tc>
          <w:tcPr>
            <w:tcW w:type="dxa" w:w="1739"/>
          </w:tcPr>
          <w:p>
            <w:r>
              <w:rPr>
                <w:sz w:val="17"/>
              </w:rPr>
            </w:r>
            <w:r>
              <w:rPr>
                <w:sz w:val="17"/>
              </w:rPr>
              <w:t>Validation log in 04-REPORTS</w:t>
            </w:r>
          </w:p>
        </w:tc>
      </w:tr>
      <w:tr>
        <w:trPr>
          <w:cantSplit/>
        </w:trPr>
        <w:tc>
          <w:tcPr>
            <w:tcW w:type="dxa" w:w="5727"/>
          </w:tcPr>
          <w:p>
            <w:r>
              <w:rPr>
                <w:sz w:val="17"/>
              </w:rPr>
            </w:r>
            <w:r>
              <w:rPr>
                <w:sz w:val="17"/>
              </w:rPr>
              <w:t>All PUBLISHED packs named YYYY-MM-DD-DESCRIPTION with canonical children</w:t>
            </w:r>
          </w:p>
        </w:tc>
        <w:tc>
          <w:tcPr>
            <w:tcW w:type="dxa" w:w="1740"/>
          </w:tcPr>
          <w:p>
            <w:r>
              <w:rPr>
                <w:sz w:val="17"/>
              </w:rPr>
            </w:r>
            <w:r>
              <w:rPr>
                <w:sz w:val="17"/>
              </w:rPr>
              <w:t>Pack structure scan</w:t>
            </w:r>
          </w:p>
        </w:tc>
        <w:tc>
          <w:tcPr>
            <w:tcW w:type="dxa" w:w="1260"/>
          </w:tcPr>
          <w:p>
            <w:r>
              <w:rPr>
                <w:sz w:val="17"/>
              </w:rPr>
            </w:r>
            <w:r>
              <w:rPr>
                <w:sz w:val="17"/>
              </w:rPr>
              <w:t>BIM Coordinator</w:t>
            </w:r>
          </w:p>
        </w:tc>
        <w:tc>
          <w:tcPr>
            <w:tcW w:type="dxa" w:w="1739"/>
          </w:tcPr>
          <w:p>
            <w:r>
              <w:rPr>
                <w:sz w:val="17"/>
              </w:rPr>
            </w:r>
            <w:r>
              <w:rPr>
                <w:sz w:val="17"/>
              </w:rPr>
              <w:t>Folder listing</w:t>
            </w:r>
          </w:p>
        </w:tc>
      </w:tr>
      <w:tr>
        <w:trPr>
          <w:cantSplit/>
        </w:trPr>
        <w:tc>
          <w:tcPr>
            <w:tcW w:type="dxa" w:w="5727"/>
          </w:tcPr>
          <w:p>
            <w:r>
              <w:rPr>
                <w:sz w:val="17"/>
              </w:rPr>
            </w:r>
            <w:r>
              <w:rPr>
                <w:sz w:val="17"/>
              </w:rPr>
              <w:t>Sheet Rnn values consistent with index and manifest; never recycled</w:t>
            </w:r>
          </w:p>
        </w:tc>
        <w:tc>
          <w:tcPr>
            <w:tcW w:type="dxa" w:w="1740"/>
          </w:tcPr>
          <w:p>
            <w:r>
              <w:rPr>
                <w:sz w:val="17"/>
              </w:rPr>
            </w:r>
            <w:r>
              <w:rPr>
                <w:sz w:val="17"/>
              </w:rPr>
              <w:t>7.3 revision audit</w:t>
            </w:r>
          </w:p>
        </w:tc>
        <w:tc>
          <w:tcPr>
            <w:tcW w:type="dxa" w:w="1260"/>
          </w:tcPr>
          <w:p>
            <w:r>
              <w:rPr>
                <w:sz w:val="17"/>
              </w:rPr>
            </w:r>
            <w:r>
              <w:rPr>
                <w:sz w:val="17"/>
              </w:rPr>
              <w:t>QA-QC Lead</w:t>
            </w:r>
          </w:p>
        </w:tc>
        <w:tc>
          <w:tcPr>
            <w:tcW w:type="dxa" w:w="1739"/>
          </w:tcPr>
          <w:p>
            <w:r>
              <w:rPr>
                <w:sz w:val="17"/>
              </w:rPr>
            </w:r>
            <w:r>
              <w:rPr>
                <w:sz w:val="17"/>
              </w:rPr>
              <w:t>Comparison report</w:t>
            </w:r>
          </w:p>
        </w:tc>
      </w:tr>
      <w:tr>
        <w:trPr>
          <w:cantSplit/>
        </w:trPr>
        <w:tc>
          <w:tcPr>
            <w:tcW w:type="dxa" w:w="5727"/>
          </w:tcPr>
          <w:p>
            <w:r>
              <w:rPr>
                <w:sz w:val="17"/>
              </w:rPr>
            </w:r>
            <w:r>
              <w:rPr>
                <w:sz w:val="17"/>
              </w:rPr>
              <w:t>No tokens with mixed case or illegal separators</w:t>
            </w:r>
          </w:p>
        </w:tc>
        <w:tc>
          <w:tcPr>
            <w:tcW w:type="dxa" w:w="1740"/>
          </w:tcPr>
          <w:p>
            <w:r>
              <w:rPr>
                <w:sz w:val="17"/>
              </w:rPr>
            </w:r>
            <w:r>
              <w:rPr>
                <w:sz w:val="17"/>
              </w:rPr>
              <w:t>Lint for casing and separators</w:t>
            </w:r>
          </w:p>
        </w:tc>
        <w:tc>
          <w:tcPr>
            <w:tcW w:type="dxa" w:w="1260"/>
          </w:tcPr>
          <w:p>
            <w:r>
              <w:rPr>
                <w:sz w:val="17"/>
              </w:rPr>
            </w:r>
            <w:r>
              <w:rPr>
                <w:sz w:val="17"/>
              </w:rPr>
              <w:t>Information Manager</w:t>
            </w:r>
          </w:p>
        </w:tc>
        <w:tc>
          <w:tcPr>
            <w:tcW w:type="dxa" w:w="1739"/>
          </w:tcPr>
          <w:p>
            <w:r>
              <w:rPr>
                <w:sz w:val="17"/>
              </w:rPr>
            </w:r>
            <w:r>
              <w:rPr>
                <w:sz w:val="17"/>
              </w:rPr>
              <w:t>Lint report</w:t>
            </w:r>
          </w:p>
        </w:tc>
      </w:tr>
    </w:tbl>
    <w:p/>
    <w:p>
      <w:pPr/>
      <w:r>
        <w:t>Interlocks</w:t>
      </w:r>
    </w:p>
    <w:p>
      <w:pPr/>
      <w:r>
        <w:t>Pack workflow and revisions per 7.3 and 12.2</w:t>
      </w:r>
    </w:p>
    <w:p>
      <w:pPr/>
      <w:r>
        <w:t>IFC exports per 11.1–11.2</w:t>
      </w:r>
    </w:p>
    <w:p>
      <w:pPr/>
      <w:r>
        <w:t>Roles and responsibilities for audits per 9.2–9.3 and 2.2</w:t>
      </w:r>
    </w:p>
    <w:p>
      <w:pPr>
        <w:pStyle w:val="Heading3"/>
      </w:pPr>
      <w:r>
        <w:t>12.3.1 DISCIPLINE CODES</w:t>
      </w:r>
    </w:p>
    <w:p>
      <w:pPr/>
      <w:r>
        <w:t xml:space="preserve">One code register for views, sheets, folders, issues and file ROLE tokens: </w:t>
      </w:r>
      <w:r>
        <w:rPr>
          <w:color w:val="9A7B45"/>
          <w:u w:val="single"/>
        </w:rPr>
        <w:t>BBM-STD-93</w:t>
      </w:r>
      <w:r>
        <w:t xml:space="preserve"> (O-DEC-103). Subset used in this Manual, in folder-number order; the folder form NN-CODE (for example 04-LSC) is used in the 12.1 tree (</w:t>
      </w:r>
      <w:r>
        <w:rPr>
          <w:color w:val="9A7B45"/>
          <w:u w:val="single"/>
        </w:rPr>
        <w:t>O-DEC-149</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467"/>
        <w:gridCol w:w="3434"/>
        <w:gridCol w:w="3564"/>
      </w:tblGrid>
      <w:tr>
        <w:trPr>
          <w:cantSplit/>
          <w:tblHeader/>
        </w:trPr>
        <w:tc>
          <w:tcPr>
            <w:tcW w:type="dxa" w:w="3467"/>
            <w:shd w:val="clear" w:color="auto" w:fill="111113"/>
          </w:tcPr>
          <w:p>
            <w:r>
              <w:rPr>
                <w:b/>
                <w:color w:val="FFFFFF"/>
                <w:sz w:val="17"/>
              </w:rPr>
            </w:r>
            <w:r>
              <w:rPr>
                <w:b/>
                <w:color w:val="FFFFFF"/>
                <w:sz w:val="17"/>
              </w:rPr>
              <w:t>Discipline</w:t>
            </w:r>
          </w:p>
        </w:tc>
        <w:tc>
          <w:tcPr>
            <w:tcW w:type="dxa" w:w="3434"/>
            <w:shd w:val="clear" w:color="auto" w:fill="111113"/>
          </w:tcPr>
          <w:p>
            <w:r>
              <w:rPr>
                <w:b/>
                <w:color w:val="FFFFFF"/>
                <w:sz w:val="17"/>
              </w:rPr>
            </w:r>
            <w:r>
              <w:rPr>
                <w:b/>
                <w:color w:val="FFFFFF"/>
                <w:sz w:val="17"/>
              </w:rPr>
              <w:t>View /​ folder /​ issue code</w:t>
            </w:r>
          </w:p>
        </w:tc>
        <w:tc>
          <w:tcPr>
            <w:tcW w:type="dxa" w:w="3564"/>
            <w:shd w:val="clear" w:color="auto" w:fill="111113"/>
          </w:tcPr>
          <w:p>
            <w:r>
              <w:rPr>
                <w:b/>
                <w:color w:val="FFFFFF"/>
                <w:sz w:val="17"/>
              </w:rPr>
            </w:r>
            <w:r>
              <w:rPr>
                <w:b/>
                <w:color w:val="FFFFFF"/>
                <w:sz w:val="17"/>
              </w:rPr>
              <w:t>Sheet letter and file ROLE</w:t>
            </w:r>
          </w:p>
        </w:tc>
      </w:tr>
      <w:tr>
        <w:trPr>
          <w:cantSplit/>
        </w:trPr>
        <w:tc>
          <w:tcPr>
            <w:tcW w:type="dxa" w:w="3467"/>
          </w:tcPr>
          <w:p>
            <w:r>
              <w:rPr>
                <w:sz w:val="17"/>
              </w:rPr>
            </w:r>
            <w:r>
              <w:rPr>
                <w:sz w:val="17"/>
              </w:rPr>
              <w:t>Architecture</w:t>
            </w:r>
          </w:p>
        </w:tc>
        <w:tc>
          <w:tcPr>
            <w:tcW w:type="dxa" w:w="3434"/>
          </w:tcPr>
          <w:p>
            <w:r>
              <w:rPr>
                <w:sz w:val="17"/>
              </w:rPr>
            </w:r>
            <w:r>
              <w:rPr>
                <w:sz w:val="17"/>
              </w:rPr>
              <w:t>ARC</w:t>
            </w:r>
          </w:p>
        </w:tc>
        <w:tc>
          <w:tcPr>
            <w:tcW w:type="dxa" w:w="3564"/>
          </w:tcPr>
          <w:p>
            <w:r>
              <w:rPr>
                <w:sz w:val="17"/>
              </w:rPr>
            </w:r>
            <w:r>
              <w:rPr>
                <w:sz w:val="17"/>
              </w:rPr>
              <w:t>A</w:t>
            </w:r>
          </w:p>
        </w:tc>
      </w:tr>
      <w:tr>
        <w:trPr>
          <w:cantSplit/>
        </w:trPr>
        <w:tc>
          <w:tcPr>
            <w:tcW w:type="dxa" w:w="3467"/>
          </w:tcPr>
          <w:p>
            <w:r>
              <w:rPr>
                <w:sz w:val="17"/>
              </w:rPr>
            </w:r>
            <w:r>
              <w:rPr>
                <w:sz w:val="17"/>
              </w:rPr>
              <w:t>Structure</w:t>
            </w:r>
          </w:p>
        </w:tc>
        <w:tc>
          <w:tcPr>
            <w:tcW w:type="dxa" w:w="3434"/>
          </w:tcPr>
          <w:p>
            <w:r>
              <w:rPr>
                <w:sz w:val="17"/>
              </w:rPr>
            </w:r>
            <w:r>
              <w:rPr>
                <w:sz w:val="17"/>
              </w:rPr>
              <w:t>STR</w:t>
            </w:r>
          </w:p>
        </w:tc>
        <w:tc>
          <w:tcPr>
            <w:tcW w:type="dxa" w:w="3564"/>
          </w:tcPr>
          <w:p>
            <w:r>
              <w:rPr>
                <w:sz w:val="17"/>
              </w:rPr>
            </w:r>
            <w:r>
              <w:rPr>
                <w:sz w:val="17"/>
              </w:rPr>
              <w:t>S</w:t>
            </w:r>
          </w:p>
        </w:tc>
      </w:tr>
      <w:tr>
        <w:trPr>
          <w:cantSplit/>
        </w:trPr>
        <w:tc>
          <w:tcPr>
            <w:tcW w:type="dxa" w:w="3467"/>
          </w:tcPr>
          <w:p>
            <w:r>
              <w:rPr>
                <w:sz w:val="17"/>
              </w:rPr>
            </w:r>
            <w:r>
              <w:rPr>
                <w:sz w:val="17"/>
              </w:rPr>
              <w:t>Mechanical</w:t>
            </w:r>
          </w:p>
        </w:tc>
        <w:tc>
          <w:tcPr>
            <w:tcW w:type="dxa" w:w="3434"/>
          </w:tcPr>
          <w:p>
            <w:r>
              <w:rPr>
                <w:sz w:val="17"/>
              </w:rPr>
            </w:r>
            <w:r>
              <w:rPr>
                <w:sz w:val="17"/>
              </w:rPr>
              <w:t>MEC</w:t>
            </w:r>
          </w:p>
        </w:tc>
        <w:tc>
          <w:tcPr>
            <w:tcW w:type="dxa" w:w="3564"/>
          </w:tcPr>
          <w:p>
            <w:r>
              <w:rPr>
                <w:sz w:val="17"/>
              </w:rPr>
            </w:r>
            <w:r>
              <w:rPr>
                <w:sz w:val="17"/>
              </w:rPr>
              <w:t>M</w:t>
            </w:r>
          </w:p>
        </w:tc>
      </w:tr>
      <w:tr>
        <w:trPr>
          <w:cantSplit/>
        </w:trPr>
        <w:tc>
          <w:tcPr>
            <w:tcW w:type="dxa" w:w="3467"/>
          </w:tcPr>
          <w:p>
            <w:r>
              <w:rPr>
                <w:sz w:val="17"/>
              </w:rPr>
            </w:r>
            <w:r>
              <w:rPr>
                <w:sz w:val="17"/>
              </w:rPr>
              <w:t>Electrical</w:t>
            </w:r>
          </w:p>
        </w:tc>
        <w:tc>
          <w:tcPr>
            <w:tcW w:type="dxa" w:w="3434"/>
          </w:tcPr>
          <w:p>
            <w:r>
              <w:rPr>
                <w:sz w:val="17"/>
              </w:rPr>
            </w:r>
            <w:r>
              <w:rPr>
                <w:sz w:val="17"/>
              </w:rPr>
              <w:t>ELE</w:t>
            </w:r>
          </w:p>
        </w:tc>
        <w:tc>
          <w:tcPr>
            <w:tcW w:type="dxa" w:w="3564"/>
          </w:tcPr>
          <w:p>
            <w:r>
              <w:rPr>
                <w:sz w:val="17"/>
              </w:rPr>
            </w:r>
            <w:r>
              <w:rPr>
                <w:sz w:val="17"/>
              </w:rPr>
              <w:t>E</w:t>
            </w:r>
          </w:p>
        </w:tc>
      </w:tr>
      <w:tr>
        <w:trPr>
          <w:cantSplit/>
        </w:trPr>
        <w:tc>
          <w:tcPr>
            <w:tcW w:type="dxa" w:w="3467"/>
          </w:tcPr>
          <w:p>
            <w:r>
              <w:rPr>
                <w:sz w:val="17"/>
              </w:rPr>
            </w:r>
            <w:r>
              <w:rPr>
                <w:sz w:val="17"/>
              </w:rPr>
              <w:t>Landscape</w:t>
            </w:r>
          </w:p>
        </w:tc>
        <w:tc>
          <w:tcPr>
            <w:tcW w:type="dxa" w:w="3434"/>
          </w:tcPr>
          <w:p>
            <w:r>
              <w:rPr>
                <w:sz w:val="17"/>
              </w:rPr>
            </w:r>
            <w:r>
              <w:rPr>
                <w:sz w:val="17"/>
              </w:rPr>
              <w:t>LSC</w:t>
            </w:r>
          </w:p>
        </w:tc>
        <w:tc>
          <w:tcPr>
            <w:tcW w:type="dxa" w:w="3564"/>
          </w:tcPr>
          <w:p>
            <w:r>
              <w:rPr>
                <w:sz w:val="17"/>
              </w:rPr>
            </w:r>
            <w:r>
              <w:rPr>
                <w:sz w:val="17"/>
              </w:rPr>
              <w:t>L</w:t>
            </w:r>
          </w:p>
        </w:tc>
      </w:tr>
      <w:tr>
        <w:trPr>
          <w:cantSplit/>
        </w:trPr>
        <w:tc>
          <w:tcPr>
            <w:tcW w:type="dxa" w:w="3467"/>
          </w:tcPr>
          <w:p>
            <w:r>
              <w:rPr>
                <w:sz w:val="17"/>
              </w:rPr>
            </w:r>
            <w:r>
              <w:rPr>
                <w:sz w:val="17"/>
              </w:rPr>
              <w:t>Plumbing /​ public health</w:t>
            </w:r>
          </w:p>
        </w:tc>
        <w:tc>
          <w:tcPr>
            <w:tcW w:type="dxa" w:w="3434"/>
          </w:tcPr>
          <w:p>
            <w:r>
              <w:rPr>
                <w:sz w:val="17"/>
              </w:rPr>
            </w:r>
            <w:r>
              <w:rPr>
                <w:sz w:val="17"/>
              </w:rPr>
              <w:t>PLU</w:t>
            </w:r>
          </w:p>
        </w:tc>
        <w:tc>
          <w:tcPr>
            <w:tcW w:type="dxa" w:w="3564"/>
          </w:tcPr>
          <w:p>
            <w:r>
              <w:rPr>
                <w:sz w:val="17"/>
              </w:rPr>
            </w:r>
            <w:r>
              <w:rPr>
                <w:sz w:val="17"/>
              </w:rPr>
              <w:t>P</w:t>
            </w:r>
          </w:p>
        </w:tc>
      </w:tr>
      <w:tr>
        <w:trPr>
          <w:cantSplit/>
        </w:trPr>
        <w:tc>
          <w:tcPr>
            <w:tcW w:type="dxa" w:w="3467"/>
          </w:tcPr>
          <w:p>
            <w:r>
              <w:rPr>
                <w:sz w:val="17"/>
              </w:rPr>
            </w:r>
            <w:r>
              <w:rPr>
                <w:sz w:val="17"/>
              </w:rPr>
              <w:t>Fire and Life Safety</w:t>
            </w:r>
          </w:p>
        </w:tc>
        <w:tc>
          <w:tcPr>
            <w:tcW w:type="dxa" w:w="3434"/>
          </w:tcPr>
          <w:p>
            <w:r>
              <w:rPr>
                <w:sz w:val="17"/>
              </w:rPr>
            </w:r>
            <w:r>
              <w:rPr>
                <w:sz w:val="17"/>
              </w:rPr>
              <w:t>FLS</w:t>
            </w:r>
          </w:p>
        </w:tc>
        <w:tc>
          <w:tcPr>
            <w:tcW w:type="dxa" w:w="3564"/>
          </w:tcPr>
          <w:p>
            <w:r>
              <w:rPr>
                <w:sz w:val="17"/>
              </w:rPr>
            </w:r>
            <w:r>
              <w:rPr>
                <w:sz w:val="17"/>
              </w:rPr>
              <w:t>F</w:t>
            </w:r>
          </w:p>
        </w:tc>
      </w:tr>
      <w:tr>
        <w:trPr>
          <w:cantSplit/>
        </w:trPr>
        <w:tc>
          <w:tcPr>
            <w:tcW w:type="dxa" w:w="3467"/>
          </w:tcPr>
          <w:p>
            <w:r>
              <w:rPr>
                <w:sz w:val="17"/>
              </w:rPr>
            </w:r>
            <w:r>
              <w:rPr>
                <w:sz w:val="17"/>
              </w:rPr>
              <w:t>Interiors</w:t>
            </w:r>
          </w:p>
        </w:tc>
        <w:tc>
          <w:tcPr>
            <w:tcW w:type="dxa" w:w="3434"/>
          </w:tcPr>
          <w:p>
            <w:r>
              <w:rPr>
                <w:sz w:val="17"/>
              </w:rPr>
            </w:r>
            <w:r>
              <w:rPr>
                <w:sz w:val="17"/>
              </w:rPr>
              <w:t>INT</w:t>
            </w:r>
          </w:p>
        </w:tc>
        <w:tc>
          <w:tcPr>
            <w:tcW w:type="dxa" w:w="3564"/>
          </w:tcPr>
          <w:p>
            <w:r>
              <w:rPr>
                <w:sz w:val="17"/>
              </w:rPr>
            </w:r>
            <w:r>
              <w:rPr>
                <w:sz w:val="17"/>
              </w:rPr>
              <w:t>I</w:t>
            </w:r>
          </w:p>
        </w:tc>
      </w:tr>
      <w:tr>
        <w:trPr>
          <w:cantSplit/>
        </w:trPr>
        <w:tc>
          <w:tcPr>
            <w:tcW w:type="dxa" w:w="3467"/>
          </w:tcPr>
          <w:p>
            <w:r>
              <w:rPr>
                <w:sz w:val="17"/>
              </w:rPr>
            </w:r>
            <w:r>
              <w:rPr>
                <w:sz w:val="17"/>
              </w:rPr>
              <w:t>Civil</w:t>
            </w:r>
          </w:p>
        </w:tc>
        <w:tc>
          <w:tcPr>
            <w:tcW w:type="dxa" w:w="3434"/>
          </w:tcPr>
          <w:p>
            <w:r>
              <w:rPr>
                <w:sz w:val="17"/>
              </w:rPr>
            </w:r>
            <w:r>
              <w:rPr>
                <w:sz w:val="17"/>
              </w:rPr>
              <w:t>CIV</w:t>
            </w:r>
          </w:p>
        </w:tc>
        <w:tc>
          <w:tcPr>
            <w:tcW w:type="dxa" w:w="3564"/>
          </w:tcPr>
          <w:p>
            <w:r>
              <w:rPr>
                <w:sz w:val="17"/>
              </w:rPr>
            </w:r>
            <w:r>
              <w:rPr>
                <w:sz w:val="17"/>
              </w:rPr>
              <w:t>C</w:t>
            </w:r>
          </w:p>
        </w:tc>
      </w:tr>
      <w:tr>
        <w:trPr>
          <w:cantSplit/>
        </w:trPr>
        <w:tc>
          <w:tcPr>
            <w:tcW w:type="dxa" w:w="3467"/>
          </w:tcPr>
          <w:p>
            <w:r>
              <w:rPr>
                <w:sz w:val="17"/>
              </w:rPr>
            </w:r>
            <w:r>
              <w:rPr>
                <w:sz w:val="17"/>
              </w:rPr>
              <w:t>Survey</w:t>
            </w:r>
          </w:p>
        </w:tc>
        <w:tc>
          <w:tcPr>
            <w:tcW w:type="dxa" w:w="3434"/>
          </w:tcPr>
          <w:p>
            <w:r>
              <w:rPr>
                <w:sz w:val="17"/>
              </w:rPr>
            </w:r>
            <w:r>
              <w:rPr>
                <w:sz w:val="17"/>
              </w:rPr>
              <w:t>SUR</w:t>
            </w:r>
          </w:p>
        </w:tc>
        <w:tc>
          <w:tcPr>
            <w:tcW w:type="dxa" w:w="3564"/>
          </w:tcPr>
          <w:p>
            <w:r>
              <w:rPr>
                <w:sz w:val="17"/>
              </w:rPr>
            </w:r>
            <w:r>
              <w:rPr>
                <w:sz w:val="17"/>
              </w:rPr>
              <w:t>G</w:t>
            </w:r>
          </w:p>
        </w:tc>
      </w:tr>
      <w:tr>
        <w:trPr>
          <w:cantSplit/>
        </w:trPr>
        <w:tc>
          <w:tcPr>
            <w:tcW w:type="dxa" w:w="3467"/>
          </w:tcPr>
          <w:p>
            <w:r>
              <w:rPr>
                <w:sz w:val="17"/>
              </w:rPr>
            </w:r>
            <w:r>
              <w:rPr>
                <w:sz w:val="17"/>
              </w:rPr>
              <w:t>Cost /​ quantities</w:t>
            </w:r>
          </w:p>
        </w:tc>
        <w:tc>
          <w:tcPr>
            <w:tcW w:type="dxa" w:w="3434"/>
          </w:tcPr>
          <w:p>
            <w:r>
              <w:rPr>
                <w:sz w:val="17"/>
              </w:rPr>
            </w:r>
            <w:r>
              <w:rPr>
                <w:sz w:val="17"/>
              </w:rPr>
              <w:t>QTY</w:t>
            </w:r>
          </w:p>
        </w:tc>
        <w:tc>
          <w:tcPr>
            <w:tcW w:type="dxa" w:w="3564"/>
          </w:tcPr>
          <w:p>
            <w:r>
              <w:rPr>
                <w:sz w:val="17"/>
              </w:rPr>
            </w:r>
            <w:r>
              <w:rPr>
                <w:sz w:val="17"/>
              </w:rPr>
              <w:t>Q</w:t>
            </w:r>
          </w:p>
        </w:tc>
      </w:tr>
      <w:tr>
        <w:trPr>
          <w:cantSplit/>
        </w:trPr>
        <w:tc>
          <w:tcPr>
            <w:tcW w:type="dxa" w:w="3467"/>
          </w:tcPr>
          <w:p>
            <w:r>
              <w:rPr>
                <w:sz w:val="17"/>
              </w:rPr>
            </w:r>
            <w:r>
              <w:rPr>
                <w:sz w:val="17"/>
              </w:rPr>
              <w:t>Contractor</w:t>
            </w:r>
          </w:p>
        </w:tc>
        <w:tc>
          <w:tcPr>
            <w:tcW w:type="dxa" w:w="3434"/>
          </w:tcPr>
          <w:p>
            <w:r>
              <w:rPr>
                <w:sz w:val="17"/>
              </w:rPr>
            </w:r>
            <w:r>
              <w:rPr>
                <w:sz w:val="17"/>
              </w:rPr>
              <w:t>CON</w:t>
            </w:r>
          </w:p>
        </w:tc>
        <w:tc>
          <w:tcPr>
            <w:tcW w:type="dxa" w:w="3564"/>
          </w:tcPr>
          <w:p>
            <w:r>
              <w:rPr>
                <w:sz w:val="17"/>
              </w:rPr>
            </w:r>
            <w:r>
              <w:rPr>
                <w:sz w:val="17"/>
              </w:rPr>
              <w:t>W</w:t>
            </w:r>
          </w:p>
        </w:tc>
      </w:tr>
      <w:tr>
        <w:trPr>
          <w:cantSplit/>
        </w:trPr>
        <w:tc>
          <w:tcPr>
            <w:tcW w:type="dxa" w:w="3467"/>
          </w:tcPr>
          <w:p>
            <w:r>
              <w:rPr>
                <w:sz w:val="17"/>
              </w:rPr>
            </w:r>
            <w:r>
              <w:rPr>
                <w:sz w:val="17"/>
              </w:rPr>
              <w:t>General /​ multi-discipline</w:t>
            </w:r>
          </w:p>
        </w:tc>
        <w:tc>
          <w:tcPr>
            <w:tcW w:type="dxa" w:w="3434"/>
          </w:tcPr>
          <w:p>
            <w:r>
              <w:rPr>
                <w:sz w:val="17"/>
              </w:rPr>
            </w:r>
            <w:r>
              <w:rPr>
                <w:sz w:val="17"/>
              </w:rPr>
              <w:t>GEN</w:t>
            </w:r>
          </w:p>
        </w:tc>
        <w:tc>
          <w:tcPr>
            <w:tcW w:type="dxa" w:w="3564"/>
          </w:tcPr>
          <w:p>
            <w:r>
              <w:rPr>
                <w:sz w:val="17"/>
              </w:rPr>
            </w:r>
            <w:r>
              <w:rPr>
                <w:sz w:val="17"/>
              </w:rPr>
              <w:t>Z</w:t>
            </w:r>
          </w:p>
        </w:tc>
      </w:tr>
    </w:tbl>
    <w:p/>
    <w:p>
      <w:pPr/>
      <w:r>
        <w:t>Extra disciplines take the next free code in BBM-STD-93. "MEP" is an umbrella label for MEC + ELE + PLU, not a code.</w:t>
      </w:r>
    </w:p>
    <w:p>
      <w:pPr>
        <w:pStyle w:val="Heading2"/>
      </w:pPr>
      <w:r>
        <w:t>12.4 CONTROLLED CDE STATES AND DECISIONS</w:t>
      </w:r>
    </w:p>
    <w:p>
      <w:pPr/>
      <w:r>
        <w:t xml:space="preserve">IMI Framework (formerly UK BIM Framework, renamed May 2025) Guidance C, edition 1 (2020, archived), distinguishes workflow from the technical platform. </w:t>
      </w:r>
      <w:r>
        <w:rPr>
          <w:b/>
        </w:rPr>
        <w:t>Native/editable models can be controlled information.</w:t>
      </w:r>
      <w:r>
        <w:t xml:space="preserve"> A PDF is not automatically authorised. Browser Publish folders, model sync and cloud Publish do not themselves change formal suitability/state.</w:t>
      </w:r>
    </w:p>
    <w:p>
      <w:r>
        <w:drawing>
          <wp:inline xmlns:a="http://schemas.openxmlformats.org/drawingml/2006/main" xmlns:pic="http://schemas.openxmlformats.org/drawingml/2006/picture">
            <wp:extent cx="6645910" cy="3738324"/>
            <wp:docPr id="2" name="Picture 2"/>
            <wp:cNvGraphicFramePr>
              <a:graphicFrameLocks noChangeAspect="1"/>
            </wp:cNvGraphicFramePr>
            <a:graphic>
              <a:graphicData uri="http://schemas.openxmlformats.org/drawingml/2006/picture">
                <pic:pic>
                  <pic:nvPicPr>
                    <pic:cNvPr id="0" name="BBM-STD-01-cde-decisions.png"/>
                    <pic:cNvPicPr/>
                  </pic:nvPicPr>
                  <pic:blipFill>
                    <a:blip r:embed="rId16"/>
                    <a:stretch>
                      <a:fillRect/>
                    </a:stretch>
                  </pic:blipFill>
                  <pic:spPr>
                    <a:xfrm>
                      <a:off x="0" y="0"/>
                      <a:ext cx="6645910" cy="3738324"/>
                    </a:xfrm>
                    <a:prstGeom prst="rect"/>
                  </pic:spPr>
                </pic:pic>
              </a:graphicData>
            </a:graphic>
          </wp:inline>
        </w:drawing>
      </w:r>
    </w:p>
    <w:p>
      <w:pPr/>
      <w:r>
        <w:rPr>
          <w:i/>
        </w:rPr>
        <w:t>Check, sharing approval, delivery authorisation and receiving acceptance attach to the exact identified information set.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09"/>
        <w:gridCol w:w="4282"/>
        <w:gridCol w:w="4775"/>
      </w:tblGrid>
      <w:tr>
        <w:trPr>
          <w:cantSplit/>
          <w:tblHeader/>
        </w:trPr>
        <w:tc>
          <w:tcPr>
            <w:tcW w:type="dxa" w:w="1409"/>
            <w:shd w:val="clear" w:color="auto" w:fill="111113"/>
          </w:tcPr>
          <w:p>
            <w:r>
              <w:rPr>
                <w:b/>
                <w:color w:val="FFFFFF"/>
                <w:sz w:val="17"/>
              </w:rPr>
            </w:r>
            <w:r>
              <w:rPr>
                <w:b/>
                <w:color w:val="FFFFFF"/>
                <w:sz w:val="17"/>
              </w:rPr>
              <w:t>State /​ alias</w:t>
            </w:r>
          </w:p>
        </w:tc>
        <w:tc>
          <w:tcPr>
            <w:tcW w:type="dxa" w:w="4282"/>
            <w:shd w:val="clear" w:color="auto" w:fill="111113"/>
          </w:tcPr>
          <w:p>
            <w:r>
              <w:rPr>
                <w:b/>
                <w:color w:val="FFFFFF"/>
                <w:sz w:val="17"/>
              </w:rPr>
            </w:r>
            <w:r>
              <w:rPr>
                <w:b/>
                <w:color w:val="FFFFFF"/>
                <w:sz w:val="17"/>
              </w:rPr>
              <w:t>Permitted use /​ transition</w:t>
            </w:r>
          </w:p>
        </w:tc>
        <w:tc>
          <w:tcPr>
            <w:tcW w:type="dxa" w:w="4775"/>
            <w:shd w:val="clear" w:color="auto" w:fill="111113"/>
          </w:tcPr>
          <w:p>
            <w:r>
              <w:rPr>
                <w:b/>
                <w:color w:val="FFFFFF"/>
                <w:sz w:val="17"/>
              </w:rPr>
            </w:r>
            <w:r>
              <w:rPr>
                <w:b/>
                <w:color w:val="FFFFFF"/>
                <w:sz w:val="17"/>
              </w:rPr>
              <w:t>Authority and retained evidence</w:t>
            </w:r>
          </w:p>
        </w:tc>
      </w:tr>
      <w:tr>
        <w:trPr>
          <w:cantSplit/>
        </w:trPr>
        <w:tc>
          <w:tcPr>
            <w:tcW w:type="dxa" w:w="1409"/>
          </w:tcPr>
          <w:p>
            <w:r>
              <w:rPr>
                <w:sz w:val="17"/>
              </w:rPr>
            </w:r>
            <w:r>
              <w:rPr>
                <w:sz w:val="17"/>
              </w:rPr>
              <w:t>WIP /​ 01-WIP</w:t>
            </w:r>
          </w:p>
        </w:tc>
        <w:tc>
          <w:tcPr>
            <w:tcW w:type="dxa" w:w="4282"/>
          </w:tcPr>
          <w:p>
            <w:r>
              <w:rPr>
                <w:sz w:val="17"/>
              </w:rPr>
            </w:r>
            <w:r>
              <w:rPr>
                <w:sz w:val="17"/>
              </w:rPr>
              <w:t>Producer work; restricted to authorised task team</w:t>
            </w:r>
          </w:p>
        </w:tc>
        <w:tc>
          <w:tcPr>
            <w:tcW w:type="dxa" w:w="4775"/>
          </w:tcPr>
          <w:p>
            <w:r>
              <w:rPr>
                <w:sz w:val="17"/>
              </w:rPr>
            </w:r>
            <w:r>
              <w:rPr>
                <w:sz w:val="17"/>
              </w:rPr>
              <w:t>Owner, internal versions and access controls; checked before sharing</w:t>
            </w:r>
          </w:p>
        </w:tc>
      </w:tr>
      <w:tr>
        <w:trPr>
          <w:cantSplit/>
        </w:trPr>
        <w:tc>
          <w:tcPr>
            <w:tcW w:type="dxa" w:w="1409"/>
          </w:tcPr>
          <w:p>
            <w:r>
              <w:rPr>
                <w:sz w:val="17"/>
              </w:rPr>
            </w:r>
            <w:r>
              <w:rPr>
                <w:sz w:val="17"/>
              </w:rPr>
              <w:t>Shared /​ 02-SHARED</w:t>
            </w:r>
          </w:p>
        </w:tc>
        <w:tc>
          <w:tcPr>
            <w:tcW w:type="dxa" w:w="4282"/>
          </w:tcPr>
          <w:p>
            <w:r>
              <w:rPr>
                <w:sz w:val="17"/>
              </w:rPr>
            </w:r>
            <w:r>
              <w:rPr>
                <w:sz w:val="17"/>
              </w:rPr>
              <w:t>Approved limited coordination/​review use; not construction merely by location</w:t>
            </w:r>
          </w:p>
        </w:tc>
        <w:tc>
          <w:tcPr>
            <w:tcW w:type="dxa" w:w="4775"/>
          </w:tcPr>
          <w:p>
            <w:r>
              <w:rPr>
                <w:sz w:val="17"/>
              </w:rPr>
            </w:r>
            <w:r>
              <w:rPr>
                <w:sz w:val="17"/>
              </w:rPr>
              <w:t>Task-team approval, requirements/​rule reports, suitability, revision, date and comments</w:t>
            </w:r>
          </w:p>
        </w:tc>
      </w:tr>
      <w:tr>
        <w:trPr>
          <w:cantSplit/>
        </w:trPr>
        <w:tc>
          <w:tcPr>
            <w:tcW w:type="dxa" w:w="1409"/>
          </w:tcPr>
          <w:p>
            <w:r>
              <w:rPr>
                <w:sz w:val="17"/>
              </w:rPr>
            </w:r>
            <w:r>
              <w:rPr>
                <w:sz w:val="17"/>
              </w:rPr>
              <w:t>Published /​ 03-PUBLISHED</w:t>
            </w:r>
          </w:p>
        </w:tc>
        <w:tc>
          <w:tcPr>
            <w:tcW w:type="dxa" w:w="4282"/>
          </w:tcPr>
          <w:p>
            <w:r>
              <w:rPr>
                <w:sz w:val="17"/>
              </w:rPr>
            </w:r>
            <w:r>
              <w:rPr>
                <w:sz w:val="17"/>
              </w:rPr>
              <w:t>Authorised/​accepted use within recorded appointment workflow; formal delivery is the transition to Published after authorisation (ISO 19650-2 5.7; O-DEC-117)</w:t>
            </w:r>
          </w:p>
        </w:tc>
        <w:tc>
          <w:tcPr>
            <w:tcW w:type="dxa" w:w="4775"/>
          </w:tcPr>
          <w:p>
            <w:r>
              <w:rPr>
                <w:sz w:val="17"/>
              </w:rPr>
            </w:r>
            <w:r>
              <w:rPr>
                <w:sz w:val="17"/>
              </w:rPr>
              <w:t>LAP submission authorisation; recipient acceptance and permitted-use scope; immutable manifest</w:t>
            </w:r>
          </w:p>
        </w:tc>
      </w:tr>
      <w:tr>
        <w:trPr>
          <w:cantSplit/>
        </w:trPr>
        <w:tc>
          <w:tcPr>
            <w:tcW w:type="dxa" w:w="1409"/>
          </w:tcPr>
          <w:p>
            <w:r>
              <w:rPr>
                <w:sz w:val="17"/>
              </w:rPr>
            </w:r>
            <w:r>
              <w:rPr>
                <w:sz w:val="17"/>
              </w:rPr>
              <w:t>Archive /​ 04-ARCHIVE</w:t>
            </w:r>
          </w:p>
        </w:tc>
        <w:tc>
          <w:tcPr>
            <w:tcW w:type="dxa" w:w="4282"/>
          </w:tcPr>
          <w:p>
            <w:r>
              <w:rPr>
                <w:sz w:val="17"/>
              </w:rPr>
            </w:r>
            <w:r>
              <w:rPr>
                <w:sz w:val="17"/>
              </w:rPr>
              <w:t>Audit/​history of superseded versions and decisions</w:t>
            </w:r>
          </w:p>
        </w:tc>
        <w:tc>
          <w:tcPr>
            <w:tcW w:type="dxa" w:w="4775"/>
          </w:tcPr>
          <w:p>
            <w:r>
              <w:rPr>
                <w:sz w:val="17"/>
              </w:rPr>
            </w:r>
            <w:r>
              <w:rPr>
                <w:sz w:val="17"/>
              </w:rPr>
              <w:t>Retain original issue identity, predecessor/​successor links, permissions and retention schedule</w:t>
            </w:r>
          </w:p>
        </w:tc>
      </w:tr>
    </w:tbl>
    <w:p/>
    <w:p>
      <w:pPr/>
      <w:r>
        <w:rPr>
          <w:b/>
        </w:rPr>
        <w:t>Decision (BIM Manager, 2026-10-14):</w:t>
      </w:r>
      <w:r>
        <w:t xml:space="preserve"> Use WIP / Shared / Published / Archive as logical CDE states; the Published state folder is 03-PUBLISHED and the earlier platform alias is retired (</w:t>
      </w:r>
      <w:r>
        <w:rPr>
          <w:color w:val="9A7B45"/>
          <w:u w:val="single"/>
        </w:rPr>
        <w:t>O-DEC-149</w:t>
      </w:r>
      <w:r>
        <w:t>); keep revision, suitability, permitted use and acceptance as separate metadata. Basis: Logical workflow maps to platform labels without changing issued identity or reliance G-C (</w:t>
      </w:r>
      <w:r>
        <w:rPr>
          <w:color w:val="9A7B45"/>
          <w:u w:val="single"/>
        </w:rPr>
        <w:t>O-DEC-019</w:t>
      </w:r>
      <w:r>
        <w:t>).</w:t>
      </w:r>
    </w:p>
    <w:p>
      <w:pPr/>
      <w:r>
        <w:t>The annex maps actual authorisation/acceptance sequence to platform workflow. Staging stays restricted WIP; any submitted Published candidate awaiting acceptance must state pending acceptance / no authorised construction reliance, with review-only access.</w:t>
      </w:r>
    </w:p>
    <w:p>
      <w:pPr/>
      <w:r>
        <w:t>Required transition record: container ID, revision, CDE version/checksum, source/target state, suitability and intended use, requirement/rule revisions, producer/checker, sharing approval, submission authorisation, receiving decision/date, comments/owner/due date and transmittal ID. A conditional decision may only cover non-blocking comments within explicitly permitted use. Mandatory failures require reject/correct/retest. Gate outcomes A=Accepted, B=Accepted with defined comments, C=Rejected are local decision labels (O-DEC-107); they are not suitability codes or RACI powers.</w:t>
      </w:r>
    </w:p>
    <w:p>
      <w:pPr/>
      <w:r>
        <w:t>Rejection preserves the submitted set and decision; producer corrects in WIP, increments the controlled revision as required and resubmits with retest evidence. Do not overwrite an issued model, silently rename its identity, infer supersedence from a date, or remove archive evidence. Record folder aliases, migration effective date, prior/new IDs and approval in the annex. Test platform access and transition audit before live use.</w:t>
      </w:r>
    </w:p>
    <w:p>
      <w:pPr>
        <w:pStyle w:val="Heading2"/>
      </w:pPr>
      <w:r>
        <w:t>12.5 HANDOVER AND AIM MAINTENANCE</w:t>
      </w:r>
    </w:p>
    <w:p>
      <w:pPr/>
      <w:r>
        <w:t>Before handover, the asset information owner confirms AIR scope, maintainable assets, receiving system/profile, required safety/O&amp;M records and data/document update owners. Task teams reconcile as-constructed evidence with approved design and identify uncertain/unverified conditions; a model labelled as-built is not proof of survey accuracy. Link every required asset to stable ID, location, maintainable type, data source, current documents and residual-risk records. Populate values only from authorised sources, preserving provenance and uncertainty.</w:t>
      </w:r>
    </w:p>
    <w:p>
      <w:pPr/>
      <w:r>
        <w:t>Recipient acceptance includes actual asset-system import, key/relationship checks, document opening/access, unit checks and a representative changed/replaced asset update. Record duplicates, missing required records and any permitted conditional scope. Transfer the update procedure, access and training evidence, not just a final ZIP or export.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57"/>
        <w:gridCol w:w="2209"/>
        <w:gridCol w:w="2858"/>
        <w:gridCol w:w="3742"/>
      </w:tblGrid>
      <w:tr>
        <w:trPr>
          <w:cantSplit/>
          <w:tblHeader/>
        </w:trPr>
        <w:tc>
          <w:tcPr>
            <w:tcW w:type="dxa" w:w="1657"/>
            <w:shd w:val="clear" w:color="auto" w:fill="111113"/>
          </w:tcPr>
          <w:p>
            <w:r>
              <w:rPr>
                <w:b/>
                <w:color w:val="FFFFFF"/>
                <w:sz w:val="17"/>
              </w:rPr>
            </w:r>
            <w:r>
              <w:rPr>
                <w:b/>
                <w:color w:val="FFFFFF"/>
                <w:sz w:val="17"/>
              </w:rPr>
              <w:t>Trigger</w:t>
            </w:r>
          </w:p>
        </w:tc>
        <w:tc>
          <w:tcPr>
            <w:tcW w:type="dxa" w:w="2209"/>
            <w:shd w:val="clear" w:color="auto" w:fill="111113"/>
          </w:tcPr>
          <w:p>
            <w:r>
              <w:rPr>
                <w:b/>
                <w:color w:val="FFFFFF"/>
                <w:sz w:val="17"/>
              </w:rPr>
            </w:r>
            <w:r>
              <w:rPr>
                <w:b/>
                <w:color w:val="FFFFFF"/>
                <w:sz w:val="17"/>
              </w:rPr>
              <w:t>Producer /​ update owner</w:t>
            </w:r>
          </w:p>
        </w:tc>
        <w:tc>
          <w:tcPr>
            <w:tcW w:type="dxa" w:w="2858"/>
            <w:shd w:val="clear" w:color="auto" w:fill="111113"/>
          </w:tcPr>
          <w:p>
            <w:r>
              <w:rPr>
                <w:b/>
                <w:color w:val="FFFFFF"/>
                <w:sz w:val="17"/>
              </w:rPr>
            </w:r>
            <w:r>
              <w:rPr>
                <w:b/>
                <w:color w:val="FFFFFF"/>
                <w:sz w:val="17"/>
              </w:rPr>
              <w:t>Updated information</w:t>
            </w:r>
          </w:p>
        </w:tc>
        <w:tc>
          <w:tcPr>
            <w:tcW w:type="dxa" w:w="3742"/>
            <w:shd w:val="clear" w:color="auto" w:fill="111113"/>
          </w:tcPr>
          <w:p>
            <w:r>
              <w:rPr>
                <w:b/>
                <w:color w:val="FFFFFF"/>
                <w:sz w:val="17"/>
              </w:rPr>
            </w:r>
            <w:r>
              <w:rPr>
                <w:b/>
                <w:color w:val="FFFFFF"/>
                <w:sz w:val="17"/>
              </w:rPr>
              <w:t>Receiving check /​ record</w:t>
            </w:r>
          </w:p>
        </w:tc>
      </w:tr>
      <w:tr>
        <w:trPr>
          <w:cantSplit/>
        </w:trPr>
        <w:tc>
          <w:tcPr>
            <w:tcW w:type="dxa" w:w="1657"/>
          </w:tcPr>
          <w:p>
            <w:r>
              <w:rPr>
                <w:sz w:val="17"/>
              </w:rPr>
            </w:r>
            <w:r>
              <w:rPr>
                <w:sz w:val="17"/>
              </w:rPr>
              <w:t>Handover</w:t>
            </w:r>
          </w:p>
        </w:tc>
        <w:tc>
          <w:tcPr>
            <w:tcW w:type="dxa" w:w="2209"/>
          </w:tcPr>
          <w:p>
            <w:r>
              <w:rPr>
                <w:sz w:val="17"/>
              </w:rPr>
            </w:r>
            <w:r>
              <w:rPr>
                <w:sz w:val="17"/>
              </w:rPr>
              <w:t>Delivery task teams /​ appointed asset-data lead</w:t>
            </w:r>
          </w:p>
        </w:tc>
        <w:tc>
          <w:tcPr>
            <w:tcW w:type="dxa" w:w="2858"/>
          </w:tcPr>
          <w:p>
            <w:r>
              <w:rPr>
                <w:sz w:val="17"/>
              </w:rPr>
            </w:r>
            <w:r>
              <w:rPr>
                <w:sz w:val="17"/>
              </w:rPr>
              <w:t>Verified asset set, O&amp;M, safety records and source revisions</w:t>
            </w:r>
          </w:p>
        </w:tc>
        <w:tc>
          <w:tcPr>
            <w:tcW w:type="dxa" w:w="3742"/>
          </w:tcPr>
          <w:p>
            <w:r>
              <w:rPr>
                <w:sz w:val="17"/>
              </w:rPr>
            </w:r>
            <w:r>
              <w:rPr>
                <w:sz w:val="17"/>
              </w:rPr>
              <w:t>AIR completeness plus target-system ingestion; handover decision ID</w:t>
            </w:r>
          </w:p>
        </w:tc>
      </w:tr>
      <w:tr>
        <w:trPr>
          <w:cantSplit/>
        </w:trPr>
        <w:tc>
          <w:tcPr>
            <w:tcW w:type="dxa" w:w="1657"/>
          </w:tcPr>
          <w:p>
            <w:r>
              <w:rPr>
                <w:sz w:val="17"/>
              </w:rPr>
            </w:r>
            <w:r>
              <w:rPr>
                <w:sz w:val="17"/>
              </w:rPr>
              <w:t>Maintenance /​ replacement</w:t>
            </w:r>
          </w:p>
        </w:tc>
        <w:tc>
          <w:tcPr>
            <w:tcW w:type="dxa" w:w="2209"/>
          </w:tcPr>
          <w:p>
            <w:r>
              <w:rPr>
                <w:sz w:val="17"/>
              </w:rPr>
            </w:r>
            <w:r>
              <w:rPr>
                <w:sz w:val="17"/>
              </w:rPr>
              <w:t>Operational data owner with responsible maintainer</w:t>
            </w:r>
          </w:p>
        </w:tc>
        <w:tc>
          <w:tcPr>
            <w:tcW w:type="dxa" w:w="2858"/>
          </w:tcPr>
          <w:p>
            <w:r>
              <w:rPr>
                <w:sz w:val="17"/>
              </w:rPr>
            </w:r>
            <w:r>
              <w:rPr>
                <w:sz w:val="17"/>
              </w:rPr>
              <w:t>Status, new component identity, service records and changed documents</w:t>
            </w:r>
          </w:p>
        </w:tc>
        <w:tc>
          <w:tcPr>
            <w:tcW w:type="dxa" w:w="3742"/>
          </w:tcPr>
          <w:p>
            <w:r>
              <w:rPr>
                <w:sz w:val="17"/>
              </w:rPr>
            </w:r>
            <w:r>
              <w:rPr>
                <w:sz w:val="17"/>
              </w:rPr>
              <w:t>Referential integrity, retired/​replacement link and approved AIM revision</w:t>
            </w:r>
          </w:p>
        </w:tc>
      </w:tr>
      <w:tr>
        <w:trPr>
          <w:cantSplit/>
        </w:trPr>
        <w:tc>
          <w:tcPr>
            <w:tcW w:type="dxa" w:w="1657"/>
          </w:tcPr>
          <w:p>
            <w:r>
              <w:rPr>
                <w:sz w:val="17"/>
              </w:rPr>
            </w:r>
            <w:r>
              <w:rPr>
                <w:sz w:val="17"/>
              </w:rPr>
              <w:t>Inspection /​ incident</w:t>
            </w:r>
          </w:p>
        </w:tc>
        <w:tc>
          <w:tcPr>
            <w:tcW w:type="dxa" w:w="2209"/>
          </w:tcPr>
          <w:p>
            <w:r>
              <w:rPr>
                <w:sz w:val="17"/>
              </w:rPr>
            </w:r>
            <w:r>
              <w:rPr>
                <w:sz w:val="17"/>
              </w:rPr>
              <w:t>Asset/​safety owner</w:t>
            </w:r>
          </w:p>
        </w:tc>
        <w:tc>
          <w:tcPr>
            <w:tcW w:type="dxa" w:w="2858"/>
          </w:tcPr>
          <w:p>
            <w:r>
              <w:rPr>
                <w:sz w:val="17"/>
              </w:rPr>
            </w:r>
            <w:r>
              <w:rPr>
                <w:sz w:val="17"/>
              </w:rPr>
              <w:t>Condition, hazard/​control and action records</w:t>
            </w:r>
          </w:p>
        </w:tc>
        <w:tc>
          <w:tcPr>
            <w:tcW w:type="dxa" w:w="3742"/>
          </w:tcPr>
          <w:p>
            <w:r>
              <w:rPr>
                <w:sz w:val="17"/>
              </w:rPr>
            </w:r>
            <w:r>
              <w:rPr>
                <w:sz w:val="17"/>
              </w:rPr>
              <w:t>Competent review, changed-use/​security controls and acknowledgment</w:t>
            </w:r>
          </w:p>
        </w:tc>
      </w:tr>
      <w:tr>
        <w:trPr>
          <w:cantSplit/>
        </w:trPr>
        <w:tc>
          <w:tcPr>
            <w:tcW w:type="dxa" w:w="1657"/>
          </w:tcPr>
          <w:p>
            <w:r>
              <w:rPr>
                <w:sz w:val="17"/>
              </w:rPr>
            </w:r>
            <w:r>
              <w:rPr>
                <w:sz w:val="17"/>
              </w:rPr>
              <w:t>Decommissioning</w:t>
            </w:r>
          </w:p>
        </w:tc>
        <w:tc>
          <w:tcPr>
            <w:tcW w:type="dxa" w:w="2209"/>
          </w:tcPr>
          <w:p>
            <w:r>
              <w:rPr>
                <w:sz w:val="17"/>
              </w:rPr>
            </w:r>
            <w:r>
              <w:rPr>
                <w:sz w:val="17"/>
              </w:rPr>
              <w:t>Asset owner and records authority</w:t>
            </w:r>
          </w:p>
        </w:tc>
        <w:tc>
          <w:tcPr>
            <w:tcW w:type="dxa" w:w="2858"/>
          </w:tcPr>
          <w:p>
            <w:r>
              <w:rPr>
                <w:sz w:val="17"/>
              </w:rPr>
            </w:r>
            <w:r>
              <w:rPr>
                <w:sz w:val="17"/>
              </w:rPr>
              <w:t>Retired assets, retained safety/​record evidence</w:t>
            </w:r>
          </w:p>
        </w:tc>
        <w:tc>
          <w:tcPr>
            <w:tcW w:type="dxa" w:w="3742"/>
          </w:tcPr>
          <w:p>
            <w:r>
              <w:rPr>
                <w:sz w:val="17"/>
              </w:rPr>
            </w:r>
            <w:r>
              <w:rPr>
                <w:sz w:val="17"/>
              </w:rPr>
              <w:t>Retention/​legal-hold disposition and removal of obsolete access</w:t>
            </w:r>
          </w:p>
        </w:tc>
      </w:tr>
    </w:tbl>
    <w:p/>
    <w:p>
      <w:pPr/>
      <w:r>
        <w:rPr>
          <w:b/>
        </w:rPr>
        <w:t>Decision (BIM Manager, 2026-10-14):</w:t>
      </w:r>
      <w:r>
        <w:t xml:space="preserve"> The appointed operational owner reviews AIM after inspection, failure, substitution, replacement, use/system/access change, incident or disposal and annually for unchanged records; office performs only appointed updates. Basis: ISO 19650-3:2020 centres operational trigger events S03 (</w:t>
      </w:r>
      <w:r>
        <w:rPr>
          <w:color w:val="9A7B45"/>
          <w:u w:val="single"/>
        </w:rPr>
        <w:t>O-DEC-050</w:t>
      </w:r>
      <w:r>
        <w:t>).</w:t>
      </w:r>
    </w:p>
    <w:p>
      <w:pPr/>
      <w:r>
        <w:t>Record operational custody and actual update responsibilities; security/safety governance continues through operation and disposal. For Dubai buildings, hand over the Law No. 3 of 2026 duty: a Quality &amp; Safety Certificate is needed after 20 years from completion (valid 10 years, 5 years at 40+ years) (2.6; BBM-STD-75/76). The certificate procedure is DM circular 11-9-1 of 2026; when the office is appointed as the assessing engineering office it follows BBM-STD-75 §7.</w:t>
      </w:r>
    </w:p>
    <w:p>
      <w:pPr>
        <w:pStyle w:val="Heading1"/>
      </w:pPr>
      <w:r>
        <w:t>13 GLOSSARY</w:t>
      </w:r>
    </w:p>
    <w:p>
      <w:pPr/>
      <w:r>
        <w:t>Purpose</w:t>
      </w:r>
    </w:p>
    <w:p>
      <w:pPr/>
      <w:r>
        <w:t>Define and centralize project terminology. Use this section for manual-specific terms and point to the canonical glossary for all others.</w:t>
      </w:r>
    </w:p>
    <w:p>
      <w:pPr/>
      <w:r>
        <w:t>Canonical source</w:t>
      </w:r>
    </w:p>
    <w:p>
      <w:pPr/>
      <w:r>
        <w:t xml:space="preserve">Primary glossary: </w:t>
      </w:r>
      <w:r>
        <w:rPr>
          <w:color w:val="9A7B45"/>
          <w:u w:val="single"/>
        </w:rPr>
        <w:t>Office Glossary V0.3</w:t>
      </w:r>
      <w:r>
        <w:t>; use the approved project edition</w:t>
      </w:r>
    </w:p>
    <w:p>
      <w:pPr/>
      <w:r>
        <w:t>Rule: If a term exists in the canonical glossary, do not duplicate here. Add a “Manual note” only if the meaning is narrowed for this manual.</w:t>
      </w:r>
    </w:p>
    <w:p>
      <w:pPr/>
      <w:r>
        <w:t>Manual-specific terms and notes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48"/>
        <w:gridCol w:w="6818"/>
        <w:gridCol w:w="2201"/>
      </w:tblGrid>
      <w:tr>
        <w:trPr>
          <w:cantSplit/>
          <w:tblHeader/>
        </w:trPr>
        <w:tc>
          <w:tcPr>
            <w:tcW w:type="dxa" w:w="1448"/>
            <w:shd w:val="clear" w:color="auto" w:fill="111113"/>
          </w:tcPr>
          <w:p>
            <w:r>
              <w:rPr>
                <w:b/>
                <w:color w:val="FFFFFF"/>
                <w:sz w:val="17"/>
              </w:rPr>
            </w:r>
            <w:r>
              <w:rPr>
                <w:b/>
                <w:color w:val="FFFFFF"/>
                <w:sz w:val="17"/>
              </w:rPr>
              <w:t>Term</w:t>
            </w:r>
          </w:p>
        </w:tc>
        <w:tc>
          <w:tcPr>
            <w:tcW w:type="dxa" w:w="6818"/>
            <w:shd w:val="clear" w:color="auto" w:fill="111113"/>
          </w:tcPr>
          <w:p>
            <w:r>
              <w:rPr>
                <w:b/>
                <w:color w:val="FFFFFF"/>
                <w:sz w:val="17"/>
              </w:rPr>
            </w:r>
            <w:r>
              <w:rPr>
                <w:b/>
                <w:color w:val="FFFFFF"/>
                <w:sz w:val="17"/>
              </w:rPr>
              <w:t>Definition or Manual note</w:t>
            </w:r>
          </w:p>
        </w:tc>
        <w:tc>
          <w:tcPr>
            <w:tcW w:type="dxa" w:w="2201"/>
            <w:shd w:val="clear" w:color="auto" w:fill="111113"/>
          </w:tcPr>
          <w:p>
            <w:r>
              <w:rPr>
                <w:b/>
                <w:color w:val="FFFFFF"/>
                <w:sz w:val="17"/>
              </w:rPr>
            </w:r>
            <w:r>
              <w:rPr>
                <w:b/>
                <w:color w:val="FFFFFF"/>
                <w:sz w:val="17"/>
              </w:rPr>
              <w:t>Reference</w:t>
            </w:r>
          </w:p>
        </w:tc>
      </w:tr>
      <w:tr>
        <w:trPr>
          <w:cantSplit/>
        </w:trPr>
        <w:tc>
          <w:tcPr>
            <w:tcW w:type="dxa" w:w="1448"/>
          </w:tcPr>
          <w:p>
            <w:r>
              <w:rPr>
                <w:sz w:val="17"/>
              </w:rPr>
            </w:r>
            <w:r>
              <w:rPr>
                <w:sz w:val="17"/>
              </w:rPr>
              <w:t>Acceptance Gate</w:t>
            </w:r>
          </w:p>
        </w:tc>
        <w:tc>
          <w:tcPr>
            <w:tcW w:type="dxa" w:w="6818"/>
          </w:tcPr>
          <w:p>
            <w:r>
              <w:rPr>
                <w:sz w:val="17"/>
              </w:rPr>
            </w:r>
            <w:r>
              <w:rPr>
                <w:sz w:val="17"/>
              </w:rPr>
              <w:t>Formal decision point with A, B, C outcomes and required evidence set for progression</w:t>
            </w:r>
          </w:p>
        </w:tc>
        <w:tc>
          <w:tcPr>
            <w:tcW w:type="dxa" w:w="2201"/>
          </w:tcPr>
          <w:p>
            <w:r>
              <w:rPr>
                <w:sz w:val="17"/>
              </w:rPr>
            </w:r>
            <w:r>
              <w:rPr>
                <w:sz w:val="17"/>
              </w:rPr>
              <w:t>2.1 Governance and Gates</w:t>
            </w:r>
          </w:p>
        </w:tc>
      </w:tr>
      <w:tr>
        <w:trPr>
          <w:cantSplit/>
        </w:trPr>
        <w:tc>
          <w:tcPr>
            <w:tcW w:type="dxa" w:w="1448"/>
          </w:tcPr>
          <w:p>
            <w:r>
              <w:rPr>
                <w:sz w:val="17"/>
              </w:rPr>
            </w:r>
            <w:r>
              <w:rPr>
                <w:sz w:val="17"/>
              </w:rPr>
              <w:t>Data Completeness</w:t>
            </w:r>
          </w:p>
        </w:tc>
        <w:tc>
          <w:tcPr>
            <w:tcW w:type="dxa" w:w="6818"/>
          </w:tcPr>
          <w:p>
            <w:r>
              <w:rPr>
                <w:sz w:val="17"/>
              </w:rPr>
            </w:r>
            <w:r>
              <w:rPr>
                <w:sz w:val="17"/>
              </w:rPr>
              <w:t>Valid applicable values divided by applicable required values, scoped by exchange and object class; mandatory requirements must all pass (3.2)</w:t>
            </w:r>
          </w:p>
        </w:tc>
        <w:tc>
          <w:tcPr>
            <w:tcW w:type="dxa" w:w="2201"/>
          </w:tcPr>
          <w:p>
            <w:r>
              <w:rPr>
                <w:sz w:val="17"/>
              </w:rPr>
            </w:r>
            <w:r>
              <w:rPr>
                <w:sz w:val="17"/>
              </w:rPr>
              <w:t>3.2 Parameters and LOIN</w:t>
            </w:r>
          </w:p>
        </w:tc>
      </w:tr>
      <w:tr>
        <w:trPr>
          <w:cantSplit/>
        </w:trPr>
        <w:tc>
          <w:tcPr>
            <w:tcW w:type="dxa" w:w="1448"/>
          </w:tcPr>
          <w:p>
            <w:r>
              <w:rPr>
                <w:sz w:val="17"/>
              </w:rPr>
            </w:r>
            <w:r>
              <w:rPr>
                <w:sz w:val="17"/>
              </w:rPr>
              <w:t>Model Health</w:t>
            </w:r>
          </w:p>
        </w:tc>
        <w:tc>
          <w:tcPr>
            <w:tcW w:type="dxa" w:w="6818"/>
          </w:tcPr>
          <w:p>
            <w:r>
              <w:rPr>
                <w:sz w:val="17"/>
              </w:rPr>
            </w:r>
            <w:r>
              <w:rPr>
                <w:sz w:val="17"/>
              </w:rPr>
              <w:t>Quantitative stability and hygiene metrics benchmarked at gates</w:t>
            </w:r>
          </w:p>
        </w:tc>
        <w:tc>
          <w:tcPr>
            <w:tcW w:type="dxa" w:w="2201"/>
          </w:tcPr>
          <w:p>
            <w:r>
              <w:rPr>
                <w:sz w:val="17"/>
              </w:rPr>
            </w:r>
            <w:r>
              <w:rPr>
                <w:sz w:val="17"/>
              </w:rPr>
              <w:t>9.2 Quality Control</w:t>
            </w:r>
          </w:p>
        </w:tc>
      </w:tr>
      <w:tr>
        <w:trPr>
          <w:cantSplit/>
        </w:trPr>
        <w:tc>
          <w:tcPr>
            <w:tcW w:type="dxa" w:w="1448"/>
          </w:tcPr>
          <w:p>
            <w:r>
              <w:rPr>
                <w:sz w:val="17"/>
              </w:rPr>
            </w:r>
            <w:r>
              <w:rPr>
                <w:sz w:val="17"/>
              </w:rPr>
              <w:t>LOIN</w:t>
            </w:r>
          </w:p>
        </w:tc>
        <w:tc>
          <w:tcPr>
            <w:tcW w:type="dxa" w:w="6818"/>
          </w:tcPr>
          <w:p>
            <w:r>
              <w:rPr>
                <w:sz w:val="17"/>
              </w:rPr>
            </w:r>
            <w:r>
              <w:rPr>
                <w:sz w:val="17"/>
              </w:rPr>
              <w:t>Level of Information Need combining geometry, alphanumerics, and documentation expectations</w:t>
            </w:r>
          </w:p>
        </w:tc>
        <w:tc>
          <w:tcPr>
            <w:tcW w:type="dxa" w:w="2201"/>
          </w:tcPr>
          <w:p>
            <w:r>
              <w:rPr>
                <w:sz w:val="17"/>
              </w:rPr>
            </w:r>
            <w:r>
              <w:rPr>
                <w:sz w:val="17"/>
              </w:rPr>
              <w:t>3.2 Parameters</w:t>
            </w:r>
          </w:p>
        </w:tc>
      </w:tr>
      <w:tr>
        <w:trPr>
          <w:cantSplit/>
        </w:trPr>
        <w:tc>
          <w:tcPr>
            <w:tcW w:type="dxa" w:w="1448"/>
          </w:tcPr>
          <w:p>
            <w:r>
              <w:rPr>
                <w:sz w:val="17"/>
              </w:rPr>
            </w:r>
            <w:r>
              <w:rPr>
                <w:sz w:val="17"/>
              </w:rPr>
              <w:t>Pack</w:t>
            </w:r>
          </w:p>
        </w:tc>
        <w:tc>
          <w:tcPr>
            <w:tcW w:type="dxa" w:w="6818"/>
          </w:tcPr>
          <w:p>
            <w:r>
              <w:rPr>
                <w:sz w:val="17"/>
              </w:rPr>
            </w:r>
            <w:r>
              <w:rPr>
                <w:sz w:val="17"/>
              </w:rPr>
              <w:t>Formal dated issue folder with required children and transmittal</w:t>
            </w:r>
          </w:p>
        </w:tc>
        <w:tc>
          <w:tcPr>
            <w:tcW w:type="dxa" w:w="2201"/>
          </w:tcPr>
          <w:p>
            <w:r>
              <w:rPr>
                <w:sz w:val="17"/>
              </w:rPr>
            </w:r>
            <w:r>
              <w:rPr>
                <w:sz w:val="17"/>
              </w:rPr>
              <w:t>7.3 Publishing</w:t>
            </w:r>
          </w:p>
        </w:tc>
      </w:tr>
      <w:tr>
        <w:trPr>
          <w:cantSplit/>
        </w:trPr>
        <w:tc>
          <w:tcPr>
            <w:tcW w:type="dxa" w:w="1448"/>
          </w:tcPr>
          <w:p>
            <w:r>
              <w:rPr>
                <w:sz w:val="17"/>
              </w:rPr>
            </w:r>
            <w:r>
              <w:rPr>
                <w:sz w:val="17"/>
              </w:rPr>
              <w:t>SHARED</w:t>
            </w:r>
          </w:p>
        </w:tc>
        <w:tc>
          <w:tcPr>
            <w:tcW w:type="dxa" w:w="6818"/>
          </w:tcPr>
          <w:p>
            <w:r>
              <w:rPr>
                <w:sz w:val="17"/>
              </w:rPr>
            </w:r>
            <w:r>
              <w:rPr>
                <w:sz w:val="17"/>
              </w:rPr>
              <w:t>CDE area for approved-to-share information, distinct from WIP and PUBLISHED</w:t>
            </w:r>
          </w:p>
        </w:tc>
        <w:tc>
          <w:tcPr>
            <w:tcW w:type="dxa" w:w="2201"/>
          </w:tcPr>
          <w:p>
            <w:r>
              <w:rPr>
                <w:sz w:val="17"/>
              </w:rPr>
            </w:r>
            <w:r>
              <w:rPr>
                <w:sz w:val="17"/>
              </w:rPr>
              <w:t>12.1 Folder Structure</w:t>
            </w:r>
          </w:p>
        </w:tc>
      </w:tr>
      <w:tr>
        <w:trPr>
          <w:cantSplit/>
        </w:trPr>
        <w:tc>
          <w:tcPr>
            <w:tcW w:type="dxa" w:w="1448"/>
          </w:tcPr>
          <w:p>
            <w:r>
              <w:rPr>
                <w:sz w:val="17"/>
              </w:rPr>
            </w:r>
            <w:r>
              <w:rPr>
                <w:sz w:val="17"/>
              </w:rPr>
              <w:t>WIP</w:t>
            </w:r>
          </w:p>
        </w:tc>
        <w:tc>
          <w:tcPr>
            <w:tcW w:type="dxa" w:w="6818"/>
          </w:tcPr>
          <w:p>
            <w:r>
              <w:rPr>
                <w:sz w:val="17"/>
              </w:rPr>
            </w:r>
            <w:r>
              <w:rPr>
                <w:sz w:val="17"/>
              </w:rPr>
              <w:t>Work-in-Progress area; naming may include temporary tokens; never issued from here</w:t>
            </w:r>
          </w:p>
        </w:tc>
        <w:tc>
          <w:tcPr>
            <w:tcW w:type="dxa" w:w="2201"/>
          </w:tcPr>
          <w:p>
            <w:r>
              <w:rPr>
                <w:sz w:val="17"/>
              </w:rPr>
            </w:r>
            <w:r>
              <w:rPr>
                <w:sz w:val="17"/>
              </w:rPr>
              <w:t>12.1 Folder Structure</w:t>
            </w:r>
          </w:p>
        </w:tc>
      </w:tr>
      <w:tr>
        <w:trPr>
          <w:cantSplit/>
        </w:trPr>
        <w:tc>
          <w:tcPr>
            <w:tcW w:type="dxa" w:w="1448"/>
          </w:tcPr>
          <w:p>
            <w:r>
              <w:rPr>
                <w:sz w:val="17"/>
              </w:rPr>
            </w:r>
            <w:r>
              <w:rPr>
                <w:sz w:val="17"/>
              </w:rPr>
              <w:t>Gate-Critical</w:t>
            </w:r>
          </w:p>
        </w:tc>
        <w:tc>
          <w:tcPr>
            <w:tcW w:type="dxa" w:w="6818"/>
          </w:tcPr>
          <w:p>
            <w:r>
              <w:rPr>
                <w:sz w:val="17"/>
              </w:rPr>
            </w:r>
            <w:r>
              <w:rPr>
                <w:sz w:val="17"/>
              </w:rPr>
              <w:t>Issue flag indicating it blocks the upcoming gate unless resolved or waived</w:t>
            </w:r>
          </w:p>
        </w:tc>
        <w:tc>
          <w:tcPr>
            <w:tcW w:type="dxa" w:w="2201"/>
          </w:tcPr>
          <w:p>
            <w:r>
              <w:rPr>
                <w:sz w:val="17"/>
              </w:rPr>
            </w:r>
            <w:r>
              <w:rPr>
                <w:sz w:val="17"/>
              </w:rPr>
              <w:t>10.2 Coordination • 10.3 Issue Tracking</w:t>
            </w:r>
          </w:p>
        </w:tc>
      </w:tr>
    </w:tbl>
    <w:p/>
    <w:p>
      <w:pPr/>
      <w:r>
        <w:t>Abbreviations used in this manual</w:t>
      </w:r>
    </w:p>
    <w:p>
      <w:pPr/>
      <w:r>
        <w:t>Discipline codes: see 12.3.1 and BBM-STD-93 (O-DEC-103)</w:t>
      </w:r>
    </w:p>
    <w:p>
      <w:pPr/>
      <w:r>
        <w:t>ARC: Architecture</w:t>
      </w:r>
    </w:p>
    <w:p>
      <w:pPr/>
      <w:r>
        <w:t>STR: Structure</w:t>
      </w:r>
    </w:p>
    <w:p>
      <w:pPr/>
      <w:r>
        <w:t>MEC: Mechanical</w:t>
      </w:r>
    </w:p>
    <w:p>
      <w:pPr/>
      <w:r>
        <w:t>ELE: Electrical</w:t>
      </w:r>
    </w:p>
    <w:p>
      <w:pPr/>
      <w:r>
        <w:t>PLU: Plumbing / public health</w:t>
      </w:r>
    </w:p>
    <w:p>
      <w:pPr/>
      <w:r>
        <w:t>FLS: Fire and Life Safety</w:t>
      </w:r>
    </w:p>
    <w:p>
      <w:pPr/>
      <w:r>
        <w:t>LSC: Landscape</w:t>
      </w:r>
    </w:p>
    <w:p>
      <w:pPr/>
      <w:r>
        <w:t>GEN: General</w:t>
      </w:r>
    </w:p>
    <w:p>
      <w:pPr/>
      <w:r>
        <w:t>MEP: Mechanical, Electrical, Plumbing (umbrella label, not a code)</w:t>
      </w:r>
    </w:p>
    <w:p>
      <w:pPr/>
      <w:r>
        <w:t>BEP: BIM Execution Plan</w:t>
      </w:r>
    </w:p>
    <w:p>
      <w:pPr/>
      <w:r>
        <w:t>EIR: Exchange Information Requirements</w:t>
      </w:r>
    </w:p>
    <w:p>
      <w:pPr/>
      <w:r>
        <w:t>CDE: Common Data Environment</w:t>
      </w:r>
    </w:p>
    <w:p>
      <w:pPr/>
      <w:r>
        <w:t>MVD: Model View Definition</w:t>
      </w:r>
    </w:p>
    <w:p>
      <w:pPr/>
      <w:r>
        <w:t>Maintenance</w:t>
      </w:r>
    </w:p>
    <w:p>
      <w:pPr/>
      <w:r>
        <w:t>Owner: BIM Manager (glossary custodian, BBM-STD-00; O-DEC-008)</w:t>
      </w:r>
    </w:p>
    <w:p>
      <w:pPr/>
      <w:r>
        <w:t>Changes: Propose edits to BBM-STD-00 Glossary. If a manual-specific note is needed, add here and cross-link</w:t>
      </w:r>
    </w:p>
    <w:p>
      <w:pPr/>
      <w:r>
        <w:t>Evidence: Record material glossary updates in 04-ARCHIVE/01-STANDARD-UPDATES</w:t>
      </w:r>
    </w:p>
    <w:p>
      <w:pPr/>
      <w:r>
        <w:t>Acceptance — 13 Glossary</w:t>
      </w:r>
    </w:p>
    <w:p>
      <w:pPr/>
      <w:r>
        <w:t>Terms in this manual are either identical to the canonical glossary or include a clearly labeled “Manual note”</w:t>
      </w:r>
    </w:p>
    <w:p>
      <w:pPr/>
      <w:r>
        <w:t>No conflicting definitions between this section and the canonical glossary</w:t>
      </w:r>
    </w:p>
    <w:p>
      <w:pPr/>
      <w:r>
        <w:t>Abbreviations used on sheets and in schedules match this section or BBM-STD-00 Glossary</w:t>
      </w:r>
    </w:p>
    <w:p>
      <w:pPr>
        <w:pStyle w:val="Heading1"/>
      </w:pPr>
      <w:r>
        <w:t>14 APPENDICES</w:t>
      </w:r>
    </w:p>
    <w:p>
      <w:pPr/>
      <w:r>
        <w:t>Spec — 14 Appendices</w:t>
      </w:r>
    </w:p>
    <w:p>
      <w:pPr/>
      <w:r>
        <w:t>Use these ready-to-copy templates and curated examples to accelerate consistent authoring and issuing.</w:t>
      </w:r>
    </w:p>
    <w:p>
      <w:pPr/>
      <w:r>
        <w:t>A. TEMPLATES AND EXAMPLES</w:t>
      </w:r>
    </w:p>
    <w:p>
      <w:pPr/>
      <w:r>
        <w:t>A.1 Pack templates (PUBLISHED)</w:t>
      </w:r>
    </w:p>
    <w:p>
      <w:pPr/>
      <w:r>
        <w:t>Folder skeleton</w:t>
      </w:r>
    </w:p>
    <w:p>
      <w:pPr/>
      <w:r>
        <w:t>00-COVERSHEETS</w:t>
      </w:r>
    </w:p>
    <w:p>
      <w:pPr/>
      <w:r>
        <w:t>01-DRAWINGS</w:t>
      </w:r>
    </w:p>
    <w:p>
      <w:pPr/>
      <w:r>
        <w:t>02-MODELS</w:t>
      </w:r>
    </w:p>
    <w:p>
      <w:pPr/>
      <w:r>
        <w:t>03-SCHEDULES</w:t>
      </w:r>
    </w:p>
    <w:p>
      <w:pPr/>
      <w:r>
        <w:t>04-REPORTS</w:t>
      </w:r>
    </w:p>
    <w:p>
      <w:pPr/>
      <w:r>
        <w:t>05-TRANSMITTAL</w:t>
      </w:r>
    </w:p>
    <w:p>
      <w:pPr/>
      <w:r>
        <w:t>Files included</w:t>
      </w:r>
    </w:p>
    <w:p>
      <w:pPr/>
      <w:r>
        <w:t>00-COVERSHEETS: README-Pack.md, Issue summary cover PDF</w:t>
      </w:r>
    </w:p>
    <w:p>
      <w:pPr/>
      <w:r>
        <w:t>04-REPORTS: ModelHealth-YYYYMMDD.pdf, ClashReport-YYYYMMDD.pdf, DataCompleteness-YYYYMMDD.pdf, NamingValidation-YYYYMMDD.txt</w:t>
      </w:r>
    </w:p>
    <w:p>
      <w:pPr/>
      <w:r>
        <w:t>05-TRANSMITTAL: Transmittal-YYYYMMDD.pdf, Manifest.csv</w:t>
      </w:r>
    </w:p>
    <w:p>
      <w:pPr/>
      <w:r>
        <w:t>A.2 Transmittal template (Markdown)</w:t>
      </w:r>
    </w:p>
    <w:p>
      <w:pPr/>
      <w:r>
        <w:t>Title line: Transmittal — ORG PROJ</w:t>
      </w:r>
    </w:p>
    <w:p>
      <w:pPr/>
      <w:r>
        <w:t>Date: YYYY-MM-DD</w:t>
      </w:r>
    </w:p>
    <w:p>
      <w:pPr/>
      <w:r>
        <w:t>Description: &lt;Issue purpose&gt;</w:t>
      </w:r>
    </w:p>
    <w:p>
      <w:pPr/>
      <w:r>
        <w:t>Confidentiality: &lt;e.g., Internal / External&gt;</w:t>
      </w:r>
    </w:p>
    <w:p>
      <w:pPr/>
      <w:r>
        <w:t>Recipients</w:t>
      </w:r>
    </w:p>
    <w:p>
      <w:pPr>
        <w:pStyle w:val="ListParagraph"/>
        <w:spacing w:after="40"/>
        <w:ind w:left="360" w:hanging="240"/>
      </w:pPr>
      <w:r>
        <w:t xml:space="preserve">•  </w:t>
      </w:r>
      <w:r>
        <w:t>Company — Contact — Role — Distribution code (A/I/R)</w:t>
      </w:r>
    </w:p>
    <w:p>
      <w:pPr/>
      <w:r>
        <w:t>Files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31"/>
        <w:gridCol w:w="1874"/>
        <w:gridCol w:w="2186"/>
        <w:gridCol w:w="1815"/>
        <w:gridCol w:w="2360"/>
      </w:tblGrid>
      <w:tr>
        <w:trPr>
          <w:cantSplit/>
          <w:tblHeader/>
        </w:trPr>
        <w:tc>
          <w:tcPr>
            <w:tcW w:type="dxa" w:w="2231"/>
            <w:shd w:val="clear" w:color="auto" w:fill="111113"/>
          </w:tcPr>
          <w:p>
            <w:r>
              <w:rPr>
                <w:b/>
                <w:color w:val="FFFFFF"/>
                <w:sz w:val="17"/>
              </w:rPr>
            </w:r>
            <w:r>
              <w:rPr>
                <w:b/>
                <w:color w:val="FFFFFF"/>
                <w:sz w:val="17"/>
              </w:rPr>
              <w:t>Filename</w:t>
            </w:r>
          </w:p>
        </w:tc>
        <w:tc>
          <w:tcPr>
            <w:tcW w:type="dxa" w:w="1874"/>
            <w:shd w:val="clear" w:color="auto" w:fill="111113"/>
          </w:tcPr>
          <w:p>
            <w:r>
              <w:rPr>
                <w:b/>
                <w:color w:val="FFFFFF"/>
                <w:sz w:val="17"/>
              </w:rPr>
            </w:r>
            <w:r>
              <w:rPr>
                <w:b/>
                <w:color w:val="FFFFFF"/>
                <w:sz w:val="17"/>
              </w:rPr>
              <w:t>Type</w:t>
            </w:r>
          </w:p>
        </w:tc>
        <w:tc>
          <w:tcPr>
            <w:tcW w:type="dxa" w:w="2186"/>
            <w:shd w:val="clear" w:color="auto" w:fill="111113"/>
          </w:tcPr>
          <w:p>
            <w:r>
              <w:rPr>
                <w:b/>
                <w:color w:val="FFFFFF"/>
                <w:sz w:val="17"/>
              </w:rPr>
            </w:r>
            <w:r>
              <w:rPr>
                <w:b/>
                <w:color w:val="FFFFFF"/>
                <w:sz w:val="17"/>
              </w:rPr>
              <w:t>Rev/​Ver</w:t>
            </w:r>
          </w:p>
        </w:tc>
        <w:tc>
          <w:tcPr>
            <w:tcW w:type="dxa" w:w="1815"/>
            <w:shd w:val="clear" w:color="auto" w:fill="111113"/>
          </w:tcPr>
          <w:p>
            <w:r>
              <w:rPr>
                <w:b/>
                <w:color w:val="FFFFFF"/>
                <w:sz w:val="17"/>
              </w:rPr>
            </w:r>
            <w:r>
              <w:rPr>
                <w:b/>
                <w:color w:val="FFFFFF"/>
                <w:sz w:val="17"/>
              </w:rPr>
              <w:t>Size</w:t>
            </w:r>
          </w:p>
        </w:tc>
        <w:tc>
          <w:tcPr>
            <w:tcW w:type="dxa" w:w="2360"/>
            <w:shd w:val="clear" w:color="auto" w:fill="111113"/>
          </w:tcPr>
          <w:p>
            <w:r>
              <w:rPr>
                <w:b/>
                <w:color w:val="FFFFFF"/>
                <w:sz w:val="17"/>
              </w:rPr>
            </w:r>
            <w:r>
              <w:rPr>
                <w:b/>
                <w:color w:val="FFFFFF"/>
                <w:sz w:val="17"/>
              </w:rPr>
              <w:t>Checksum</w:t>
            </w:r>
          </w:p>
        </w:tc>
      </w:tr>
    </w:tbl>
    <w:p/>
    <w:p>
      <w:pPr/>
      <w:r>
        <w:t>Notes</w:t>
      </w:r>
    </w:p>
    <w:p>
      <w:pPr>
        <w:pStyle w:val="ListParagraph"/>
        <w:spacing w:after="40"/>
        <w:ind w:left="360" w:hanging="240"/>
      </w:pPr>
      <w:r>
        <w:t xml:space="preserve">•  </w:t>
      </w:r>
      <w:r>
        <w:t>Related contract instruction: &lt;ref&gt;</w:t>
      </w:r>
    </w:p>
    <w:p>
      <w:pPr>
        <w:pStyle w:val="ListParagraph"/>
        <w:spacing w:after="40"/>
        <w:ind w:left="360" w:hanging="240"/>
      </w:pPr>
      <w:r>
        <w:t xml:space="preserve">•  </w:t>
      </w:r>
      <w:r>
        <w:t>Export preset(s): &lt;IFC4-RV-vNN / …&gt;</w:t>
      </w:r>
    </w:p>
    <w:p>
      <w:pPr>
        <w:pStyle w:val="ListParagraph"/>
        <w:spacing w:after="40"/>
        <w:ind w:left="360" w:hanging="240"/>
      </w:pPr>
      <w:r>
        <w:t xml:space="preserve">•  </w:t>
      </w:r>
      <w:r>
        <w:t>CDE path: 00-PIM/03-PUBLISHED/&lt;NN-STAGE-N&gt;/&lt;YYYY-MM-DD-DESCRIPTION&gt;/...</w:t>
      </w:r>
    </w:p>
    <w:p>
      <w:pPr/>
      <w:r>
        <w:t>A.3 Start View template (content blocks)</w:t>
      </w:r>
    </w:p>
    <w:p>
      <w:pPr/>
      <w:r>
        <w:t>Identifiers: ORG, PROJ, DISC, Model name, Revit version, Date</w:t>
      </w:r>
    </w:p>
    <w:p>
      <w:pPr/>
      <w:r>
        <w:t>Audit panel: Model Origin OK?, Workset1 elements, Warnings count, Link status, File size</w:t>
      </w:r>
    </w:p>
    <w:p>
      <w:pPr/>
      <w:r>
        <w:t>Banner: Next gate name and date</w:t>
      </w:r>
    </w:p>
    <w:p>
      <w:pPr/>
      <w:r>
        <w:t>Governance: View Template = QA - Audit, Default on open</w:t>
      </w:r>
    </w:p>
    <w:p>
      <w:pPr/>
      <w:r>
        <w:t>A.4 View template names (canonical; no ":" in names, O-DEC-143)</w:t>
      </w:r>
    </w:p>
    <w:p>
      <w:pPr/>
      <w:r>
        <w:t>DOC - Plan 1-100</w:t>
      </w:r>
    </w:p>
    <w:p>
      <w:pPr/>
      <w:r>
        <w:t>DOC - Section</w:t>
      </w:r>
    </w:p>
    <w:p>
      <w:pPr/>
      <w:r>
        <w:t>DOC - Elevation</w:t>
      </w:r>
    </w:p>
    <w:p>
      <w:pPr/>
      <w:r>
        <w:t>DETAIL - 1-5 / 1-10</w:t>
      </w:r>
    </w:p>
    <w:p>
      <w:pPr/>
      <w:r>
        <w:t>COORD - 3D Clash</w:t>
      </w:r>
    </w:p>
    <w:p>
      <w:pPr/>
      <w:r>
        <w:t>QA - Audit</w:t>
      </w:r>
    </w:p>
    <w:p>
      <w:pPr/>
      <w:r>
        <w:t>SHT-PREP - Parent</w:t>
      </w:r>
    </w:p>
    <w:p>
      <w:pPr/>
      <w:r>
        <w:t>A.5 Schedules presets (fields)</w:t>
      </w:r>
    </w:p>
    <w:p>
      <w:pPr/>
      <w:r>
        <w:t>Doors: Mark, Type, Width, Height, Fire_Rating, Fire_Rating_Standard, Classification_Code</w:t>
      </w:r>
    </w:p>
    <w:p>
      <w:pPr/>
      <w:r>
        <w:t>Windows: Mark, Type, Width, Height, Glazing, Classification_Code</w:t>
      </w:r>
    </w:p>
    <w:p>
      <w:pPr/>
      <w:r>
        <w:t>Equipment (MEP): Mark, Family, Type, System, Level, Classification_Code, Asset_ID</w:t>
      </w:r>
    </w:p>
    <w:p>
      <w:pPr/>
      <w:r>
        <w:t>Room/Space: Name, Number, Level, Area, System, Zone</w:t>
      </w:r>
    </w:p>
    <w:p>
      <w:pPr/>
      <w:r>
        <w:t>A.6 IFC export preset checklist</w:t>
      </w:r>
    </w:p>
    <w:p>
      <w:pPr/>
      <w:r>
        <w:t>Coordinates = Shared</w:t>
      </w:r>
    </w:p>
    <w:p>
      <w:pPr/>
      <w:r>
        <w:t>Psets = Include schedules and mapped parameters</w:t>
      </w:r>
    </w:p>
    <w:p>
      <w:pPr/>
      <w:r>
        <w:t>Elements = Exclude non-issued worksets and temporary categories</w:t>
      </w:r>
    </w:p>
    <w:p>
      <w:pPr/>
      <w:r>
        <w:t>File name = CLIENT-ORG-PROJ-VOLUME-LEVEL-TYPE-ROLE-NUMBER.ifc (O-DEC-102)</w:t>
      </w:r>
    </w:p>
    <w:p>
      <w:pPr/>
      <w:r>
        <w:t>A.7 Naming quick reference</w:t>
      </w:r>
    </w:p>
    <w:p>
      <w:pPr/>
      <w:r>
        <w:t>Files: CLIENT-ORG-PROJ-VOLUME-LEVEL-TYPE-ROLE-NUMBER.ext (legacy internal WIP alias ORG-PROJ-DISC-PHASE-SEQUENCE, never issued)</w:t>
      </w:r>
    </w:p>
    <w:p>
      <w:pPr/>
      <w:r>
        <w:t>Views: DISC-LEVEL-ZONE-TYPE-DESC</w:t>
      </w:r>
    </w:p>
    <w:p>
      <w:pPr/>
      <w:r>
        <w:t>Sheets: DISC-CAT-INDEX</w:t>
      </w:r>
    </w:p>
    <w:p>
      <w:pPr/>
      <w:r>
        <w:t>Pack folder: YYYY-MM-DD-DESCRIPTION</w:t>
      </w:r>
    </w:p>
    <w:p>
      <w:pPr/>
      <w:r>
        <w:t>A.8 README — Access Exception (template)</w:t>
      </w:r>
    </w:p>
    <w:p>
      <w:pPr/>
      <w:r>
        <w:t>Title line: README — Access Exception</w:t>
      </w:r>
    </w:p>
    <w:p>
      <w:pPr/>
      <w:r>
        <w:t>Exception: &lt;describe&gt;</w:t>
      </w:r>
    </w:p>
    <w:p>
      <w:pPr/>
      <w:r>
        <w:t>Owner: &lt;name or role&gt;</w:t>
      </w:r>
    </w:p>
    <w:p>
      <w:pPr/>
      <w:r>
        <w:t>Rationale: &lt;why&gt;</w:t>
      </w:r>
    </w:p>
    <w:p>
      <w:pPr/>
      <w:r>
        <w:t>Effective date: YYYY-MM-DD</w:t>
      </w:r>
    </w:p>
    <w:p>
      <w:pPr/>
      <w:r>
        <w:t>Expiry date: YYYY-MM-DD</w:t>
      </w:r>
    </w:p>
    <w:p>
      <w:pPr/>
      <w:r>
        <w:t>Approved by: Information Manager, LAP</w:t>
      </w:r>
    </w:p>
    <w:p>
      <w:pPr/>
      <w:r>
        <w:t>Review cadence: Per gate</w:t>
      </w:r>
    </w:p>
    <w:p>
      <w:pPr/>
      <w:r>
        <w:t>Scope</w:t>
      </w:r>
    </w:p>
    <w:p>
      <w:pPr>
        <w:pStyle w:val="ListParagraph"/>
        <w:spacing w:after="40"/>
        <w:ind w:left="360" w:hanging="240"/>
      </w:pPr>
      <w:r>
        <w:t xml:space="preserve">•  </w:t>
      </w:r>
      <w:r>
        <w:t>Affected group/folder: &lt;path&gt;</w:t>
      </w:r>
    </w:p>
    <w:p>
      <w:pPr>
        <w:pStyle w:val="ListParagraph"/>
        <w:spacing w:after="40"/>
        <w:ind w:left="360" w:hanging="240"/>
      </w:pPr>
      <w:r>
        <w:t xml:space="preserve">•  </w:t>
      </w:r>
      <w:r>
        <w:t>Affected teams/users: &lt;list&gt;</w:t>
      </w:r>
    </w:p>
    <w:p>
      <w:pPr>
        <w:pStyle w:val="ListParagraph"/>
        <w:spacing w:after="40"/>
        <w:ind w:left="360" w:hanging="240"/>
      </w:pPr>
      <w:r>
        <w:t xml:space="preserve">•  </w:t>
      </w:r>
      <w:r>
        <w:t>Permissions delta: &lt;from → to&gt;</w:t>
      </w:r>
    </w:p>
    <w:p>
      <w:pPr/>
      <w:r>
        <w:t>Notes</w:t>
      </w:r>
    </w:p>
    <w:p>
      <w:pPr>
        <w:pStyle w:val="ListParagraph"/>
        <w:spacing w:after="40"/>
        <w:ind w:left="360" w:hanging="240"/>
      </w:pPr>
      <w:r>
        <w:t xml:space="preserve">•  </w:t>
      </w:r>
      <w:r>
        <w:t>On expiry, remove exception; archive this README in 04-ARCHIVE</w:t>
      </w:r>
    </w:p>
    <w:p>
      <w:pPr/>
      <w:r>
        <w:t>A.9 Issue pack checklist (short)</w:t>
      </w:r>
    </w:p>
    <w:p>
      <w:pPr/>
      <w:r>
        <w:t>Pack folder name matches YYYY-MM-DD-DESCRIPTION</w:t>
      </w:r>
    </w:p>
    <w:p>
      <w:pPr/>
      <w:r>
        <w:t>Children 00–05 present with required content</w:t>
      </w:r>
    </w:p>
    <w:p>
      <w:pPr/>
      <w:r>
        <w:t>Templates locked, no per-view overrides</w:t>
      </w:r>
    </w:p>
    <w:p>
      <w:pPr/>
      <w:r>
        <w:t>Each sheet's Rnn coherent across index, title block and manifest</w:t>
      </w:r>
    </w:p>
    <w:p>
      <w:pPr/>
      <w:r>
        <w:t>Evidence posted within last 48 hours</w:t>
      </w:r>
    </w:p>
    <w:p>
      <w:pPr/>
      <w:r>
        <w:t>Transmittal present and complete</w:t>
      </w:r>
    </w:p>
    <w:p>
      <w:pPr/>
      <w:r>
        <w:t>Acceptance — 14A</w:t>
      </w:r>
    </w:p>
    <w:p>
      <w:pPr/>
      <w:r>
        <w:t>Templates match the canonical names and structures in sections 2.4, 4.12, 7.3, 11.2, and 12.3</w:t>
      </w:r>
    </w:p>
    <w:p>
      <w:pPr/>
      <w:r>
        <w:t>Every pack built with these templates passes all checklist items in 7.3</w:t>
      </w:r>
    </w:p>
    <w:p>
      <w:pPr/>
      <w:r>
        <w:t>B. REFERENCES AND RESOURCES</w:t>
      </w:r>
    </w:p>
    <w:p>
      <w:pPr/>
      <w:r>
        <w:t>Standards index and links to authoritative external specs, tools, and internal pages</w:t>
      </w:r>
    </w:p>
    <w:p>
      <w:pPr/>
      <w:r>
        <w:t>Cross-reference: References section below and the BBM-STD-51 §3 edition register (O-DEC-111)</w:t>
      </w:r>
    </w:p>
    <w:p>
      <w:pPr/>
      <w:r>
        <w:t>AUTHORING CHECKLIST</w:t>
      </w:r>
    </w:p>
    <w:p>
      <w:pPr/>
      <w:r>
        <w:t>[ ] Section purpose stated</w:t>
      </w:r>
    </w:p>
    <w:p>
      <w:pPr/>
      <w:r>
        <w:t>[ ] Cross-references added</w:t>
      </w:r>
    </w:p>
    <w:p>
      <w:pPr/>
      <w:r>
        <w:t>[ ] Acceptance criteria or thresholds defined where applicable</w:t>
      </w:r>
    </w:p>
    <w:p>
      <w:pPr/>
      <w:r>
        <w:t>[ ] Examples or templates linked</w:t>
      </w:r>
    </w:p>
    <w:p>
      <w:pPr/>
      <w:r>
        <w:t>[ ] Last reviewed date updated in 1.1</w:t>
      </w:r>
    </w:p>
    <w:p>
      <w:pPr>
        <w:pStyle w:val="Heading2"/>
      </w:pPr>
      <w:r>
        <w:t>14.C REVISION ACCEPTANCE AND OFFICE DECISION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764"/>
        <w:gridCol w:w="3717"/>
        <w:gridCol w:w="3986"/>
      </w:tblGrid>
      <w:tr>
        <w:trPr>
          <w:cantSplit/>
          <w:tblHeader/>
        </w:trPr>
        <w:tc>
          <w:tcPr>
            <w:tcW w:type="dxa" w:w="2764"/>
            <w:shd w:val="clear" w:color="auto" w:fill="111113"/>
          </w:tcPr>
          <w:p>
            <w:r>
              <w:rPr>
                <w:b/>
                <w:color w:val="FFFFFF"/>
                <w:sz w:val="17"/>
              </w:rPr>
            </w:r>
            <w:r>
              <w:rPr>
                <w:b/>
                <w:color w:val="FFFFFF"/>
                <w:sz w:val="17"/>
              </w:rPr>
              <w:t>Review item</w:t>
            </w:r>
          </w:p>
        </w:tc>
        <w:tc>
          <w:tcPr>
            <w:tcW w:type="dxa" w:w="3717"/>
            <w:shd w:val="clear" w:color="auto" w:fill="111113"/>
          </w:tcPr>
          <w:p>
            <w:r>
              <w:rPr>
                <w:b/>
                <w:color w:val="FFFFFF"/>
                <w:sz w:val="17"/>
              </w:rPr>
            </w:r>
            <w:r>
              <w:rPr>
                <w:b/>
                <w:color w:val="FFFFFF"/>
                <w:sz w:val="17"/>
              </w:rPr>
              <w:t>Revised location /​ inspectable evidence</w:t>
            </w:r>
          </w:p>
        </w:tc>
        <w:tc>
          <w:tcPr>
            <w:tcW w:type="dxa" w:w="3986"/>
            <w:shd w:val="clear" w:color="auto" w:fill="111113"/>
          </w:tcPr>
          <w:p>
            <w:r>
              <w:rPr>
                <w:b/>
                <w:color w:val="FFFFFF"/>
                <w:sz w:val="17"/>
              </w:rPr>
            </w:r>
            <w:r>
              <w:rPr>
                <w:b/>
                <w:color w:val="FFFFFF"/>
                <w:sz w:val="17"/>
              </w:rPr>
              <w:t>Draft outcome</w:t>
            </w:r>
          </w:p>
        </w:tc>
      </w:tr>
      <w:tr>
        <w:trPr>
          <w:cantSplit/>
        </w:trPr>
        <w:tc>
          <w:tcPr>
            <w:tcW w:type="dxa" w:w="2764"/>
          </w:tcPr>
          <w:p>
            <w:r>
              <w:rPr>
                <w:sz w:val="17"/>
              </w:rPr>
            </w:r>
            <w:r>
              <w:rPr>
                <w:sz w:val="17"/>
              </w:rPr>
              <w:t>T02.1 office scope/​leadership/​improvement</w:t>
            </w:r>
          </w:p>
        </w:tc>
        <w:tc>
          <w:tcPr>
            <w:tcW w:type="dxa" w:w="3717"/>
          </w:tcPr>
          <w:p>
            <w:r>
              <w:rPr>
                <w:sz w:val="17"/>
              </w:rPr>
            </w:r>
            <w:r>
              <w:rPr>
                <w:sz w:val="17"/>
              </w:rPr>
              <w:t>1.1 control register; 9.1.1 QMS/​corrective-action record</w:t>
            </w:r>
          </w:p>
        </w:tc>
        <w:tc>
          <w:tcPr>
            <w:tcW w:type="dxa" w:w="3986"/>
          </w:tcPr>
          <w:p>
            <w:r>
              <w:rPr>
                <w:sz w:val="17"/>
              </w:rPr>
            </w:r>
            <w:r>
              <w:rPr>
                <w:sz w:val="17"/>
              </w:rPr>
              <w:t>Present; office choices decided; live activation evidence pending</w:t>
            </w:r>
          </w:p>
        </w:tc>
      </w:tr>
      <w:tr>
        <w:trPr>
          <w:cantSplit/>
        </w:trPr>
        <w:tc>
          <w:tcPr>
            <w:tcW w:type="dxa" w:w="2764"/>
          </w:tcPr>
          <w:p>
            <w:r>
              <w:rPr>
                <w:sz w:val="17"/>
              </w:rPr>
            </w:r>
            <w:r>
              <w:rPr>
                <w:sz w:val="17"/>
              </w:rPr>
              <w:t>T02.2 organisational/​project/​asset trace</w:t>
            </w:r>
          </w:p>
        </w:tc>
        <w:tc>
          <w:tcPr>
            <w:tcW w:type="dxa" w:w="3717"/>
          </w:tcPr>
          <w:p>
            <w:r>
              <w:rPr>
                <w:sz w:val="17"/>
              </w:rPr>
            </w:r>
            <w:r>
              <w:rPr>
                <w:sz w:val="17"/>
              </w:rPr>
              <w:t>2.5 requirements cascade/​example; 12.5 AIM triggers</w:t>
            </w:r>
          </w:p>
        </w:tc>
        <w:tc>
          <w:tcPr>
            <w:tcW w:type="dxa" w:w="3986"/>
          </w:tcPr>
          <w:p>
            <w:r>
              <w:rPr>
                <w:sz w:val="17"/>
              </w:rPr>
            </w:r>
            <w:r>
              <w:rPr>
                <w:sz w:val="17"/>
              </w:rPr>
              <w:t>Present</w:t>
            </w:r>
          </w:p>
        </w:tc>
      </w:tr>
      <w:tr>
        <w:trPr>
          <w:cantSplit/>
        </w:trPr>
        <w:tc>
          <w:tcPr>
            <w:tcW w:type="dxa" w:w="2764"/>
          </w:tcPr>
          <w:p>
            <w:r>
              <w:rPr>
                <w:sz w:val="17"/>
              </w:rPr>
            </w:r>
            <w:r>
              <w:rPr>
                <w:sz w:val="17"/>
              </w:rPr>
              <w:t>T02.3 nine phases and usable procedures</w:t>
            </w:r>
          </w:p>
        </w:tc>
        <w:tc>
          <w:tcPr>
            <w:tcW w:type="dxa" w:w="3717"/>
          </w:tcPr>
          <w:p>
            <w:r>
              <w:rPr>
                <w:sz w:val="17"/>
              </w:rPr>
            </w:r>
            <w:r>
              <w:rPr>
                <w:sz w:val="17"/>
              </w:rPr>
              <w:t>1.5 phase exit table; retained 3–12 procedures and new forms</w:t>
            </w:r>
          </w:p>
        </w:tc>
        <w:tc>
          <w:tcPr>
            <w:tcW w:type="dxa" w:w="3986"/>
          </w:tcPr>
          <w:p>
            <w:r>
              <w:rPr>
                <w:sz w:val="17"/>
              </w:rPr>
            </w:r>
            <w:r>
              <w:rPr>
                <w:sz w:val="17"/>
              </w:rPr>
              <w:t>Present</w:t>
            </w:r>
          </w:p>
        </w:tc>
      </w:tr>
      <w:tr>
        <w:trPr>
          <w:cantSplit/>
        </w:trPr>
        <w:tc>
          <w:tcPr>
            <w:tcW w:type="dxa" w:w="2764"/>
          </w:tcPr>
          <w:p>
            <w:r>
              <w:rPr>
                <w:sz w:val="17"/>
              </w:rPr>
            </w:r>
            <w:r>
              <w:rPr>
                <w:sz w:val="17"/>
              </w:rPr>
              <w:t>T02.4 policy/​annex/​software precedence</w:t>
            </w:r>
          </w:p>
        </w:tc>
        <w:tc>
          <w:tcPr>
            <w:tcW w:type="dxa" w:w="3717"/>
          </w:tcPr>
          <w:p>
            <w:r>
              <w:rPr>
                <w:sz w:val="17"/>
              </w:rPr>
            </w:r>
            <w:r>
              <w:rPr>
                <w:sz w:val="17"/>
              </w:rPr>
              <w:t>1.1 hierarchy; 3.1 project naming register; 11.3 qualification</w:t>
            </w:r>
          </w:p>
        </w:tc>
        <w:tc>
          <w:tcPr>
            <w:tcW w:type="dxa" w:w="3986"/>
          </w:tcPr>
          <w:p>
            <w:r>
              <w:rPr>
                <w:sz w:val="17"/>
              </w:rPr>
            </w:r>
            <w:r>
              <w:rPr>
                <w:sz w:val="17"/>
              </w:rPr>
              <w:t>Present</w:t>
            </w:r>
          </w:p>
        </w:tc>
      </w:tr>
      <w:tr>
        <w:trPr>
          <w:cantSplit/>
        </w:trPr>
        <w:tc>
          <w:tcPr>
            <w:tcW w:type="dxa" w:w="2764"/>
          </w:tcPr>
          <w:p>
            <w:r>
              <w:rPr>
                <w:sz w:val="17"/>
              </w:rPr>
            </w:r>
            <w:r>
              <w:rPr>
                <w:sz w:val="17"/>
              </w:rPr>
              <w:t>T02.5 security and lifecycle safety</w:t>
            </w:r>
          </w:p>
        </w:tc>
        <w:tc>
          <w:tcPr>
            <w:tcW w:type="dxa" w:w="3717"/>
          </w:tcPr>
          <w:p>
            <w:r>
              <w:rPr>
                <w:sz w:val="17"/>
              </w:rPr>
            </w:r>
            <w:r>
              <w:rPr>
                <w:sz w:val="17"/>
              </w:rPr>
              <w:t>9.4 sensitivity, roles, incidents, HSI/​risk forms; 12.5 handover</w:t>
            </w:r>
          </w:p>
        </w:tc>
        <w:tc>
          <w:tcPr>
            <w:tcW w:type="dxa" w:w="3986"/>
          </w:tcPr>
          <w:p>
            <w:r>
              <w:rPr>
                <w:sz w:val="17"/>
              </w:rPr>
            </w:r>
            <w:r>
              <w:rPr>
                <w:sz w:val="17"/>
              </w:rPr>
              <w:t>Present</w:t>
            </w:r>
          </w:p>
        </w:tc>
      </w:tr>
      <w:tr>
        <w:trPr>
          <w:cantSplit/>
        </w:trPr>
        <w:tc>
          <w:tcPr>
            <w:tcW w:type="dxa" w:w="2764"/>
          </w:tcPr>
          <w:p>
            <w:r>
              <w:rPr>
                <w:sz w:val="17"/>
              </w:rPr>
            </w:r>
            <w:r>
              <w:rPr>
                <w:sz w:val="17"/>
              </w:rPr>
              <w:t>P1 bundled gap: naming/​parameters/​acceptance/​security/​safety</w:t>
            </w:r>
          </w:p>
        </w:tc>
        <w:tc>
          <w:tcPr>
            <w:tcW w:type="dxa" w:w="3717"/>
          </w:tcPr>
          <w:p>
            <w:r>
              <w:rPr>
                <w:sz w:val="17"/>
              </w:rPr>
            </w:r>
            <w:r>
              <w:rPr>
                <w:sz w:val="17"/>
              </w:rPr>
              <w:t>3.1–3.3; 9.4; 11.3; 12.4</w:t>
            </w:r>
          </w:p>
        </w:tc>
        <w:tc>
          <w:tcPr>
            <w:tcW w:type="dxa" w:w="3986"/>
          </w:tcPr>
          <w:p>
            <w:r>
              <w:rPr>
                <w:sz w:val="17"/>
              </w:rPr>
            </w:r>
            <w:r>
              <w:rPr>
                <w:sz w:val="17"/>
              </w:rPr>
              <w:t>Content corrected; no project test claimed</w:t>
            </w:r>
          </w:p>
        </w:tc>
      </w:tr>
      <w:tr>
        <w:trPr>
          <w:cantSplit/>
        </w:trPr>
        <w:tc>
          <w:tcPr>
            <w:tcW w:type="dxa" w:w="2764"/>
          </w:tcPr>
          <w:p>
            <w:r>
              <w:rPr>
                <w:sz w:val="17"/>
              </w:rPr>
            </w:r>
            <w:r>
              <w:rPr>
                <w:sz w:val="17"/>
              </w:rPr>
              <w:t>P2 bundled gap: cascade/​QMS/​annex adoption</w:t>
            </w:r>
          </w:p>
        </w:tc>
        <w:tc>
          <w:tcPr>
            <w:tcW w:type="dxa" w:w="3717"/>
          </w:tcPr>
          <w:p>
            <w:r>
              <w:rPr>
                <w:sz w:val="17"/>
              </w:rPr>
            </w:r>
            <w:r>
              <w:rPr>
                <w:sz w:val="17"/>
              </w:rPr>
              <w:t>1.1; 2.5; 9.1.1; 11.3</w:t>
            </w:r>
          </w:p>
        </w:tc>
        <w:tc>
          <w:tcPr>
            <w:tcW w:type="dxa" w:w="3986"/>
          </w:tcPr>
          <w:p>
            <w:r>
              <w:rPr>
                <w:sz w:val="17"/>
              </w:rPr>
            </w:r>
            <w:r>
              <w:rPr>
                <w:sz w:val="17"/>
              </w:rPr>
              <w:t>Content supplied; office choices recorded in BBM-STD-11 Decisions log; actual activation evidence separate</w:t>
            </w:r>
          </w:p>
        </w:tc>
      </w:tr>
      <w:tr>
        <w:trPr>
          <w:cantSplit/>
        </w:trPr>
        <w:tc>
          <w:tcPr>
            <w:tcW w:type="dxa" w:w="2764"/>
          </w:tcPr>
          <w:p>
            <w:r>
              <w:rPr>
                <w:sz w:val="17"/>
              </w:rPr>
            </w:r>
            <w:r>
              <w:rPr>
                <w:sz w:val="17"/>
              </w:rPr>
              <w:t>P3 mobilisation pilot</w:t>
            </w:r>
          </w:p>
        </w:tc>
        <w:tc>
          <w:tcPr>
            <w:tcW w:type="dxa" w:w="3717"/>
          </w:tcPr>
          <w:p>
            <w:r>
              <w:rPr>
                <w:sz w:val="17"/>
              </w:rPr>
            </w:r>
            <w:r>
              <w:rPr>
                <w:sz w:val="17"/>
              </w:rPr>
              <w:t>11.3 representative pack and test record</w:t>
            </w:r>
          </w:p>
        </w:tc>
        <w:tc>
          <w:tcPr>
            <w:tcW w:type="dxa" w:w="3986"/>
          </w:tcPr>
          <w:p>
            <w:r>
              <w:rPr>
                <w:sz w:val="17"/>
              </w:rPr>
            </w:r>
            <w:r>
              <w:rPr>
                <w:sz w:val="17"/>
              </w:rPr>
              <w:t>Procedure supplied; actual private pilot not executed</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87"/>
        <w:gridCol w:w="5585"/>
        <w:gridCol w:w="3494"/>
      </w:tblGrid>
      <w:tr>
        <w:trPr>
          <w:cantSplit/>
          <w:tblHeader/>
        </w:trPr>
        <w:tc>
          <w:tcPr>
            <w:tcW w:type="dxa" w:w="1387"/>
            <w:shd w:val="clear" w:color="auto" w:fill="111113"/>
          </w:tcPr>
          <w:p>
            <w:r>
              <w:rPr>
                <w:b/>
                <w:color w:val="FFFFFF"/>
                <w:sz w:val="17"/>
              </w:rPr>
            </w:r>
            <w:r>
              <w:rPr>
                <w:b/>
                <w:color w:val="FFFFFF"/>
                <w:sz w:val="17"/>
              </w:rPr>
              <w:t>Office decision group</w:t>
            </w:r>
          </w:p>
        </w:tc>
        <w:tc>
          <w:tcPr>
            <w:tcW w:type="dxa" w:w="5585"/>
            <w:shd w:val="clear" w:color="auto" w:fill="111113"/>
          </w:tcPr>
          <w:p>
            <w:r>
              <w:rPr>
                <w:b/>
                <w:color w:val="FFFFFF"/>
                <w:sz w:val="17"/>
              </w:rPr>
            </w:r>
            <w:r>
              <w:rPr>
                <w:b/>
                <w:color w:val="FFFFFF"/>
                <w:sz w:val="17"/>
              </w:rPr>
              <w:t>Decided office value</w:t>
            </w:r>
          </w:p>
        </w:tc>
        <w:tc>
          <w:tcPr>
            <w:tcW w:type="dxa" w:w="3494"/>
            <w:shd w:val="clear" w:color="auto" w:fill="111113"/>
          </w:tcPr>
          <w:p>
            <w:r>
              <w:rPr>
                <w:b/>
                <w:color w:val="FFFFFF"/>
                <w:sz w:val="17"/>
              </w:rPr>
            </w:r>
            <w:r>
              <w:rPr>
                <w:b/>
                <w:color w:val="FFFFFF"/>
                <w:sz w:val="17"/>
              </w:rPr>
              <w:t>Approval record to complete</w:t>
            </w:r>
          </w:p>
        </w:tc>
      </w:tr>
      <w:tr>
        <w:trPr>
          <w:cantSplit/>
        </w:trPr>
        <w:tc>
          <w:tcPr>
            <w:tcW w:type="dxa" w:w="1387"/>
          </w:tcPr>
          <w:p>
            <w:r>
              <w:rPr>
                <w:sz w:val="17"/>
              </w:rPr>
            </w:r>
            <w:r>
              <w:rPr>
                <w:sz w:val="17"/>
              </w:rPr>
              <w:t>Ownership and review</w:t>
            </w:r>
          </w:p>
        </w:tc>
        <w:tc>
          <w:tcPr>
            <w:tcW w:type="dxa" w:w="5585"/>
          </w:tcPr>
          <w:p>
            <w:r>
              <w:rPr>
                <w:sz w:val="17"/>
              </w:rPr>
            </w:r>
            <w:r>
              <w:rPr>
                <w:color w:val="9A7B45"/>
                <w:sz w:val="17"/>
                <w:u w:val="single"/>
              </w:rPr>
              <w:t>O-DEC-009</w:t>
            </w:r>
            <w:r>
              <w:rPr>
                <w:sz w:val="17"/>
              </w:rPr>
              <w:t xml:space="preserve">; </w:t>
            </w:r>
            <w:r>
              <w:rPr>
                <w:color w:val="9A7B45"/>
                <w:sz w:val="17"/>
                <w:u w:val="single"/>
              </w:rPr>
              <w:t>O-DEC-012</w:t>
            </w:r>
            <w:r>
              <w:rPr>
                <w:sz w:val="17"/>
              </w:rPr>
              <w:t xml:space="preserve">; </w:t>
            </w:r>
            <w:r>
              <w:rPr>
                <w:color w:val="9A7B45"/>
                <w:sz w:val="17"/>
                <w:u w:val="single"/>
              </w:rPr>
              <w:t>O-DEC-015</w:t>
            </w:r>
            <w:r>
              <w:rPr>
                <w:sz w:val="17"/>
              </w:rPr>
              <w:t xml:space="preserve">; </w:t>
            </w:r>
            <w:r>
              <w:rPr>
                <w:color w:val="9A7B45"/>
                <w:sz w:val="17"/>
                <w:u w:val="single"/>
              </w:rPr>
              <w:t>O-DEC-043</w:t>
            </w:r>
            <w:r>
              <w:rPr>
                <w:sz w:val="17"/>
              </w:rPr>
              <w:t xml:space="preserve"> (full text in the sections listed in the Manual and in BBM-STD-11)</w:t>
            </w:r>
          </w:p>
        </w:tc>
        <w:tc>
          <w:tcPr>
            <w:tcW w:type="dxa" w:w="3494"/>
          </w:tcPr>
          <w:p>
            <w:r>
              <w:rPr>
                <w:sz w:val="17"/>
              </w:rPr>
            </w:r>
            <w:r>
              <w:rPr>
                <w:sz w:val="17"/>
              </w:rPr>
              <w:t>Decision ID, approver/​deputy, effective date and affected projects</w:t>
            </w:r>
          </w:p>
        </w:tc>
      </w:tr>
      <w:tr>
        <w:trPr>
          <w:cantSplit/>
        </w:trPr>
        <w:tc>
          <w:tcPr>
            <w:tcW w:type="dxa" w:w="1387"/>
          </w:tcPr>
          <w:p>
            <w:r>
              <w:rPr>
                <w:sz w:val="17"/>
              </w:rPr>
            </w:r>
            <w:r>
              <w:rPr>
                <w:sz w:val="17"/>
              </w:rPr>
              <w:t>Naming /​ revision /​ states</w:t>
            </w:r>
          </w:p>
        </w:tc>
        <w:tc>
          <w:tcPr>
            <w:tcW w:type="dxa" w:w="5585"/>
          </w:tcPr>
          <w:p>
            <w:r>
              <w:rPr>
                <w:sz w:val="17"/>
              </w:rPr>
            </w:r>
            <w:r>
              <w:rPr>
                <w:color w:val="9A7B45"/>
                <w:sz w:val="17"/>
                <w:u w:val="single"/>
              </w:rPr>
              <w:t>O-DEC-002</w:t>
            </w:r>
            <w:r>
              <w:rPr>
                <w:sz w:val="17"/>
              </w:rPr>
              <w:t xml:space="preserve">; </w:t>
            </w:r>
            <w:r>
              <w:rPr>
                <w:color w:val="9A7B45"/>
                <w:sz w:val="17"/>
                <w:u w:val="single"/>
              </w:rPr>
              <w:t>O-DEC-021</w:t>
            </w:r>
            <w:r>
              <w:rPr>
                <w:sz w:val="17"/>
              </w:rPr>
              <w:t xml:space="preserve">; </w:t>
            </w:r>
            <w:r>
              <w:rPr>
                <w:color w:val="9A7B45"/>
                <w:sz w:val="17"/>
                <w:u w:val="single"/>
              </w:rPr>
              <w:t>O-DEC-022</w:t>
            </w:r>
            <w:r>
              <w:rPr>
                <w:sz w:val="17"/>
              </w:rPr>
              <w:t xml:space="preserve">; </w:t>
            </w:r>
            <w:r>
              <w:rPr>
                <w:color w:val="9A7B45"/>
                <w:sz w:val="17"/>
                <w:u w:val="single"/>
              </w:rPr>
              <w:t>O-DEC-019</w:t>
            </w:r>
            <w:r>
              <w:rPr>
                <w:sz w:val="17"/>
              </w:rPr>
              <w:t xml:space="preserve"> (full text in the sections listed in the Manual and in BBM-STD-11)</w:t>
            </w:r>
          </w:p>
        </w:tc>
        <w:tc>
          <w:tcPr>
            <w:tcW w:type="dxa" w:w="3494"/>
          </w:tcPr>
          <w:p>
            <w:r>
              <w:rPr>
                <w:sz w:val="17"/>
              </w:rPr>
            </w:r>
            <w:r>
              <w:rPr>
                <w:sz w:val="17"/>
              </w:rPr>
              <w:t>Approved project grammar/​register, alias migration and code lists</w:t>
            </w:r>
          </w:p>
        </w:tc>
      </w:tr>
      <w:tr>
        <w:trPr>
          <w:cantSplit/>
        </w:trPr>
        <w:tc>
          <w:tcPr>
            <w:tcW w:type="dxa" w:w="1387"/>
          </w:tcPr>
          <w:p>
            <w:r>
              <w:rPr>
                <w:sz w:val="17"/>
              </w:rPr>
            </w:r>
            <w:r>
              <w:rPr>
                <w:sz w:val="17"/>
              </w:rPr>
              <w:t>Data /​ worksets /​ QA</w:t>
            </w:r>
          </w:p>
        </w:tc>
        <w:tc>
          <w:tcPr>
            <w:tcW w:type="dxa" w:w="5585"/>
          </w:tcPr>
          <w:p>
            <w:r>
              <w:rPr>
                <w:sz w:val="17"/>
              </w:rPr>
            </w:r>
            <w:r>
              <w:rPr>
                <w:color w:val="9A7B45"/>
                <w:sz w:val="17"/>
                <w:u w:val="single"/>
              </w:rPr>
              <w:t>O-DEC-003</w:t>
            </w:r>
            <w:r>
              <w:rPr>
                <w:sz w:val="17"/>
              </w:rPr>
              <w:t xml:space="preserve">; </w:t>
            </w:r>
            <w:r>
              <w:rPr>
                <w:color w:val="9A7B45"/>
                <w:sz w:val="17"/>
                <w:u w:val="single"/>
              </w:rPr>
              <w:t>O-DEC-041</w:t>
            </w:r>
            <w:r>
              <w:rPr>
                <w:sz w:val="17"/>
              </w:rPr>
              <w:t xml:space="preserve">; </w:t>
            </w:r>
            <w:r>
              <w:rPr>
                <w:color w:val="9A7B45"/>
                <w:sz w:val="17"/>
                <w:u w:val="single"/>
              </w:rPr>
              <w:t>O-DEC-042</w:t>
            </w:r>
            <w:r>
              <w:rPr>
                <w:sz w:val="17"/>
              </w:rPr>
              <w:t xml:space="preserve">; </w:t>
            </w:r>
            <w:r>
              <w:rPr>
                <w:color w:val="9A7B45"/>
                <w:sz w:val="17"/>
                <w:u w:val="single"/>
              </w:rPr>
              <w:t>O-DEC-044</w:t>
            </w:r>
            <w:r>
              <w:rPr>
                <w:sz w:val="17"/>
              </w:rPr>
              <w:t xml:space="preserve"> (full text in the sections listed in the Manual and in BBM-STD-11)</w:t>
            </w:r>
          </w:p>
        </w:tc>
        <w:tc>
          <w:tcPr>
            <w:tcW w:type="dxa" w:w="3494"/>
          </w:tcPr>
          <w:p>
            <w:r>
              <w:rPr>
                <w:sz w:val="17"/>
              </w:rPr>
            </w:r>
            <w:r>
              <w:rPr>
                <w:sz w:val="17"/>
              </w:rPr>
              <w:t>Confirm scope and metric denominators; no waiver of binding requirements</w:t>
            </w:r>
          </w:p>
        </w:tc>
      </w:tr>
      <w:tr>
        <w:trPr/>
        <w:tc>
          <w:tcPr>
            <w:tcW w:type="dxa" w:w="1387"/>
          </w:tcPr>
          <w:p>
            <w:r>
              <w:rPr>
                <w:sz w:val="17"/>
              </w:rPr>
            </w:r>
            <w:r>
              <w:rPr>
                <w:sz w:val="17"/>
              </w:rPr>
              <w:t>Exchange/​tools</w:t>
            </w:r>
          </w:p>
        </w:tc>
        <w:tc>
          <w:tcPr>
            <w:tcW w:type="dxa" w:w="5585"/>
          </w:tcPr>
          <w:p>
            <w:r>
              <w:rPr>
                <w:sz w:val="17"/>
              </w:rPr>
            </w:r>
            <w:r>
              <w:rPr>
                <w:color w:val="9A7B45"/>
                <w:sz w:val="17"/>
                <w:u w:val="single"/>
              </w:rPr>
              <w:t>O-DEC-048</w:t>
            </w:r>
            <w:r>
              <w:rPr>
                <w:sz w:val="17"/>
              </w:rPr>
              <w:t xml:space="preserve">; </w:t>
            </w:r>
            <w:r>
              <w:rPr>
                <w:color w:val="9A7B45"/>
                <w:sz w:val="17"/>
                <w:u w:val="single"/>
              </w:rPr>
              <w:t>O-DEC-086</w:t>
            </w:r>
            <w:r>
              <w:rPr>
                <w:sz w:val="17"/>
              </w:rPr>
              <w:t xml:space="preserve">; </w:t>
            </w:r>
            <w:r>
              <w:rPr>
                <w:color w:val="9A7B45"/>
                <w:sz w:val="17"/>
                <w:u w:val="single"/>
              </w:rPr>
              <w:t>O-DEC-087</w:t>
            </w:r>
            <w:r>
              <w:rPr>
                <w:sz w:val="17"/>
              </w:rPr>
              <w:t xml:space="preserve">; </w:t>
            </w:r>
            <w:r>
              <w:rPr>
                <w:color w:val="9A7B45"/>
                <w:sz w:val="17"/>
                <w:u w:val="single"/>
              </w:rPr>
              <w:t>O-DEC-114</w:t>
            </w:r>
            <w:r>
              <w:rPr>
                <w:sz w:val="17"/>
              </w:rPr>
              <w:t xml:space="preserve">; </w:t>
            </w:r>
            <w:r>
              <w:rPr>
                <w:color w:val="9A7B45"/>
                <w:sz w:val="17"/>
                <w:u w:val="single"/>
              </w:rPr>
              <w:t>O-DEC-088</w:t>
            </w:r>
            <w:r>
              <w:rPr>
                <w:sz w:val="17"/>
              </w:rPr>
              <w:t xml:space="preserve">; </w:t>
            </w:r>
            <w:r>
              <w:rPr>
                <w:color w:val="9A7B45"/>
                <w:sz w:val="17"/>
                <w:u w:val="single"/>
              </w:rPr>
              <w:t>O-DEC-094</w:t>
            </w:r>
            <w:r>
              <w:rPr>
                <w:sz w:val="17"/>
              </w:rPr>
              <w:t xml:space="preserve">; </w:t>
            </w:r>
            <w:r>
              <w:rPr>
                <w:color w:val="9A7B45"/>
                <w:sz w:val="17"/>
                <w:u w:val="single"/>
              </w:rPr>
              <w:t>O-DEC-142</w:t>
            </w:r>
            <w:r>
              <w:rPr>
                <w:sz w:val="17"/>
              </w:rPr>
              <w:t xml:space="preserve">; </w:t>
            </w:r>
            <w:r>
              <w:rPr>
                <w:color w:val="9A7B45"/>
                <w:sz w:val="17"/>
                <w:u w:val="single"/>
              </w:rPr>
              <w:t>O-DEC-095</w:t>
            </w:r>
            <w:r>
              <w:rPr>
                <w:sz w:val="17"/>
              </w:rPr>
              <w:t xml:space="preserve">; </w:t>
            </w:r>
            <w:r>
              <w:rPr>
                <w:color w:val="9A7B45"/>
                <w:sz w:val="17"/>
                <w:u w:val="single"/>
              </w:rPr>
              <w:t>O-DEC-096</w:t>
            </w:r>
            <w:r>
              <w:rPr>
                <w:sz w:val="17"/>
              </w:rPr>
              <w:t xml:space="preserve">; </w:t>
            </w:r>
            <w:r>
              <w:rPr>
                <w:color w:val="9A7B45"/>
                <w:sz w:val="17"/>
                <w:u w:val="single"/>
              </w:rPr>
              <w:t>O-DEC-097</w:t>
            </w:r>
            <w:r>
              <w:rPr>
                <w:sz w:val="17"/>
              </w:rPr>
              <w:t xml:space="preserve">; </w:t>
            </w:r>
            <w:r>
              <w:rPr>
                <w:color w:val="9A7B45"/>
                <w:sz w:val="17"/>
                <w:u w:val="single"/>
              </w:rPr>
              <w:t>O-DEC-098</w:t>
            </w:r>
            <w:r>
              <w:rPr>
                <w:sz w:val="17"/>
              </w:rPr>
              <w:t xml:space="preserve">; </w:t>
            </w:r>
            <w:r>
              <w:rPr>
                <w:color w:val="9A7B45"/>
                <w:sz w:val="17"/>
                <w:u w:val="single"/>
              </w:rPr>
              <w:t>O-DEC-090</w:t>
            </w:r>
            <w:r>
              <w:rPr>
                <w:sz w:val="17"/>
              </w:rPr>
              <w:t xml:space="preserve">; </w:t>
            </w:r>
            <w:r>
              <w:rPr>
                <w:color w:val="9A7B45"/>
                <w:sz w:val="17"/>
                <w:u w:val="single"/>
              </w:rPr>
              <w:t>O-DEC-001</w:t>
            </w:r>
            <w:r>
              <w:rPr>
                <w:sz w:val="17"/>
              </w:rPr>
              <w:t xml:space="preserve">; </w:t>
            </w:r>
            <w:r>
              <w:rPr>
                <w:color w:val="9A7B45"/>
                <w:sz w:val="17"/>
                <w:u w:val="single"/>
              </w:rPr>
              <w:t>O-DEC-093</w:t>
            </w:r>
            <w:r>
              <w:rPr>
                <w:sz w:val="17"/>
              </w:rPr>
              <w:t xml:space="preserve">; </w:t>
            </w:r>
            <w:r>
              <w:rPr>
                <w:color w:val="9A7B45"/>
                <w:sz w:val="17"/>
                <w:u w:val="single"/>
              </w:rPr>
              <w:t>O-DEC-120</w:t>
            </w:r>
            <w:r>
              <w:rPr>
                <w:sz w:val="17"/>
              </w:rPr>
              <w:t xml:space="preserve"> (full text in the sections listed in the Manual and in BBM-STD-11)</w:t>
            </w:r>
          </w:p>
        </w:tc>
        <w:tc>
          <w:tcPr>
            <w:tcW w:type="dxa" w:w="3494"/>
          </w:tcPr>
          <w:p>
            <w:r>
              <w:rPr>
                <w:sz w:val="17"/>
              </w:rPr>
            </w:r>
            <w:r>
              <w:rPr>
                <w:sz w:val="17"/>
              </w:rPr>
              <w:t>Actual installed builds, controlled presets, mobilisation and receiver test IDs</w:t>
            </w:r>
          </w:p>
        </w:tc>
      </w:tr>
      <w:tr>
        <w:trPr>
          <w:cantSplit/>
        </w:trPr>
        <w:tc>
          <w:tcPr>
            <w:tcW w:type="dxa" w:w="1387"/>
          </w:tcPr>
          <w:p>
            <w:r>
              <w:rPr>
                <w:sz w:val="17"/>
              </w:rPr>
            </w:r>
            <w:r>
              <w:rPr>
                <w:sz w:val="17"/>
              </w:rPr>
              <w:t>Security /​ safety /​ operation</w:t>
            </w:r>
          </w:p>
        </w:tc>
        <w:tc>
          <w:tcPr>
            <w:tcW w:type="dxa" w:w="5585"/>
          </w:tcPr>
          <w:p>
            <w:r>
              <w:rPr>
                <w:sz w:val="17"/>
              </w:rPr>
            </w:r>
            <w:r>
              <w:rPr>
                <w:color w:val="9A7B45"/>
                <w:sz w:val="17"/>
                <w:u w:val="single"/>
              </w:rPr>
              <w:t>O-DEC-045</w:t>
            </w:r>
            <w:r>
              <w:rPr>
                <w:sz w:val="17"/>
              </w:rPr>
              <w:t xml:space="preserve">; </w:t>
            </w:r>
            <w:r>
              <w:rPr>
                <w:color w:val="9A7B45"/>
                <w:sz w:val="17"/>
                <w:u w:val="single"/>
              </w:rPr>
              <w:t>O-DEC-046</w:t>
            </w:r>
            <w:r>
              <w:rPr>
                <w:sz w:val="17"/>
              </w:rPr>
              <w:t xml:space="preserve">; </w:t>
            </w:r>
            <w:r>
              <w:rPr>
                <w:color w:val="9A7B45"/>
                <w:sz w:val="17"/>
                <w:u w:val="single"/>
              </w:rPr>
              <w:t>O-DEC-050</w:t>
            </w:r>
            <w:r>
              <w:rPr>
                <w:sz w:val="17"/>
              </w:rPr>
              <w:t xml:space="preserve"> (full text in the sections listed in the Manual and in BBM-STD-11)</w:t>
            </w:r>
          </w:p>
        </w:tc>
        <w:tc>
          <w:tcPr>
            <w:tcW w:type="dxa" w:w="3494"/>
          </w:tcPr>
          <w:p>
            <w:r>
              <w:rPr>
                <w:sz w:val="17"/>
              </w:rPr>
            </w:r>
            <w:r>
              <w:rPr>
                <w:sz w:val="17"/>
              </w:rPr>
              <w:t>Named authorities, supplier controls, retention schedule and receiving responsibilities</w:t>
            </w:r>
          </w:p>
        </w:tc>
      </w:tr>
    </w:tbl>
    <w:p/>
    <w:p>
      <w:pPr/>
      <w:r>
        <w:t>Editorial closure of the legacy conflicts C01–C07, C09–C12 and C14–C19 is traced in the BBM-STD-11 change trace; V0.4 closes audit res-026 rows G014–G046. The 15/5 mm conflict is resolved by the existing Clash matrix decision and section 3 table, which supersedes blanket stage values. This lane decides office defaults without asserting signed project rights or passed installed-tool/receiver tests; authority-specific requirements remain in the verified project annex.</w:t>
      </w:r>
    </w:p>
    <w:p>
      <w:pPr>
        <w:pStyle w:val="Heading1"/>
      </w:pPr>
      <w:r>
        <w:t>References</w:t>
      </w:r>
    </w:p>
    <w:p>
      <w:pPr/>
      <w:r>
        <w:t>Source selection follows RESEARCH.md (14 October 2026). Publisher scope/status and archived guidance support the procedures; no unverified normative clause number is asserted. Obtain the licensed adopted standards and binding project requirements before a compliance claim. References provide authority, not permission to copy third-party manuals.</w:t>
      </w:r>
    </w:p>
    <w:p>
      <w:pPr>
        <w:pStyle w:val="ListParagraph"/>
        <w:spacing w:after="40"/>
        <w:ind w:left="360" w:hanging="240"/>
      </w:pPr>
      <w:r>
        <w:t xml:space="preserve">•  </w:t>
      </w:r>
      <w:r>
        <w:rPr>
          <w:b/>
        </w:rPr>
        <w:t>S01</w:t>
      </w:r>
      <w:r>
        <w:t xml:space="preserve"> — ISO 19650-1 — Concepts and principles. ISO; 2018, ed.1. </w:t>
      </w:r>
      <w:hyperlink r:id="rId17">
        <w:r>
          <w:rPr>
            <w:color w:val="9A7B45"/>
            <w:u w:val="single"/>
          </w:rPr>
          <w:t>Publisher source</w:t>
        </w:r>
      </w:hyperlink>
      <w:r>
        <w:t>.</w:t>
      </w:r>
    </w:p>
    <w:p>
      <w:pPr>
        <w:pStyle w:val="ListParagraph"/>
        <w:spacing w:after="40"/>
        <w:ind w:left="360" w:hanging="240"/>
      </w:pPr>
      <w:r>
        <w:t xml:space="preserve">•  </w:t>
      </w:r>
      <w:r>
        <w:rPr>
          <w:b/>
        </w:rPr>
        <w:t>S02</w:t>
      </w:r>
      <w:r>
        <w:t xml:space="preserve"> — ISO 19650-2 — Delivery phase of the assets. ISO; 2018, ed.1. </w:t>
      </w:r>
      <w:hyperlink r:id="rId18">
        <w:r>
          <w:rPr>
            <w:color w:val="9A7B45"/>
            <w:u w:val="single"/>
          </w:rPr>
          <w:t>Publisher source</w:t>
        </w:r>
      </w:hyperlink>
      <w:r>
        <w:t>.</w:t>
      </w:r>
    </w:p>
    <w:p>
      <w:pPr>
        <w:pStyle w:val="ListParagraph"/>
        <w:spacing w:after="40"/>
        <w:ind w:left="360" w:hanging="240"/>
      </w:pPr>
      <w:r>
        <w:t xml:space="preserve">•  </w:t>
      </w:r>
      <w:r>
        <w:rPr>
          <w:b/>
        </w:rPr>
        <w:t>S03</w:t>
      </w:r>
      <w:r>
        <w:t xml:space="preserve"> — ISO 19650-3 — Operational phase of the assets. ISO; 2020, ed.1. </w:t>
      </w:r>
      <w:hyperlink r:id="rId19">
        <w:r>
          <w:rPr>
            <w:color w:val="9A7B45"/>
            <w:u w:val="single"/>
          </w:rPr>
          <w:t>Publisher source</w:t>
        </w:r>
      </w:hyperlink>
      <w:r>
        <w:t>.</w:t>
      </w:r>
    </w:p>
    <w:p>
      <w:pPr>
        <w:pStyle w:val="ListParagraph"/>
        <w:spacing w:after="40"/>
        <w:ind w:left="360" w:hanging="240"/>
      </w:pPr>
      <w:r>
        <w:t xml:space="preserve">•  </w:t>
      </w:r>
      <w:r>
        <w:rPr>
          <w:b/>
        </w:rPr>
        <w:t>S04</w:t>
      </w:r>
      <w:r>
        <w:t xml:space="preserve"> — ISO 19650-4 — Information exchange. ISO; 2022, ed.1. </w:t>
      </w:r>
      <w:hyperlink r:id="rId20">
        <w:r>
          <w:rPr>
            <w:color w:val="9A7B45"/>
            <w:u w:val="single"/>
          </w:rPr>
          <w:t>Publisher source</w:t>
        </w:r>
      </w:hyperlink>
      <w:r>
        <w:t>.</w:t>
      </w:r>
    </w:p>
    <w:p>
      <w:pPr>
        <w:pStyle w:val="ListParagraph"/>
        <w:spacing w:after="40"/>
        <w:ind w:left="360" w:hanging="240"/>
      </w:pPr>
      <w:r>
        <w:t xml:space="preserve">•  </w:t>
      </w:r>
      <w:r>
        <w:rPr>
          <w:b/>
        </w:rPr>
        <w:t>S05</w:t>
      </w:r>
      <w:r>
        <w:t xml:space="preserve"> — ISO 19650-5 — Security-minded approach to information management. ISO; 2020, ed.1. </w:t>
      </w:r>
      <w:hyperlink r:id="rId21">
        <w:r>
          <w:rPr>
            <w:color w:val="9A7B45"/>
            <w:u w:val="single"/>
          </w:rPr>
          <w:t>Publisher source</w:t>
        </w:r>
      </w:hyperlink>
      <w:r>
        <w:t>.</w:t>
      </w:r>
    </w:p>
    <w:p>
      <w:pPr>
        <w:pStyle w:val="ListParagraph"/>
        <w:spacing w:after="40"/>
        <w:ind w:left="360" w:hanging="240"/>
      </w:pPr>
      <w:r>
        <w:t xml:space="preserve">•  </w:t>
      </w:r>
      <w:r>
        <w:rPr>
          <w:b/>
        </w:rPr>
        <w:t>S06</w:t>
      </w:r>
      <w:r>
        <w:t xml:space="preserve"> — ISO 19650-6 — Health and safety information. ISO; 2025, ed.1. </w:t>
      </w:r>
      <w:hyperlink r:id="rId22">
        <w:r>
          <w:rPr>
            <w:color w:val="9A7B45"/>
            <w:u w:val="single"/>
          </w:rPr>
          <w:t>Publisher source</w:t>
        </w:r>
      </w:hyperlink>
      <w:r>
        <w:t>.</w:t>
      </w:r>
    </w:p>
    <w:p>
      <w:pPr>
        <w:pStyle w:val="ListParagraph"/>
        <w:spacing w:after="40"/>
        <w:ind w:left="360" w:hanging="240"/>
      </w:pPr>
      <w:r>
        <w:t xml:space="preserve">•  </w:t>
      </w:r>
      <w:r>
        <w:rPr>
          <w:b/>
        </w:rPr>
        <w:t>S07</w:t>
      </w:r>
      <w:r>
        <w:t xml:space="preserve"> — ISO 7817-1 — Level of information need: concepts and principles. ISO; 2024, ed.1. </w:t>
      </w:r>
      <w:hyperlink r:id="rId23">
        <w:r>
          <w:rPr>
            <w:color w:val="9A7B45"/>
            <w:u w:val="single"/>
          </w:rPr>
          <w:t>Publisher source</w:t>
        </w:r>
      </w:hyperlink>
      <w:r>
        <w:t>.</w:t>
      </w:r>
    </w:p>
    <w:p>
      <w:pPr>
        <w:pStyle w:val="ListParagraph"/>
        <w:spacing w:after="40"/>
        <w:ind w:left="360" w:hanging="240"/>
      </w:pPr>
      <w:r>
        <w:t xml:space="preserve">•  </w:t>
      </w:r>
      <w:r>
        <w:rPr>
          <w:b/>
        </w:rPr>
        <w:t>S08</w:t>
      </w:r>
      <w:r>
        <w:t xml:space="preserve"> — BS EN 17412-1:2020 — Withdrawn Standard; BS EN ISO 7817-1:2024 tracked changes. BSI; 2020 / 2024. </w:t>
      </w:r>
      <w:hyperlink r:id="rId24">
        <w:r>
          <w:rPr>
            <w:color w:val="9A7B45"/>
            <w:u w:val="single"/>
          </w:rPr>
          <w:t>Publisher source</w:t>
        </w:r>
      </w:hyperlink>
      <w:r>
        <w:t>.</w:t>
      </w:r>
    </w:p>
    <w:p>
      <w:pPr>
        <w:pStyle w:val="ListParagraph"/>
        <w:spacing w:after="40"/>
        <w:ind w:left="360" w:hanging="240"/>
      </w:pPr>
      <w:r>
        <w:t xml:space="preserve">•  </w:t>
      </w:r>
      <w:r>
        <w:rPr>
          <w:b/>
        </w:rPr>
        <w:t>S09</w:t>
      </w:r>
      <w:r>
        <w:t xml:space="preserve"> — ISO 12006-2 — Framework for classification. ISO; 2015, ed.2. </w:t>
      </w:r>
      <w:hyperlink r:id="rId25">
        <w:r>
          <w:rPr>
            <w:color w:val="9A7B45"/>
            <w:u w:val="single"/>
          </w:rPr>
          <w:t>Publisher source</w:t>
        </w:r>
      </w:hyperlink>
      <w:r>
        <w:t>.</w:t>
      </w:r>
    </w:p>
    <w:p>
      <w:pPr>
        <w:pStyle w:val="ListParagraph"/>
        <w:spacing w:after="40"/>
        <w:ind w:left="360" w:hanging="240"/>
      </w:pPr>
      <w:r>
        <w:t xml:space="preserve">•  </w:t>
      </w:r>
      <w:r>
        <w:rPr>
          <w:b/>
        </w:rPr>
        <w:t>S10</w:t>
      </w:r>
      <w:r>
        <w:t xml:space="preserve"> — Uniclass — Download tables and change history. NBS; Live; July 2026 release observed. </w:t>
      </w:r>
      <w:hyperlink r:id="rId26">
        <w:r>
          <w:rPr>
            <w:color w:val="9A7B45"/>
            <w:u w:val="single"/>
          </w:rPr>
          <w:t>Publisher source</w:t>
        </w:r>
      </w:hyperlink>
      <w:r>
        <w:t>.</w:t>
      </w:r>
    </w:p>
    <w:p>
      <w:pPr>
        <w:pStyle w:val="ListParagraph"/>
        <w:spacing w:after="40"/>
        <w:ind w:left="360" w:hanging="240"/>
      </w:pPr>
      <w:r>
        <w:t xml:space="preserve">•  </w:t>
      </w:r>
      <w:r>
        <w:rPr>
          <w:b/>
        </w:rPr>
        <w:t>S11</w:t>
      </w:r>
      <w:r>
        <w:t xml:space="preserve"> — ISO 16739-1 — IFC: data schema. ISO; 2024, ed.2. </w:t>
      </w:r>
      <w:hyperlink r:id="rId27">
        <w:r>
          <w:rPr>
            <w:color w:val="9A7B45"/>
            <w:u w:val="single"/>
          </w:rPr>
          <w:t>Publisher source</w:t>
        </w:r>
      </w:hyperlink>
      <w:r>
        <w:t>.</w:t>
      </w:r>
    </w:p>
    <w:p>
      <w:pPr>
        <w:pStyle w:val="ListParagraph"/>
        <w:spacing w:after="40"/>
        <w:ind w:left="360" w:hanging="240"/>
      </w:pPr>
      <w:r>
        <w:t xml:space="preserve">•  </w:t>
      </w:r>
      <w:r>
        <w:rPr>
          <w:b/>
        </w:rPr>
        <w:t>S12</w:t>
      </w:r>
      <w:r>
        <w:t xml:space="preserve"> — Industry Foundation Classes (IFC). buildingSMART International; Undated live page; 2024 ISO edition. </w:t>
      </w:r>
      <w:hyperlink r:id="rId28">
        <w:r>
          <w:rPr>
            <w:color w:val="9A7B45"/>
            <w:u w:val="single"/>
          </w:rPr>
          <w:t>Publisher source</w:t>
        </w:r>
      </w:hyperlink>
      <w:r>
        <w:t>.</w:t>
      </w:r>
    </w:p>
    <w:p>
      <w:pPr>
        <w:pStyle w:val="ListParagraph"/>
        <w:spacing w:after="40"/>
        <w:ind w:left="360" w:hanging="240"/>
      </w:pPr>
      <w:r>
        <w:t xml:space="preserve">•  </w:t>
      </w:r>
      <w:r>
        <w:rPr>
          <w:b/>
        </w:rPr>
        <w:t>S13</w:t>
      </w:r>
      <w:r>
        <w:t xml:space="preserve"> — BCF 3.0 XML and API. buildingSMART International; final 18 June 2021; BCF 2.1 (2017) fallback; </w:t>
      </w:r>
      <w:hyperlink r:id="rId29">
        <w:r>
          <w:rPr>
            <w:color w:val="9A7B45"/>
            <w:u w:val="single"/>
          </w:rPr>
          <w:t>BCF-XML v3.0</w:t>
        </w:r>
      </w:hyperlink>
      <w:r>
        <w:t xml:space="preserve">, checked 2026-11-04. </w:t>
      </w:r>
      <w:hyperlink r:id="rId30">
        <w:r>
          <w:rPr>
            <w:color w:val="9A7B45"/>
            <w:u w:val="single"/>
          </w:rPr>
          <w:t>Publisher source</w:t>
        </w:r>
      </w:hyperlink>
      <w:r>
        <w:t>.</w:t>
      </w:r>
    </w:p>
    <w:p>
      <w:pPr>
        <w:pStyle w:val="ListParagraph"/>
        <w:spacing w:after="40"/>
        <w:ind w:left="360" w:hanging="240"/>
      </w:pPr>
      <w:r>
        <w:t xml:space="preserve">•  </w:t>
      </w:r>
      <w:r>
        <w:rPr>
          <w:b/>
        </w:rPr>
        <w:t>S15</w:t>
      </w:r>
      <w:r>
        <w:t xml:space="preserve"> — NBIMS-US v4 — Standard / resources, including COBie v3. National Institute of Building Sciences (NIBS); v4; COBie V3.0 published 2023 as part of NBIMS-US V4 (NIBS version history, checked 2026-11-05); COBie 2.4 (NBIMS-US V3) stays the default unless the EIR names v3. </w:t>
      </w:r>
      <w:hyperlink r:id="rId31">
        <w:r>
          <w:rPr>
            <w:color w:val="9A7B45"/>
            <w:u w:val="single"/>
          </w:rPr>
          <w:t>Publisher source</w:t>
        </w:r>
      </w:hyperlink>
      <w:r>
        <w:t>.</w:t>
      </w:r>
    </w:p>
    <w:p>
      <w:pPr>
        <w:pStyle w:val="ListParagraph"/>
        <w:spacing w:after="40"/>
        <w:ind w:left="360" w:hanging="240"/>
      </w:pPr>
      <w:r>
        <w:t xml:space="preserve">•  </w:t>
      </w:r>
      <w:r>
        <w:rPr>
          <w:b/>
        </w:rPr>
        <w:t>S16</w:t>
      </w:r>
      <w:r>
        <w:t xml:space="preserve"> — ISO 23386 — Methodology to describe, author and maintain properties in interconnected data dictionaries. ISO; 2020, ed.1. </w:t>
      </w:r>
      <w:hyperlink r:id="rId32">
        <w:r>
          <w:rPr>
            <w:color w:val="9A7B45"/>
            <w:u w:val="single"/>
          </w:rPr>
          <w:t>Publisher source</w:t>
        </w:r>
      </w:hyperlink>
      <w:r>
        <w:t>.</w:t>
      </w:r>
    </w:p>
    <w:p>
      <w:pPr>
        <w:pStyle w:val="ListParagraph"/>
        <w:spacing w:after="40"/>
        <w:ind w:left="360" w:hanging="240"/>
      </w:pPr>
      <w:r>
        <w:t xml:space="preserve">•  </w:t>
      </w:r>
      <w:r>
        <w:rPr>
          <w:b/>
        </w:rPr>
        <w:t>S17</w:t>
      </w:r>
      <w:r>
        <w:t xml:space="preserve"> — ISO 23387 — Data templates for objects used in the life cycle of assets. ISO; 2025, ed.2. </w:t>
      </w:r>
      <w:hyperlink r:id="rId33">
        <w:r>
          <w:rPr>
            <w:color w:val="9A7B45"/>
            <w:u w:val="single"/>
          </w:rPr>
          <w:t>Publisher source</w:t>
        </w:r>
      </w:hyperlink>
      <w:r>
        <w:t>.</w:t>
      </w:r>
    </w:p>
    <w:p>
      <w:pPr>
        <w:pStyle w:val="ListParagraph"/>
        <w:spacing w:after="40"/>
        <w:ind w:left="360" w:hanging="240"/>
      </w:pPr>
      <w:r>
        <w:t xml:space="preserve">•  </w:t>
      </w:r>
      <w:r>
        <w:rPr>
          <w:b/>
        </w:rPr>
        <w:t>S20</w:t>
      </w:r>
      <w:r>
        <w:t xml:space="preserve"> — Information Delivery Specification (IDS). buildingSMART International; 1.0 final, June 2024 (</w:t>
      </w:r>
      <w:hyperlink r:id="rId34">
        <w:r>
          <w:rPr>
            <w:color w:val="9A7B45"/>
            <w:u w:val="single"/>
          </w:rPr>
          <w:t>releases</w:t>
        </w:r>
      </w:hyperlink>
      <w:r>
        <w:t xml:space="preserve">, checked 2026-11-04). </w:t>
      </w:r>
      <w:hyperlink r:id="rId35">
        <w:r>
          <w:rPr>
            <w:color w:val="9A7B45"/>
            <w:u w:val="single"/>
          </w:rPr>
          <w:t>Publisher source</w:t>
        </w:r>
      </w:hyperlink>
      <w:r>
        <w:t>.</w:t>
      </w:r>
    </w:p>
    <w:p>
      <w:pPr>
        <w:pStyle w:val="ListParagraph"/>
        <w:spacing w:after="40"/>
        <w:ind w:left="360" w:hanging="240"/>
      </w:pPr>
      <w:r>
        <w:t xml:space="preserve">•  </w:t>
      </w:r>
      <w:r>
        <w:rPr>
          <w:b/>
        </w:rPr>
        <w:t>S21</w:t>
      </w:r>
      <w:r>
        <w:t xml:space="preserve"> — RIBA Plan of Work 2020. Royal Institute of British Architects; 2020. </w:t>
      </w:r>
      <w:hyperlink r:id="rId36">
        <w:r>
          <w:rPr>
            <w:color w:val="9A7B45"/>
            <w:u w:val="single"/>
          </w:rPr>
          <w:t>Publisher source</w:t>
        </w:r>
      </w:hyperlink>
      <w:r>
        <w:t>.</w:t>
      </w:r>
    </w:p>
    <w:p>
      <w:pPr>
        <w:pStyle w:val="ListParagraph"/>
        <w:spacing w:after="40"/>
        <w:ind w:left="360" w:hanging="240"/>
      </w:pPr>
      <w:r>
        <w:t xml:space="preserve">•  </w:t>
      </w:r>
      <w:r>
        <w:rPr>
          <w:b/>
        </w:rPr>
        <w:t>S37</w:t>
      </w:r>
      <w:r>
        <w:t xml:space="preserve"> — Information protocols supporting delivery and operational phases — Guidance. IMI Framework (formerly UK BIM Framework, renamed May 2025); archived; ed.3, August 2022. </w:t>
      </w:r>
      <w:hyperlink r:id="rId37">
        <w:r>
          <w:rPr>
            <w:color w:val="9A7B45"/>
            <w:u w:val="single"/>
          </w:rPr>
          <w:t>Publisher source</w:t>
        </w:r>
      </w:hyperlink>
      <w:r>
        <w:t>.</w:t>
      </w:r>
    </w:p>
    <w:p>
      <w:pPr>
        <w:pStyle w:val="ListParagraph"/>
        <w:spacing w:after="40"/>
        <w:ind w:left="360" w:hanging="240"/>
      </w:pPr>
      <w:r>
        <w:t xml:space="preserve">•  </w:t>
      </w:r>
      <w:r>
        <w:rPr>
          <w:b/>
        </w:rPr>
        <w:t>G-A</w:t>
      </w:r>
      <w:r>
        <w:t xml:space="preserve"> — Guidance A — The information management function and resources. IMI Framework (formerly UK BIM Framework, renamed May 2025); archived; ed.2, February 2021. </w:t>
      </w:r>
      <w:hyperlink r:id="rId38">
        <w:r>
          <w:rPr>
            <w:color w:val="9A7B45"/>
            <w:u w:val="single"/>
          </w:rPr>
          <w:t>Publisher source</w:t>
        </w:r>
      </w:hyperlink>
      <w:r>
        <w:t>.</w:t>
      </w:r>
    </w:p>
    <w:p>
      <w:pPr>
        <w:pStyle w:val="ListParagraph"/>
        <w:spacing w:after="40"/>
        <w:ind w:left="360" w:hanging="240"/>
      </w:pPr>
      <w:r>
        <w:t xml:space="preserve">•  </w:t>
      </w:r>
      <w:r>
        <w:rPr>
          <w:b/>
        </w:rPr>
        <w:t>G-C</w:t>
      </w:r>
      <w:r>
        <w:t xml:space="preserve"> — Guidance C — Facilitating the CDE workflow and technical solutions. IMI Framework (formerly UK BIM Framework, renamed May 2025); archived; ed.1, September 2020. </w:t>
      </w:r>
      <w:hyperlink r:id="rId39">
        <w:r>
          <w:rPr>
            <w:color w:val="9A7B45"/>
            <w:u w:val="single"/>
          </w:rPr>
          <w:t>Publisher source</w:t>
        </w:r>
      </w:hyperlink>
      <w:r>
        <w:t>.</w:t>
      </w:r>
    </w:p>
    <w:p>
      <w:pPr>
        <w:pStyle w:val="ListParagraph"/>
        <w:spacing w:after="40"/>
        <w:ind w:left="360" w:hanging="240"/>
      </w:pPr>
      <w:r>
        <w:t xml:space="preserve">•  </w:t>
      </w:r>
      <w:r>
        <w:rPr>
          <w:b/>
        </w:rPr>
        <w:t>G-D</w:t>
      </w:r>
      <w:r>
        <w:t xml:space="preserve"> — Guidance D — Developing information requirements. IMI Framework (formerly UK BIM Framework, renamed May 2025); archived; ed.2, February 2021. </w:t>
      </w:r>
      <w:hyperlink r:id="rId40">
        <w:r>
          <w:rPr>
            <w:color w:val="9A7B45"/>
            <w:u w:val="single"/>
          </w:rPr>
          <w:t>Publisher source</w:t>
        </w:r>
      </w:hyperlink>
      <w:r>
        <w:t>.</w:t>
      </w:r>
    </w:p>
    <w:p>
      <w:pPr>
        <w:pStyle w:val="ListParagraph"/>
        <w:spacing w:after="40"/>
        <w:ind w:left="360" w:hanging="240"/>
      </w:pPr>
      <w:r>
        <w:t xml:space="preserve">•  </w:t>
      </w:r>
      <w:r>
        <w:rPr>
          <w:b/>
        </w:rPr>
        <w:t>G-E</w:t>
      </w:r>
      <w:r>
        <w:t xml:space="preserve"> — Guidance E — Tendering and appointments. IMI Framework (formerly UK BIM Framework, renamed May 2025); archived; ed.2, February 2021. </w:t>
      </w:r>
      <w:hyperlink r:id="rId41">
        <w:r>
          <w:rPr>
            <w:color w:val="9A7B45"/>
            <w:u w:val="single"/>
          </w:rPr>
          <w:t>Publisher source</w:t>
        </w:r>
      </w:hyperlink>
      <w:r>
        <w:t>.</w:t>
      </w:r>
    </w:p>
    <w:p>
      <w:pPr>
        <w:pStyle w:val="ListParagraph"/>
        <w:spacing w:after="40"/>
        <w:ind w:left="360" w:hanging="240"/>
      </w:pPr>
      <w:r>
        <w:t xml:space="preserve">•  </w:t>
      </w:r>
      <w:r>
        <w:rPr>
          <w:b/>
        </w:rPr>
        <w:t>G-F</w:t>
      </w:r>
      <w:r>
        <w:t xml:space="preserve"> — Guidance F — About information delivery planning. IMI Framework (formerly UK BIM Framework, renamed May 2025); archived; ed.1, September 2020. </w:t>
      </w:r>
      <w:hyperlink r:id="rId42">
        <w:r>
          <w:rPr>
            <w:color w:val="9A7B45"/>
            <w:u w:val="single"/>
          </w:rPr>
          <w:t>Publisher source</w:t>
        </w:r>
      </w:hyperlink>
      <w:r>
        <w:t>.</w:t>
      </w:r>
    </w:p>
    <w:p>
      <w:pPr>
        <w:pStyle w:val="ListParagraph"/>
        <w:spacing w:after="40"/>
        <w:ind w:left="360" w:hanging="240"/>
      </w:pPr>
      <w:r>
        <w:t xml:space="preserve">•  </w:t>
      </w:r>
      <w:r>
        <w:rPr>
          <w:b/>
        </w:rPr>
        <w:t>P01</w:t>
      </w:r>
      <w:r>
        <w:t xml:space="preserve"> — BIM Project Execution Planning Guide — Reader's Guide. Penn State Computer Integrated Construction Research Program; v2.2, 2019. </w:t>
      </w:r>
      <w:hyperlink r:id="rId43">
        <w:r>
          <w:rPr>
            <w:color w:val="9A7B45"/>
            <w:u w:val="single"/>
          </w:rPr>
          <w:t>Publisher source</w:t>
        </w:r>
      </w:hyperlink>
      <w:r>
        <w:t>.</w:t>
      </w:r>
    </w:p>
    <w:p>
      <w:pPr>
        <w:pStyle w:val="ListParagraph"/>
        <w:spacing w:after="40"/>
        <w:ind w:left="360" w:hanging="240"/>
      </w:pPr>
      <w:r>
        <w:t xml:space="preserve">•  </w:t>
      </w:r>
      <w:r>
        <w:rPr>
          <w:b/>
        </w:rPr>
        <w:t>P02</w:t>
      </w:r>
      <w:r>
        <w:t xml:space="preserve"> — Define Supporting Infrastructure for BIM Implementation. Penn State; v2.2, 2019. </w:t>
      </w:r>
      <w:hyperlink r:id="rId44">
        <w:r>
          <w:rPr>
            <w:color w:val="9A7B45"/>
            <w:u w:val="single"/>
          </w:rPr>
          <w:t>Publisher source</w:t>
        </w:r>
      </w:hyperlink>
      <w:r>
        <w:t>.</w:t>
      </w:r>
    </w:p>
    <w:p>
      <w:pPr>
        <w:pStyle w:val="ListParagraph"/>
        <w:spacing w:after="40"/>
        <w:ind w:left="360" w:hanging="240"/>
      </w:pPr>
      <w:r>
        <w:t xml:space="preserve">•  </w:t>
      </w:r>
      <w:r>
        <w:rPr>
          <w:b/>
        </w:rPr>
        <w:t>P04</w:t>
      </w:r>
      <w:r>
        <w:t xml:space="preserve"> — ISO 9001 — Quality management systems: requirements. ISO; 2026, ed.6, published 16 September 2026. </w:t>
      </w:r>
      <w:hyperlink r:id="rId45">
        <w:r>
          <w:rPr>
            <w:color w:val="9A7B45"/>
            <w:u w:val="single"/>
          </w:rPr>
          <w:t>Publisher source</w:t>
        </w:r>
      </w:hyperlink>
      <w:r>
        <w:t>.</w:t>
      </w:r>
    </w:p>
    <w:p>
      <w:pPr>
        <w:pStyle w:val="ListParagraph"/>
        <w:spacing w:after="40"/>
        <w:ind w:left="360" w:hanging="240"/>
      </w:pPr>
      <w:r>
        <w:t xml:space="preserve">•  </w:t>
      </w:r>
      <w:r>
        <w:rPr>
          <w:b/>
        </w:rPr>
        <w:t>P06</w:t>
      </w:r>
      <w:r>
        <w:t xml:space="preserve"> — Security-Minded Approach to Digital Engineering. UK National Protective Security Authority (NPSA); Undated live guidance. </w:t>
      </w:r>
      <w:hyperlink r:id="rId46">
        <w:r>
          <w:rPr>
            <w:color w:val="9A7B45"/>
            <w:u w:val="single"/>
          </w:rPr>
          <w:t>Publisher source</w:t>
        </w:r>
      </w:hyperlink>
      <w:r>
        <w:t>.</w:t>
      </w:r>
    </w:p>
    <w:p>
      <w:pPr>
        <w:pStyle w:val="ListParagraph"/>
        <w:spacing w:after="40"/>
        <w:ind w:left="360" w:hanging="240"/>
      </w:pPr>
      <w:r>
        <w:t xml:space="preserve">•  </w:t>
      </w:r>
      <w:r>
        <w:rPr>
          <w:b/>
        </w:rPr>
        <w:t>A01</w:t>
      </w:r>
      <w:r>
        <w:t xml:space="preserve"> — Project Templates; Create a Model. Autodesk Revit Help; Revit 2026. </w:t>
      </w:r>
      <w:hyperlink r:id="rId47">
        <w:r>
          <w:rPr>
            <w:color w:val="9A7B45"/>
            <w:u w:val="single"/>
          </w:rPr>
          <w:t>Publisher source</w:t>
        </w:r>
      </w:hyperlink>
      <w:r>
        <w:t>.</w:t>
      </w:r>
    </w:p>
    <w:p>
      <w:pPr>
        <w:pStyle w:val="ListParagraph"/>
        <w:spacing w:after="40"/>
        <w:ind w:left="360" w:hanging="240"/>
      </w:pPr>
      <w:r>
        <w:t xml:space="preserve">•  </w:t>
      </w:r>
      <w:r>
        <w:rPr>
          <w:b/>
        </w:rPr>
        <w:t>A02</w:t>
      </w:r>
      <w:r>
        <w:t xml:space="preserve"> — Workflow: Setting up a Workshared Project; Enable Worksharing. Autodesk Revit Help; Revit 2026. </w:t>
      </w:r>
      <w:hyperlink r:id="rId48">
        <w:r>
          <w:rPr>
            <w:color w:val="9A7B45"/>
            <w:u w:val="single"/>
          </w:rPr>
          <w:t>Publisher source</w:t>
        </w:r>
      </w:hyperlink>
      <w:r>
        <w:t>.</w:t>
      </w:r>
    </w:p>
    <w:p>
      <w:pPr>
        <w:pStyle w:val="ListParagraph"/>
        <w:spacing w:after="40"/>
        <w:ind w:left="360" w:hanging="240"/>
      </w:pPr>
      <w:r>
        <w:t xml:space="preserve">•  </w:t>
      </w:r>
      <w:r>
        <w:rPr>
          <w:b/>
        </w:rPr>
        <w:t>A03</w:t>
      </w:r>
      <w:r>
        <w:t xml:space="preserve"> — Workflow: Revit Cloud Worksharing; About Revit Cloud Worksharing. Autodesk Revit Help; Revit 2026. </w:t>
      </w:r>
      <w:hyperlink r:id="rId49">
        <w:r>
          <w:rPr>
            <w:color w:val="9A7B45"/>
            <w:u w:val="single"/>
          </w:rPr>
          <w:t>Publisher source</w:t>
        </w:r>
      </w:hyperlink>
      <w:r>
        <w:t>.</w:t>
      </w:r>
    </w:p>
    <w:p>
      <w:pPr>
        <w:pStyle w:val="ListParagraph"/>
        <w:spacing w:after="40"/>
        <w:ind w:left="360" w:hanging="240"/>
      </w:pPr>
      <w:r>
        <w:t xml:space="preserve">•  </w:t>
      </w:r>
      <w:r>
        <w:rPr>
          <w:b/>
        </w:rPr>
        <w:t>A06</w:t>
      </w:r>
      <w:r>
        <w:t xml:space="preserve"> — Create Shared Project Parameters. Autodesk Revit Help; Revit 2026. </w:t>
      </w:r>
      <w:hyperlink r:id="rId50">
        <w:r>
          <w:rPr>
            <w:color w:val="9A7B45"/>
            <w:u w:val="single"/>
          </w:rPr>
          <w:t>Publisher source</w:t>
        </w:r>
      </w:hyperlink>
      <w:r>
        <w:t>.</w:t>
      </w:r>
    </w:p>
    <w:p>
      <w:pPr>
        <w:pStyle w:val="ListParagraph"/>
        <w:spacing w:after="40"/>
        <w:ind w:left="360" w:hanging="240"/>
      </w:pPr>
      <w:r>
        <w:t xml:space="preserve">•  </w:t>
      </w:r>
      <w:r>
        <w:rPr>
          <w:b/>
        </w:rPr>
        <w:t>A10</w:t>
      </w:r>
      <w:r>
        <w:t xml:space="preserve"> — How to set up Shared Coordinates using one Revit model as the Site or Base file. Autodesk Support; 15 August 2026. </w:t>
      </w:r>
      <w:hyperlink r:id="rId51">
        <w:r>
          <w:rPr>
            <w:color w:val="9A7B45"/>
            <w:u w:val="single"/>
          </w:rPr>
          <w:t>Publisher source</w:t>
        </w:r>
      </w:hyperlink>
      <w:r>
        <w:t>.</w:t>
      </w:r>
    </w:p>
    <w:p>
      <w:pPr>
        <w:pStyle w:val="ListParagraph"/>
        <w:spacing w:after="40"/>
        <w:ind w:left="360" w:hanging="240"/>
      </w:pPr>
      <w:r>
        <w:t xml:space="preserve">•  </w:t>
      </w:r>
      <w:r>
        <w:rPr>
          <w:b/>
        </w:rPr>
        <w:t>A11</w:t>
      </w:r>
      <w:r>
        <w:t xml:space="preserve"> — About Graph Security and Trusted Folders. Autodesk Dynamo Player Help; Revit 2026. </w:t>
      </w:r>
      <w:hyperlink r:id="rId52">
        <w:r>
          <w:rPr>
            <w:color w:val="9A7B45"/>
            <w:u w:val="single"/>
          </w:rPr>
          <w:t>Publisher source</w:t>
        </w:r>
      </w:hyperlink>
      <w:r>
        <w:t>.</w:t>
      </w:r>
    </w:p>
    <w:p>
      <w:pPr>
        <w:pStyle w:val="ListParagraph"/>
        <w:spacing w:after="40"/>
        <w:ind w:left="360" w:hanging="240"/>
      </w:pPr>
      <w:r>
        <w:t xml:space="preserve">•  </w:t>
      </w:r>
      <w:r>
        <w:rPr>
          <w:b/>
        </w:rPr>
        <w:t>A12</w:t>
      </w:r>
      <w:r>
        <w:t xml:space="preserve"> — Add-in Registration. Autodesk Revit API Developer's Guide; Revit 2026. </w:t>
      </w:r>
      <w:hyperlink r:id="rId53">
        <w:r>
          <w:rPr>
            <w:color w:val="9A7B45"/>
            <w:u w:val="single"/>
          </w:rPr>
          <w:t>Publisher source</w:t>
        </w:r>
      </w:hyperlink>
      <w:r>
        <w:t>.</w:t>
      </w:r>
    </w:p>
    <w:p>
      <w:pPr>
        <w:pStyle w:val="Heading2"/>
      </w:pPr>
      <w:r>
        <w:t>Sources checked 2026-11-04 (audit res-026)</w:t>
      </w:r>
    </w:p>
    <w:p>
      <w:pPr>
        <w:pStyle w:val="ListParagraph"/>
        <w:spacing w:after="40"/>
        <w:ind w:left="360" w:hanging="240"/>
      </w:pPr>
      <w:r>
        <w:t xml:space="preserve">•  </w:t>
      </w:r>
      <w:r>
        <w:rPr>
          <w:b/>
        </w:rPr>
        <w:t>DM-9-1-2</w:t>
      </w:r>
      <w:r>
        <w:t xml:space="preserve"> — Dubai Municipality circular 9-1-2, 13 Oct 2023. </w:t>
      </w:r>
      <w:hyperlink r:id="rId54">
        <w:r>
          <w:rPr>
            <w:color w:val="9A7B45"/>
            <w:u w:val="single"/>
          </w:rPr>
          <w:t>PDF</w:t>
        </w:r>
      </w:hyperlink>
      <w:r>
        <w:t>.</w:t>
      </w:r>
    </w:p>
    <w:p>
      <w:pPr>
        <w:pStyle w:val="ListParagraph"/>
        <w:spacing w:after="40"/>
        <w:ind w:left="360" w:hanging="240"/>
      </w:pPr>
      <w:r>
        <w:t xml:space="preserve">•  </w:t>
      </w:r>
      <w:r>
        <w:rPr>
          <w:b/>
        </w:rPr>
        <w:t>DM-9-1-3</w:t>
      </w:r>
      <w:r>
        <w:t xml:space="preserve"> — Dubai Municipality circular 9-1-3, 15 Jan 2026, effective 1 Apr 2026. </w:t>
      </w:r>
      <w:hyperlink r:id="rId55">
        <w:r>
          <w:rPr>
            <w:color w:val="9A7B45"/>
            <w:u w:val="single"/>
          </w:rPr>
          <w:t>PDF</w:t>
        </w:r>
      </w:hyperlink>
      <w:r>
        <w:t>.</w:t>
      </w:r>
    </w:p>
    <w:p>
      <w:pPr>
        <w:pStyle w:val="ListParagraph"/>
        <w:spacing w:after="40"/>
        <w:ind w:left="360" w:hanging="240"/>
      </w:pPr>
      <w:r>
        <w:t xml:space="preserve">•  </w:t>
      </w:r>
      <w:r>
        <w:rPr>
          <w:b/>
        </w:rPr>
        <w:t>DBC</w:t>
      </w:r>
      <w:r>
        <w:t xml:space="preserve"> — Dubai Building Code (Decree 45/2021). </w:t>
      </w:r>
      <w:hyperlink r:id="rId56">
        <w:r>
          <w:rPr>
            <w:color w:val="9A7B45"/>
            <w:u w:val="single"/>
          </w:rPr>
          <w:t>DM laws and orders</w:t>
        </w:r>
      </w:hyperlink>
      <w:r>
        <w:t xml:space="preserve">; Administrative Resolution No. 225 of 2024, 13 Aug 2024. </w:t>
      </w:r>
      <w:hyperlink r:id="rId57">
        <w:r>
          <w:rPr>
            <w:color w:val="9A7B45"/>
            <w:u w:val="single"/>
          </w:rPr>
          <w:t>DM</w:t>
        </w:r>
      </w:hyperlink>
      <w:r>
        <w:t>.</w:t>
      </w:r>
    </w:p>
    <w:p>
      <w:pPr>
        <w:pStyle w:val="ListParagraph"/>
        <w:spacing w:after="40"/>
        <w:ind w:left="360" w:hanging="240"/>
      </w:pPr>
      <w:r>
        <w:t xml:space="preserve">•  </w:t>
      </w:r>
      <w:r>
        <w:rPr>
          <w:b/>
        </w:rPr>
        <w:t>DUBAI-LAW-3-2026</w:t>
      </w:r>
      <w:r>
        <w:t xml:space="preserve"> — Law No. 3 of 2026 Concerning the Quality and Safety of Buildings, 27 Feb 2026. </w:t>
      </w:r>
      <w:hyperlink r:id="rId58">
        <w:r>
          <w:rPr>
            <w:color w:val="9A7B45"/>
            <w:u w:val="single"/>
          </w:rPr>
          <w:t>Dubai Legislation Portal</w:t>
        </w:r>
      </w:hyperlink>
      <w:r>
        <w:t>.</w:t>
      </w:r>
    </w:p>
    <w:p>
      <w:pPr>
        <w:pStyle w:val="ListParagraph"/>
        <w:spacing w:after="40"/>
        <w:ind w:left="360" w:hanging="240"/>
      </w:pPr>
      <w:r>
        <w:t xml:space="preserve">•  </w:t>
      </w:r>
      <w:r>
        <w:rPr>
          <w:b/>
        </w:rPr>
        <w:t>DM-11-9-1</w:t>
      </w:r>
      <w:r>
        <w:t xml:space="preserve"> — DM circular (11-9-1) of 2026 applying Law No. 3 of 2026, 1 Oct 2026, and guidance manual 11-9-1-1. </w:t>
      </w:r>
      <w:hyperlink r:id="rId59">
        <w:r>
          <w:rPr>
            <w:color w:val="9A7B45"/>
            <w:u w:val="single"/>
          </w:rPr>
          <w:t>Circular</w:t>
        </w:r>
      </w:hyperlink>
      <w:r>
        <w:t xml:space="preserve">; </w:t>
      </w:r>
      <w:hyperlink r:id="rId60">
        <w:r>
          <w:rPr>
            <w:color w:val="9A7B45"/>
            <w:u w:val="single"/>
          </w:rPr>
          <w:t>manual</w:t>
        </w:r>
      </w:hyperlink>
      <w:r>
        <w:t>. Checked 2026-11-05.</w:t>
      </w:r>
    </w:p>
    <w:p>
      <w:pPr>
        <w:pStyle w:val="ListParagraph"/>
        <w:spacing w:after="40"/>
        <w:ind w:left="360" w:hanging="240"/>
      </w:pPr>
      <w:r>
        <w:t xml:space="preserve">•  </w:t>
      </w:r>
      <w:r>
        <w:rPr>
          <w:b/>
        </w:rPr>
        <w:t>UAE-FLS</w:t>
      </w:r>
      <w:r>
        <w:t xml:space="preserve"> — UAE Fire and Life Safety Code of Practice, September 2018. </w:t>
      </w:r>
      <w:hyperlink r:id="rId61">
        <w:r>
          <w:rPr>
            <w:color w:val="9A7B45"/>
            <w:u w:val="single"/>
          </w:rPr>
          <w:t>DCD</w:t>
        </w:r>
      </w:hyperlink>
      <w:r>
        <w:t>.</w:t>
      </w:r>
    </w:p>
    <w:p>
      <w:pPr>
        <w:pStyle w:val="ListParagraph"/>
        <w:spacing w:after="40"/>
        <w:ind w:left="360" w:hanging="240"/>
      </w:pPr>
      <w:r>
        <w:t xml:space="preserve">•  </w:t>
      </w:r>
      <w:r>
        <w:rPr>
          <w:b/>
        </w:rPr>
        <w:t>ADIBC</w:t>
      </w:r>
      <w:r>
        <w:t xml:space="preserve"> — Abu Dhabi International Building Codes 2013. </w:t>
      </w:r>
      <w:hyperlink r:id="rId62">
        <w:r>
          <w:rPr>
            <w:color w:val="9A7B45"/>
            <w:u w:val="single"/>
          </w:rPr>
          <w:t>DMT ADIMC-2013</w:t>
        </w:r>
      </w:hyperlink>
      <w:r>
        <w:t>.</w:t>
      </w:r>
    </w:p>
    <w:p>
      <w:pPr>
        <w:pStyle w:val="ListParagraph"/>
        <w:spacing w:after="40"/>
        <w:ind w:left="360" w:hanging="240"/>
      </w:pPr>
      <w:r>
        <w:t xml:space="preserve">•  </w:t>
      </w:r>
      <w:r>
        <w:rPr>
          <w:b/>
        </w:rPr>
        <w:t>ADM-BIM</w:t>
      </w:r>
      <w:r>
        <w:t xml:space="preserve"> — ADM BIM Code of Practice, Oct 2020. </w:t>
      </w:r>
      <w:hyperlink r:id="rId63">
        <w:r>
          <w:rPr>
            <w:color w:val="9A7B45"/>
            <w:u w:val="single"/>
          </w:rPr>
          <w:t>DMT</w:t>
        </w:r>
      </w:hyperlink>
      <w:r>
        <w:t>.</w:t>
      </w:r>
    </w:p>
    <w:p>
      <w:pPr>
        <w:pStyle w:val="ListParagraph"/>
        <w:spacing w:after="40"/>
        <w:ind w:left="360" w:hanging="240"/>
      </w:pPr>
      <w:r>
        <w:t xml:space="preserve">•  </w:t>
      </w:r>
      <w:r>
        <w:rPr>
          <w:b/>
        </w:rPr>
        <w:t>ESTIDAMA</w:t>
      </w:r>
      <w:r>
        <w:t xml:space="preserve"> — Pearl Rating minimums, DMT news 8 Jan 2025. </w:t>
      </w:r>
      <w:hyperlink r:id="rId64">
        <w:r>
          <w:rPr>
            <w:color w:val="9A7B45"/>
            <w:u w:val="single"/>
          </w:rPr>
          <w:t>DMT</w:t>
        </w:r>
      </w:hyperlink>
      <w:r>
        <w:t>.</w:t>
      </w:r>
    </w:p>
    <w:p>
      <w:pPr>
        <w:pStyle w:val="ListParagraph"/>
        <w:spacing w:after="40"/>
        <w:ind w:left="360" w:hanging="240"/>
      </w:pPr>
      <w:r>
        <w:t xml:space="preserve">•  </w:t>
      </w:r>
      <w:r>
        <w:rPr>
          <w:b/>
        </w:rPr>
        <w:t>ALSAFAT</w:t>
      </w:r>
      <w:r>
        <w:t xml:space="preserve"> — Al Sa'fat Dubai Green Building System, 2nd ed., Jan 2023. </w:t>
      </w:r>
      <w:hyperlink r:id="rId65">
        <w:r>
          <w:rPr>
            <w:color w:val="9A7B45"/>
            <w:u w:val="single"/>
          </w:rPr>
          <w:t>DM</w:t>
        </w:r>
      </w:hyperlink>
      <w:r>
        <w:t>.</w:t>
      </w:r>
    </w:p>
    <w:p>
      <w:pPr>
        <w:pStyle w:val="ListParagraph"/>
        <w:spacing w:after="40"/>
        <w:ind w:left="360" w:hanging="240"/>
      </w:pPr>
      <w:r>
        <w:t xml:space="preserve">•  </w:t>
      </w:r>
      <w:r>
        <w:rPr>
          <w:b/>
        </w:rPr>
        <w:t>DUBAI-CRS</w:t>
      </w:r>
      <w:r>
        <w:t xml:space="preserve"> — EPSG:3997 WGS 84 / Dubai Local TM. </w:t>
      </w:r>
      <w:hyperlink r:id="rId66">
        <w:r>
          <w:rPr>
            <w:color w:val="9A7B45"/>
            <w:u w:val="single"/>
          </w:rPr>
          <w:t>epsg.io</w:t>
        </w:r>
      </w:hyperlink>
      <w:r>
        <w:t xml:space="preserve">; DMD vertical datum </w:t>
      </w:r>
      <w:hyperlink r:id="rId67">
        <w:r>
          <w:rPr>
            <w:color w:val="9A7B45"/>
            <w:u w:val="single"/>
          </w:rPr>
          <w:t>FIG 2011</w:t>
        </w:r>
      </w:hyperlink>
      <w:r>
        <w:t xml:space="preserve">; Ras Ghumays datum </w:t>
      </w:r>
      <w:hyperlink r:id="rId68">
        <w:r>
          <w:rPr>
            <w:color w:val="9A7B45"/>
            <w:u w:val="single"/>
          </w:rPr>
          <w:t>EPSG 1146</w:t>
        </w:r>
      </w:hyperlink>
      <w:r>
        <w:t>.</w:t>
      </w:r>
    </w:p>
    <w:p>
      <w:pPr>
        <w:pStyle w:val="ListParagraph"/>
        <w:spacing w:after="40"/>
        <w:ind w:left="360" w:hanging="240"/>
      </w:pPr>
      <w:r>
        <w:t xml:space="preserve">•  </w:t>
      </w:r>
      <w:r>
        <w:rPr>
          <w:b/>
        </w:rPr>
        <w:t>PDPL</w:t>
      </w:r>
      <w:r>
        <w:t xml:space="preserve"> — Federal Decree-Law No. 45 of 2021 on the Protection of Personal Data. </w:t>
      </w:r>
      <w:hyperlink r:id="rId69">
        <w:r>
          <w:rPr>
            <w:color w:val="9A7B45"/>
            <w:u w:val="single"/>
          </w:rPr>
          <w:t>UAE Legislation</w:t>
        </w:r>
      </w:hyperlink>
      <w:r>
        <w:t>.</w:t>
      </w:r>
    </w:p>
    <w:p>
      <w:pPr>
        <w:pStyle w:val="ListParagraph"/>
        <w:spacing w:after="40"/>
        <w:ind w:left="360" w:hanging="240"/>
      </w:pPr>
      <w:r>
        <w:t xml:space="preserve">•  </w:t>
      </w:r>
      <w:r>
        <w:rPr>
          <w:b/>
        </w:rPr>
        <w:t>CTL-2025</w:t>
      </w:r>
      <w:r>
        <w:t xml:space="preserve"> — Federal Decree-Law No. 25 of 2025 Promulgating the Civil Transactions Law (Art. 821–824), effective 1 Jun 2026. </w:t>
      </w:r>
      <w:hyperlink r:id="rId70">
        <w:r>
          <w:rPr>
            <w:color w:val="9A7B45"/>
            <w:u w:val="single"/>
          </w:rPr>
          <w:t>UAE Legislation</w:t>
        </w:r>
      </w:hyperlink>
      <w:r>
        <w:t>.</w:t>
      </w:r>
    </w:p>
    <w:p>
      <w:pPr>
        <w:pStyle w:val="ListParagraph"/>
        <w:spacing w:after="40"/>
        <w:ind w:left="360" w:hanging="240"/>
      </w:pPr>
      <w:r>
        <w:t xml:space="preserve">•  </w:t>
      </w:r>
      <w:r>
        <w:rPr>
          <w:b/>
        </w:rPr>
        <w:t>REVIT-SUPPORT</w:t>
      </w:r>
      <w:r>
        <w:t xml:space="preserve"> — Autodesk previous versions and support lifecycle. </w:t>
      </w:r>
      <w:hyperlink r:id="rId71">
        <w:r>
          <w:rPr>
            <w:color w:val="9A7B45"/>
            <w:u w:val="single"/>
          </w:rPr>
          <w:t>Previous versions</w:t>
        </w:r>
      </w:hyperlink>
      <w:r>
        <w:t xml:space="preserve">; </w:t>
      </w:r>
      <w:hyperlink r:id="rId72">
        <w:r>
          <w:rPr>
            <w:color w:val="9A7B45"/>
            <w:u w:val="single"/>
          </w:rPr>
          <w:t>Lifecycle</w:t>
        </w:r>
      </w:hyperlink>
      <w:r>
        <w:t xml:space="preserve">; </w:t>
      </w:r>
      <w:hyperlink r:id="rId73">
        <w:r>
          <w:rPr>
            <w:color w:val="9A7B45"/>
            <w:u w:val="single"/>
          </w:rPr>
          <w:t>Revit 2027 updates</w:t>
        </w:r>
      </w:hyperlink>
      <w:r>
        <w:t xml:space="preserve">; </w:t>
      </w:r>
      <w:hyperlink r:id="rId74">
        <w:r>
          <w:rPr>
            <w:color w:val="9A7B45"/>
            <w:u w:val="single"/>
          </w:rPr>
          <w:t>IFC exporter releases</w:t>
        </w:r>
      </w:hyperlink>
      <w:r>
        <w:t>.</w:t>
      </w:r>
    </w:p>
    <w:p>
      <w:pPr>
        <w:pStyle w:val="ListParagraph"/>
        <w:spacing w:after="40"/>
        <w:ind w:left="360" w:hanging="240"/>
      </w:pPr>
      <w:r>
        <w:t xml:space="preserve">•  </w:t>
      </w:r>
      <w:r>
        <w:rPr>
          <w:b/>
        </w:rPr>
        <w:t>IFC-VALIDATION</w:t>
      </w:r>
      <w:r>
        <w:t xml:space="preserve"> — buildingSMART IFC Validation Service. </w:t>
      </w:r>
      <w:hyperlink r:id="rId75">
        <w:r>
          <w:rPr>
            <w:color w:val="9A7B45"/>
            <w:u w:val="single"/>
          </w:rPr>
          <w:t>buildingSMART</w:t>
        </w:r>
      </w:hyperlink>
      <w:r>
        <w:t>.</w:t>
      </w:r>
    </w:p>
    <w:p>
      <w:pPr>
        <w:pStyle w:val="ListParagraph"/>
        <w:spacing w:after="40"/>
        <w:ind w:left="360" w:hanging="240"/>
      </w:pPr>
      <w:r>
        <w:t xml:space="preserve">•  </w:t>
      </w:r>
      <w:r>
        <w:rPr>
          <w:b/>
        </w:rPr>
        <w:t>ISO27001</w:t>
      </w:r>
      <w:r>
        <w:t xml:space="preserve"> — ISO/IEC 27001:2022 + Amd 1:2024. </w:t>
      </w:r>
      <w:hyperlink r:id="rId76">
        <w:r>
          <w:rPr>
            <w:color w:val="9A7B45"/>
            <w:u w:val="single"/>
          </w:rPr>
          <w:t>ISO</w:t>
        </w:r>
      </w:hyperlink>
      <w:r>
        <w:t>.</w:t>
      </w:r>
    </w:p>
    <w:p>
      <w:pPr>
        <w:pStyle w:val="ListParagraph"/>
        <w:spacing w:after="40"/>
        <w:ind w:left="360" w:hanging="240"/>
      </w:pPr>
      <w:r>
        <w:t xml:space="preserve">•  </w:t>
      </w:r>
      <w:r>
        <w:rPr>
          <w:b/>
        </w:rPr>
        <w:t>ISO13567 / ISO128 / ISO7200</w:t>
      </w:r>
      <w:r>
        <w:t xml:space="preserve"> — ISO 13567-1/-2:2017 (</w:t>
      </w:r>
      <w:hyperlink r:id="rId77">
        <w:r>
          <w:rPr>
            <w:color w:val="9A7B45"/>
            <w:u w:val="single"/>
          </w:rPr>
          <w:t>ISO</w:t>
        </w:r>
      </w:hyperlink>
      <w:r>
        <w:t>); ISO 128-1:2020; ISO 7200:2004 (</w:t>
      </w:r>
      <w:hyperlink r:id="rId78">
        <w:r>
          <w:rPr>
            <w:color w:val="9A7B45"/>
            <w:u w:val="single"/>
          </w:rPr>
          <w:t>ISO</w:t>
        </w:r>
      </w:hyperlink>
      <w:r>
        <w:t>).</w:t>
      </w:r>
    </w:p>
    <w:p>
      <w:pPr>
        <w:pStyle w:val="ListParagraph"/>
        <w:spacing w:after="40"/>
        <w:ind w:left="360" w:hanging="240"/>
      </w:pPr>
      <w:r>
        <w:t xml:space="preserve">•  </w:t>
      </w:r>
      <w:r>
        <w:rPr>
          <w:b/>
        </w:rPr>
        <w:t>ISO9001</w:t>
      </w:r>
      <w:r>
        <w:t xml:space="preserve"> — ISO 9001:2026 ed.6, 16 Sep 2026. </w:t>
      </w:r>
      <w:hyperlink r:id="rId79">
        <w:r>
          <w:rPr>
            <w:color w:val="9A7B45"/>
            <w:u w:val="single"/>
          </w:rPr>
          <w:t>ISO</w:t>
        </w:r>
      </w:hyperlink>
      <w:r>
        <w:t>.</w:t>
      </w:r>
    </w:p>
    <w:p>
      <w:pPr>
        <w:pStyle w:val="ListParagraph"/>
        <w:spacing w:after="40"/>
        <w:ind w:left="360" w:hanging="240"/>
      </w:pPr>
      <w:r>
        <w:t xml:space="preserve">•  </w:t>
      </w:r>
      <w:r>
        <w:rPr>
          <w:b/>
        </w:rPr>
        <w:t>E57</w:t>
      </w:r>
      <w:r>
        <w:t xml:space="preserve"> — E57 3D imaging data exchange format; version and registration report recorded per delivery (BBM-STD-77).</w:t>
      </w:r>
    </w:p>
    <w:p>
      <w:pPr>
        <w:pStyle w:val="Heading1"/>
      </w:pPr>
      <w:r>
        <w:t>Annex W2 S1 Core procedures ownership and distinct records</w:t>
      </w:r>
    </w:p>
    <w:p>
      <w:pPr/>
      <w:r>
        <w:t xml:space="preserve">This annex implements the usable security and HSI records (traced in the BBM-STD-11 change trace) and retains Manual 9.4 as the single security/safety procedure owner; the ISO 19650-5 security triage and management plan are owned by BBM-STD-87 and ISO 19650-6 H&amp;S information by BBM-STD-88. Original V0.2 is unchanged, SHA-256 0ed7c2659219b38baaa0a3fed211b7a58caf58368fead5a6ddd7fdf0dc27106f; the Preservation sheet distinguishes original file bytes from equal normalized before/reconstructed Unicode text after removing the documented front changes. In V0.3 only front control metadata/history and appended annexes changed. Use </w:t>
      </w:r>
      <w:r>
        <w:rPr>
          <w:color w:val="9A7B45"/>
          <w:u w:val="single"/>
        </w:rPr>
        <w:t>roles 55</w:t>
      </w:r>
      <w:r>
        <w:t xml:space="preserve">, </w:t>
      </w:r>
      <w:r>
        <w:rPr>
          <w:color w:val="9A7B45"/>
          <w:u w:val="single"/>
        </w:rPr>
        <w:t>requirements 54</w:t>
      </w:r>
      <w:r>
        <w:t xml:space="preserve">, </w:t>
      </w:r>
      <w:r>
        <w:rPr>
          <w:color w:val="9A7B45"/>
          <w:u w:val="single"/>
        </w:rPr>
        <w:t>protocol interface 56</w:t>
      </w:r>
      <w:r>
        <w:t xml:space="preserve">, </w:t>
      </w:r>
      <w:r>
        <w:rPr>
          <w:color w:val="9A7B45"/>
          <w:u w:val="single"/>
        </w:rPr>
        <w:t>register 51</w:t>
      </w:r>
      <w:r>
        <w:t xml:space="preserve">, </w:t>
      </w:r>
      <w:r>
        <w:rPr>
          <w:color w:val="9A7B45"/>
          <w:u w:val="single"/>
        </w:rPr>
        <w:t>BEP V0.5</w:t>
      </w:r>
      <w:r>
        <w:t xml:space="preserve"> and </w:t>
      </w:r>
      <w:r>
        <w:rPr>
          <w:color w:val="9A7B45"/>
          <w:u w:val="single"/>
        </w:rPr>
        <w:t>AIR 52</w:t>
      </w:r>
      <w:r>
        <w:t>.</w:t>
      </w:r>
    </w:p>
    <w:p>
      <w:pPr/>
      <w:r>
        <w:t xml:space="preserve">The </w:t>
      </w:r>
      <w:r>
        <w:rPr>
          <w:color w:val="9A7B45"/>
          <w:u w:val="single"/>
        </w:rPr>
        <w:t>Security forms</w:t>
      </w:r>
      <w:r>
        <w:t xml:space="preserve"> and </w:t>
      </w:r>
      <w:r>
        <w:rPr>
          <w:color w:val="9A7B45"/>
          <w:u w:val="single"/>
        </w:rPr>
        <w:t>HSI forms</w:t>
      </w:r>
      <w:r>
        <w:t xml:space="preserve"> have distinct dataset access policies and custodians. They contain synthetic templates only; no production ACL is configured. Do not combine actual restricted security assessments with broadly needed safety instructions in one file. Spreadsheet hiding/protection, passwords written in a cell, worksets and CDE folder names are not verified access control. Publish approved audience-specific derivatives with independent IDs/revisions/hashes and actual allowed/denied route tests. Safety information must reach its authorised duty-holders; sensitivity is not a reason to omit essential safety controls or to disclose the full security assessment unnecessarily.</w:t>
      </w:r>
    </w:p>
    <w:p>
      <w:pPr/>
      <w:r>
        <w:t>Security Lead with IT/data owners assesses sensitivity, routes, suppliers, incidents and records custody; the competent Design Safety Lead and discipline designers assess hazards/controls and residual information; the appointed operational safety owner receives maintained information. Actual named holders/delegation/competence remain in the restricted Directory and must be established before access/release. Producer, independent competent reviewer, submission authoriser and accepting recipient have separate records. This annex gives no legal advice, risk waiver or transfer of designer/duty-holder obligations.</w:t>
      </w:r>
    </w:p>
    <w:p>
      <w:pPr>
        <w:pStyle w:val="Heading1"/>
      </w:pPr>
      <w:r>
        <w:t>Annex W2 S2 Restricted sensitivity access and supplier records</w:t>
      </w:r>
    </w:p>
    <w:p>
      <w:pPr/>
      <w:r>
        <w:t>Sensitivity assessment identifies dataset/object/location scope, source revision/hash, aggregation/linkage exposure, confidentiality/integrity/availability consequences, affected parties, contract/legal source references, current protection and residual uncertainty. Security Lead records triage outcome, proportionate controls, approved sharing/use, reviewer/decision/date and next review/trigger. Assessment details themselves are restricted. Record a justified low-sensitivity outcome rather than assume every model is secret or every public-looking fragment harmless. Reassess at new recipient, changed dataset/aggregation, source/tool/host change, incident and lifecycle transition.</w:t>
      </w:r>
    </w:p>
    <w:p>
      <w:pPr/>
      <w:r>
        <w:t>Synthetic SEC-SYN-01 R01 concerns a fictional plant-control layout and aggregation with route/asset information. Consequence is misuse of detailed operational access information; the assessment remains restricted to SYN-SEC01 and authorised IT/data reviewers. No real building, control address, key or exploitable detail is supplied. SEC-SYN-02 R01 is a proposed reduced safety/maintenance derivative with only task-relevant hazard/control information, an exact lineage/redaction review and approved operator recipients. The derivative is not approved merely by deleting columns.</w:t>
      </w:r>
    </w:p>
    <w:p>
      <w:pPr/>
      <w:r>
        <w:t>Recipient access records dataset/revision, recipient role/organisation, purpose, least-privilege read/write/upload/download/share permissions, approved route/configuration, delegation/expiry and allowed/denied test IDs. Joiner/mover/leaver or emergency suspension actions link the Directory and revoke downstream/downloaded copies as appropriate; actual revocation and audit retention require tests. Synthetic policy permits Security Lead restricted assessment access, denies the operational recipient SEC-SYN-01 and permits only the approved reduced HSI route after review. No actual access grant is made by these rows.</w:t>
      </w:r>
    </w:p>
    <w:p>
      <w:pPr/>
      <w:r>
        <w:t>Supplier obligations are a review schedule, not operative contract clauses: approved dataset/purpose/people/subprocessors, allowed storage/tool/AI route, downstream distribution, training/access controls, incident reporting route, return/offboarding/retention and verification owner. Record the actual agreed instrument/revision and responsible contract/security decision before release. Unapproved AI/public upload, link forwarding, uncontrolled local caching or an unknown recipient holds access. Do not insert credentials or personal contact data in the workbook.</w:t>
      </w:r>
    </w:p>
    <w:p>
      <w:pPr>
        <w:pStyle w:val="Heading1"/>
      </w:pPr>
      <w:r>
        <w:t>Annex W2 S3 Incident evidence recovery notification and disposition</w:t>
      </w:r>
    </w:p>
    <w:p>
      <w:pPr/>
      <w:r>
        <w:t>Use a protected incident record with IncidentID, discovery/report timestamps including UTC offset, reporter and accountable roles, affected dataset/source/output revisions/hashes/recipients, observed event and uncertainty, initial risk/consequence, containment authority/scope, evidence chain, recovery baseline/retest, notifications and closure. Users report through the approved route; IT/Security authorises proportionate containment while preserving evidence. Do not delete original logs, alter evidence or broadcast sensitive screenshots. Record custodian, collection method/time, immutable copy hash/protected URI, transfers/recipient/time and analysis copies separately. No actual evidence hash is fabricated for the synthetic exercise.</w:t>
      </w:r>
    </w:p>
    <w:p>
      <w:pPr/>
      <w:r>
        <w:t>INC-SYN-01 is a fictional exercise: a proposed supplier link for SEC-SYN-01 is sent to an unauthorised role; expected denial prevents access, while any actual unexpected disclosure would trigger incident escalation and a held distribution route. The table gives a simulated discovery time 2026-10-16T12:00+04:00, not an event reported by this task. Actual platform logs, evidence, access revocation and receiver receipts are Not executed. The exercise covers an accidental disclosure attempt without supplying sensitive real data.</w:t>
      </w:r>
    </w:p>
    <w:p>
      <w:pPr/>
      <w:r>
        <w:t>Legal/security notification authority decides applicability, recipient, content, timing and approval using actual requirements (including the UAE PDPL, Federal Decree-Law No. 45 of 2021, where personal data is involved; BBM-STD-90); this pack invents no statutory reporting deadline. Notification records hold source obligation, decision owner/date, approval and transmission/receipt evidence, including a reasoned decision not to notify where authorised. Recovery uses a preserved known baseline in isolation; verify identities/values/permissions and denied routes before restored service/distribution is authorised. Retain the incident's original failed evidence and corrective/retest trail.</w:t>
      </w:r>
    </w:p>
    <w:p>
      <w:pPr/>
      <w:r>
        <w:t>Retention/disposal records dataset/revision/storage copies/backups, purpose, approved schedule/source/trigger/duration, legal-hold authority/status, disposal authoriser, method, copies/recipient retrieval, backup treatment and deletion/disposition evidence. Durations remain pending actual approved schedules; no universal period or instruction to destroy is supplied. A legal hold or unresolved authority blocks disposal. Remove obsolete access separately from deciding record destruction; backup expiry does not prove downloaded copies were removed. Actual restoration, notifications, access changes and disposal are outside this editorial task.</w:t>
      </w:r>
    </w:p>
    <w:p>
      <w:pPr>
        <w:pStyle w:val="Heading1"/>
      </w:pPr>
      <w:r>
        <w:t>Annex W2 S4 Structured safety hazards and residual controls</w:t>
      </w:r>
    </w:p>
    <w:p>
      <w:pPr/>
      <w:r>
        <w:t>Keep HSI records separately controlled for the safety-information audience. Each HazardID links description, cause/event/consequence, lifecycle activity/exposed group, location/zone and stable object ID, source model/document revision/hash, origin/date/uncertainty and significant assumptions. Record prevention/control choice and evidence, responsible competent designer, independent competent reviewer/delegation, specialist risk method/criteria, residual risk/action/owner/due date and change triggers. An information-delivery likelihood score from BEP 10.4 cannot replace specialist design/safety assessment or determine that a hazard is safe.</w:t>
      </w:r>
    </w:p>
    <w:p>
      <w:pPr/>
      <w:r>
        <w:t>HSI-SYN-01 R01 concerns maintenance withdrawal at AHU-001 / LOC-L01, source EIR-011-D design note R01 and fictional requirement SYN-REQ-A01. The source fixture gives 600 mm withdrawal need, 605 mm clear with ±10 mm uncertainty and conservative lower bound 595 mm: inadequate against that synthetic requirement. Proposed revised fixture 650 ± 10 mm yields lower bound 640 mm, but does not establish actual safe access. Competent designer must verify task method, other hazards and installed constraints; independent review and operational understanding remain pending. Record proposed change CH-SYN-HSI01 and source R02 separately; never rewrite the R01 hazard as if it had always passed.</w:t>
      </w:r>
    </w:p>
    <w:p>
      <w:pPr/>
      <w:r>
        <w:t>HSI-SYN-02 records the unverified utility UT-SYN-01 crossing near PIPE-SYN-01 from BBM-STD-63: source record-only, depth/accuracy unknown. Control requires the competent utility/civil/safety owners' verification and approved work method before the affected operation. No invented depth or safe excavation clearance closes it. Record field/survey updates and source confidence before changing status. Model clash checks cannot transfer safety responsibilities or prove compliance with all applicable codes.</w:t>
      </w:r>
    </w:p>
    <w:p>
      <w:pPr/>
      <w:r>
        <w:t>Each control/residual decision has scope, competent authority, date/evidence and any unresolved action. Mandatory unresolved safety information holds affected exchange/work. A reviewer may require more information or restrict use; an Information Manager cannot waive design/duty-holder obligations. Records support the responsible professionals, not a substitute certification or approval.</w:t>
      </w:r>
    </w:p>
    <w:p>
      <w:pPr>
        <w:pStyle w:val="Heading1"/>
      </w:pPr>
      <w:r>
        <w:t>Annex W2 S5 Delivery operational acknowledgment and updates</w:t>
      </w:r>
    </w:p>
    <w:p>
      <w:pPr/>
      <w:r>
        <w:t>At design/coordination, construction, handover, operation, replacement and decommissioning, identify actual HSI requirements/recipients, authorised dataset/derivative version/hash, permitted purpose and access route, technical review/authorisation, exchange/transmittal and receiving evidence. Check stable asset/location/source links and retained uncertainty/control wording in both native/open/data/document representations. Source updates propagate by one ChangeID to hazard/control registers, models, instructions, AIR/AIM, relevant BEP/TIDP/MIDP and recipient notices.</w:t>
      </w:r>
    </w:p>
    <w:p>
      <w:pPr/>
      <w:r>
        <w:t>Receiving acknowledgment records recipient identity/delegation, exact received version/hash/date, permitted task/use, understanding of constraints/control and remaining actions, acceptance/rejection reason, operational update owner and next review trigger. A delivered link or automatic read receipt is not understanding or acceptance. If access is denied or the wrong version arrives, keep the affected operation held and resolve an approved safe route; never make the restricted security assessment public to bypass the problem.</w:t>
      </w:r>
    </w:p>
    <w:p>
      <w:pPr/>
      <w:r>
        <w:t>The synthetic HSI-SYN-01 delivery to SYN-OPS01 is Hold: the work method, competent review, actual source and operator acknowledgment are unexecuted. The derivative proposed in SEC-SYN-02 must preserve the relevant hazard/600 mm requirement/uncertainty and limits while omitting unnecessary security details; its exact redaction/content review is not completed by this text. Operational feedback, changed installation, inspection, incident, maintenance method or asset replacement reopens the record, confirms the update owner and informs affected recipients. Actual sign-off and safety adequacy are not implied by these templates.</w:t>
      </w:r>
    </w:p>
    <w:p>
      <w:pPr>
        <w:pStyle w:val="Heading1"/>
      </w:pPr>
      <w:r>
        <w:t>Annex W2 S6 Adverse tests ownership and acceptance</w:t>
      </w:r>
    </w:p>
    <w:p>
      <w:pPr/>
      <w:r>
        <w:t>Security tests cover authorised read and unauthorised read/write/download/share, supplier/no-unapproved-AI route, offboarding, derivative redaction/lineage, incident evidence integrity, recovery and legal-hold disposal refusal. HSI tests cover complete ownership/source/object/location/controls, unsafe lower-bound clearance, unknown utility depth, changed/stale source links, lost safety wording in redaction, and recipient understanding/update responsibility. Reset each adverse case from its specified baseline; do not treat a favourable outcome from a different source as a retest of this failure.</w:t>
      </w:r>
    </w:p>
    <w:p>
      <w:pPr/>
      <w:r>
        <w:t>Each test requires exact source/output hashes, actual route/configuration/build, role credentials checked without recording secrets, expected and observed result, operator/date, protected evidence URI, independent reviewer/disposition and separate authorisation/recipient decisions. All actual results in these two workbooks remain Not executed. Exercise outcomes are labelled expected only. No test sends data, changes live access, contacts a person, authorises work or destroys records in this task.</w:t>
      </w:r>
    </w:p>
    <w:p>
      <w:pPr/>
      <w:r>
        <w:t>Acceptance requires complete accountable/technical/receiving ownership and actual evidence for the scoped dataset/task. Missing competent review, unverified disclosure/recipient, broken source, unresolved mandatory hazard/control or missing receiving acknowledgment holds affected release. Resolve security/safety access conflicts through both competent owners and the actual delegated authority, preserving essential safety information and protected security details in their separate records. No new parallel manual/risk owner or blanket waiver is created.</w:t>
      </w:r>
    </w:p>
    <w:p>
      <w:pPr>
        <w:pStyle w:val="Heading2"/>
      </w:pPr>
      <w:r>
        <w:t>W2 annex references</w:t>
      </w:r>
    </w:p>
    <w:p>
      <w:pPr>
        <w:pStyle w:val="ListParagraph"/>
        <w:spacing w:after="40"/>
        <w:ind w:left="360" w:hanging="240"/>
      </w:pPr>
      <w:r>
        <w:t xml:space="preserve">•  </w:t>
      </w:r>
      <w:r>
        <w:t>Retained Manual 9.4/12.5, BBM-STD-54/55/56/87/88, BEP V0.5 and the BBM-STD-11 change trace. Current original file hash and normalized preservation test are recorded in both forms.</w:t>
      </w:r>
    </w:p>
    <w:p>
      <w:pPr>
        <w:pStyle w:val="ListParagraph"/>
        <w:spacing w:after="40"/>
        <w:ind w:left="360" w:hanging="240"/>
      </w:pPr>
      <w:r>
        <w:t xml:space="preserve">•  </w:t>
      </w:r>
      <w:hyperlink r:id="rId80">
        <w:r>
          <w:rPr>
            <w:color w:val="9A7B45"/>
            <w:u w:val="single"/>
          </w:rPr>
          <w:t>ISO 19650-5:2020</w:t>
        </w:r>
      </w:hyperlink>
      <w:r>
        <w:t xml:space="preserve">, security-minded lifecycle context. Clause 4 sensitivity/triage and clauses 5–9 security-minded arrangements are reading pointers corroborated by NPSA's indexed </w:t>
      </w:r>
      <w:hyperlink r:id="rId81">
        <w:r>
          <w:rPr>
            <w:color w:val="9A7B45"/>
            <w:u w:val="single"/>
          </w:rPr>
          <w:t>guidance note</w:t>
        </w:r>
      </w:hyperlink>
      <w:r>
        <w:t xml:space="preserve">; full NPSA fetch returned 403, not a full-text/licensed clause audit. </w:t>
      </w:r>
      <w:hyperlink r:id="rId82">
        <w:r>
          <w:rPr>
            <w:color w:val="9A7B45"/>
            <w:u w:val="single"/>
          </w:rPr>
          <w:t>NPSA information disclosure triage</w:t>
        </w:r>
      </w:hyperlink>
      <w:r>
        <w:t xml:space="preserve"> also indexed but full fetch 403. No paid standard paragraphs copied.</w:t>
      </w:r>
    </w:p>
    <w:p>
      <w:pPr>
        <w:pStyle w:val="ListParagraph"/>
        <w:spacing w:after="40"/>
        <w:ind w:left="360" w:hanging="240"/>
      </w:pPr>
      <w:r>
        <w:t xml:space="preserve">•  </w:t>
      </w:r>
      <w:hyperlink r:id="rId22">
        <w:r>
          <w:rPr>
            <w:color w:val="9A7B45"/>
            <w:u w:val="single"/>
          </w:rPr>
          <w:t>ISO 19650-6:2025</w:t>
        </w:r>
      </w:hyperlink>
      <w:r>
        <w:t>, published health/safety information concepts and collaborative lifecycle sharing; detailed normative clause interpretation requires licensed competent review. This is an information process, not legal or safety-design advice.</w:t>
      </w:r>
    </w:p>
    <w:p>
      <w:pPr>
        <w:pStyle w:val="ListParagraph"/>
        <w:spacing w:after="40"/>
        <w:ind w:left="360" w:hanging="240"/>
      </w:pPr>
      <w:r>
        <w:t xml:space="preserve">•  </w:t>
      </w:r>
      <w:hyperlink r:id="rId83">
        <w:r>
          <w:rPr>
            <w:color w:val="9A7B45"/>
            <w:u w:val="single"/>
          </w:rPr>
          <w:t>ISO 19650-1</w:t>
        </w:r>
      </w:hyperlink>
      <w:r>
        <w:t xml:space="preserve">, </w:t>
      </w:r>
      <w:hyperlink r:id="rId84">
        <w:r>
          <w:rPr>
            <w:color w:val="9A7B45"/>
            <w:u w:val="single"/>
          </w:rPr>
          <w:t>-2</w:t>
        </w:r>
      </w:hyperlink>
      <w:r>
        <w:t xml:space="preserve"> clauses 5.6/5.7 production/authorisation/receiving context, </w:t>
      </w:r>
      <w:hyperlink r:id="rId19">
        <w:r>
          <w:rPr>
            <w:color w:val="9A7B45"/>
            <w:u w:val="single"/>
          </w:rPr>
          <w:t>-3</w:t>
        </w:r>
      </w:hyperlink>
      <w:r>
        <w:t xml:space="preserve"> operational update context and </w:t>
      </w:r>
      <w:hyperlink r:id="rId85">
        <w:r>
          <w:rPr>
            <w:color w:val="9A7B45"/>
            <w:u w:val="single"/>
          </w:rPr>
          <w:t>IMI Framework (formerly UK BIM Framework, renamed May 2025) Guidance Part 2 ed.5, archived</w:t>
        </w:r>
      </w:hyperlink>
      <w:r>
        <w:t xml:space="preserve">; </w:t>
      </w:r>
      <w:hyperlink r:id="rId86">
        <w:r>
          <w:rPr>
            <w:color w:val="9A7B45"/>
            <w:u w:val="single"/>
          </w:rPr>
          <w:t>Guidance A ed.2</w:t>
        </w:r>
      </w:hyperlink>
      <w:r>
        <w:t xml:space="preserve"> scoped functions, live checked 2026-10-16.</w:t>
      </w:r>
    </w:p>
    <w:p>
      <w:pPr>
        <w:pStyle w:val="ListParagraph"/>
        <w:spacing w:after="40"/>
        <w:ind w:left="360" w:hanging="240"/>
      </w:pPr>
      <w:r>
        <w:t xml:space="preserve">•  </w:t>
      </w:r>
      <w:hyperlink r:id="rId87">
        <w:r>
          <w:rPr>
            <w:color w:val="9A7B45"/>
            <w:u w:val="single"/>
          </w:rPr>
          <w:t>ISO 7817-1:2024</w:t>
        </w:r>
      </w:hyperlink>
      <w:r>
        <w:t xml:space="preserve"> current LOIN concepts; BS EN 17412-1:2020 predecessor, with appointment editions changed only through controlled authority. </w:t>
      </w:r>
      <w:hyperlink r:id="rId63">
        <w:r>
          <w:rPr>
            <w:color w:val="9A7B45"/>
            <w:u w:val="single"/>
          </w:rPr>
          <w:t>ADM Code of Practice 4.3</w:t>
        </w:r>
      </w:hyperlink>
      <w:r>
        <w:t xml:space="preserve"> sensitive-information interface; </w:t>
      </w:r>
      <w:hyperlink r:id="rId88">
        <w:r>
          <w:rPr>
            <w:color w:val="9A7B45"/>
            <w:u w:val="single"/>
          </w:rPr>
          <w:t>DM circular index</w:t>
        </w:r>
      </w:hyperlink>
      <w:r>
        <w:t xml:space="preserve"> and </w:t>
      </w:r>
      <w:hyperlink r:id="rId89">
        <w:r>
          <w:rPr>
            <w:color w:val="9A7B45"/>
            <w:u w:val="single"/>
          </w:rPr>
          <w:t>DDA current service</w:t>
        </w:r>
      </w:hyperlink>
      <w:r>
        <w:t xml:space="preserve"> remain project-specific applicability via BBM-STD-57 and BBM-STD-85. No general UAE disclosure/retention deadline inferred.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BBM-STD-01-MANUAL-V0.7</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01-MANUAL-V0.7.docx" TargetMode="Externa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hyperlink" Target="https://www.iso.org/standard/68078.html?browse=tc" TargetMode="External"/><Relationship Id="rId18" Type="http://schemas.openxmlformats.org/officeDocument/2006/relationships/hyperlink" Target="https://www.iso.org/fr/standard/68080.html" TargetMode="External"/><Relationship Id="rId19" Type="http://schemas.openxmlformats.org/officeDocument/2006/relationships/hyperlink" Target="https://www.iso.org/standard/75109.html" TargetMode="External"/><Relationship Id="rId20" Type="http://schemas.openxmlformats.org/officeDocument/2006/relationships/hyperlink" Target="https://www.iso.org/cms/live/live/en/sites/isoorg/contents/data/standard/07/82/78246.html?browse=tc" TargetMode="External"/><Relationship Id="rId21" Type="http://schemas.openxmlformats.org/officeDocument/2006/relationships/hyperlink" Target="https://committee.iso.org/cms/live/live/en/sites/isoorg/contents/data/standard/07/42/74206.html" TargetMode="External"/><Relationship Id="rId22" Type="http://schemas.openxmlformats.org/officeDocument/2006/relationships/hyperlink" Target="https://www.iso.org/standard/82705.html" TargetMode="External"/><Relationship Id="rId23" Type="http://schemas.openxmlformats.org/officeDocument/2006/relationships/hyperlink" Target="https://www.iso.org/standard/82914.html?browse=tc" TargetMode="External"/><Relationship Id="rId24" Type="http://schemas.openxmlformats.org/officeDocument/2006/relationships/hyperlink" Target="https://standardsdevelopment.bsigroup.com/projects/2018-02659" TargetMode="External"/><Relationship Id="rId25" Type="http://schemas.openxmlformats.org/officeDocument/2006/relationships/hyperlink" Target="https://www.iso.org/standard/61753.html" TargetMode="External"/><Relationship Id="rId26" Type="http://schemas.openxmlformats.org/officeDocument/2006/relationships/hyperlink" Target="https://uniclass.thenbs.com/download" TargetMode="External"/><Relationship Id="rId27" Type="http://schemas.openxmlformats.org/officeDocument/2006/relationships/hyperlink" Target="https://committee.iso.org/standard/84123.html?browse=tc" TargetMode="External"/><Relationship Id="rId28" Type="http://schemas.openxmlformats.org/officeDocument/2006/relationships/hyperlink" Target="https://www.buildingsmart.org/standards/bsi-standards/industry-foundation-classes/?lang=en" TargetMode="External"/><Relationship Id="rId29" Type="http://schemas.openxmlformats.org/officeDocument/2006/relationships/hyperlink" Target="https://github.com/buildingSMART/BCF-XML/releases/tag/v3.0" TargetMode="External"/><Relationship Id="rId30" Type="http://schemas.openxmlformats.org/officeDocument/2006/relationships/hyperlink" Target="https://github.com/buildingSMART/BCF-API/releases" TargetMode="External"/><Relationship Id="rId31" Type="http://schemas.openxmlformats.org/officeDocument/2006/relationships/hyperlink" Target="https://nbims.nibs-wbdg.org/nbims/v4/" TargetMode="External"/><Relationship Id="rId32" Type="http://schemas.openxmlformats.org/officeDocument/2006/relationships/hyperlink" Target="https://www.iso.org/standard/75401.html?browse=tc" TargetMode="External"/><Relationship Id="rId33" Type="http://schemas.openxmlformats.org/officeDocument/2006/relationships/hyperlink" Target="https://www.iso.org/standard/85391.html" TargetMode="External"/><Relationship Id="rId34" Type="http://schemas.openxmlformats.org/officeDocument/2006/relationships/hyperlink" Target="https://github.com/buildingSMART/IDS/releases" TargetMode="External"/><Relationship Id="rId35" Type="http://schemas.openxmlformats.org/officeDocument/2006/relationships/hyperlink" Target="https://www.buildingsmart.org/standards/bsi-standards/information-delivery-specification-ids/?trk=article-ssr-frontend-pulse_little-text-block" TargetMode="External"/><Relationship Id="rId36" Type="http://schemas.openxmlformats.org/officeDocument/2006/relationships/hyperlink" Target="https://www.riba.org/work/insights-and-resources/riba-plan-of-work/" TargetMode="External"/><Relationship Id="rId37" Type="http://schemas.openxmlformats.org/officeDocument/2006/relationships/hyperlink" Target="https://imiframework.org/wp-content/uploads/2022/08/Information_protocols_supporting_the_delivery_phase_BS_EN_ISO_19650-2_and_the_operational_phase_BS_EN_ISO_19650-3_of_assets-Guidance_Edition-3.pdf" TargetMode="External"/><Relationship Id="rId38" Type="http://schemas.openxmlformats.org/officeDocument/2006/relationships/hyperlink" Target="https://www.ukbimframework.org/wp-content/uploads/2021/02/Guidance-Part-A_The-information-management-function-and-resources_Edition-2.pdf" TargetMode="External"/><Relationship Id="rId39" Type="http://schemas.openxmlformats.org/officeDocument/2006/relationships/hyperlink" Target="https://ukbimframework.org/wp-content/uploads/2020/09/Guidance-Part-C_Facilitating-the-common-data-environment-workflow-and-technical-solutions_Edition-1.pdf" TargetMode="External"/><Relationship Id="rId40" Type="http://schemas.openxmlformats.org/officeDocument/2006/relationships/hyperlink" Target="https://www.ukbimframework.org/wp-content/uploads/2021/02/Guidance-Part-D_Developing-information-requirements_Edition-2.pdf" TargetMode="External"/><Relationship Id="rId41" Type="http://schemas.openxmlformats.org/officeDocument/2006/relationships/hyperlink" Target="https://www.ukbimframework.org/wp-content/uploads/2021/02/Guidance-Part-E_Tendering-and-appointments_Edition-2.pdf" TargetMode="External"/><Relationship Id="rId42" Type="http://schemas.openxmlformats.org/officeDocument/2006/relationships/hyperlink" Target="https://ukbimframework.org/wp-content/uploads/2020/09/Guidance-Part-F_About-information-delivery-planning_Edition-1.pdf" TargetMode="External"/><Relationship Id="rId43" Type="http://schemas.openxmlformats.org/officeDocument/2006/relationships/hyperlink" Target="https://psu.pb.unizin.org/bimprojectexecutionplanningv2x2/front-matter/readers-guide/" TargetMode="External"/><Relationship Id="rId44" Type="http://schemas.openxmlformats.org/officeDocument/2006/relationships/hyperlink" Target="https://psu.pb.unizin.org/bimprojectexecutionplanningv2x2/chapter/define-supporting-infrastructure-for-bim-implementation/" TargetMode="External"/><Relationship Id="rId45" Type="http://schemas.openxmlformats.org/officeDocument/2006/relationships/hyperlink" Target="https://www.iso.org/standard/9001" TargetMode="External"/><Relationship Id="rId46" Type="http://schemas.openxmlformats.org/officeDocument/2006/relationships/hyperlink" Target="https://www.npsa.gov.uk/security-best-practices/build-it-secure/security-minded-approach-digital-engineering" TargetMode="External"/><Relationship Id="rId47" Type="http://schemas.openxmlformats.org/officeDocument/2006/relationships/hyperlink" Target="https://help.autodesk.com/cloudhelp/2026/ENU/Revit-Customize/files/GUID-4C16B54A-7ADA-4DEB-A278-C199B1BC4207.htm" TargetMode="External"/><Relationship Id="rId48" Type="http://schemas.openxmlformats.org/officeDocument/2006/relationships/hyperlink" Target="https://help.autodesk.com/cloudhelp/2026/ENU/Revit-Collaborate/files/GUID-D9797137-09C7-4F92-AFC3-670202D043E2.htm" TargetMode="External"/><Relationship Id="rId49" Type="http://schemas.openxmlformats.org/officeDocument/2006/relationships/hyperlink" Target="https://help.autodesk.com/cloudhelp/2026/ENU/Revit-Cloud/files/GUID-ABFFFEE6-2C6D-4779-B508-A1C4BC0C4885.htm" TargetMode="External"/><Relationship Id="rId50" Type="http://schemas.openxmlformats.org/officeDocument/2006/relationships/hyperlink" Target="https://help.autodesk.com/cloudhelp/2026/ENU/Revit-Model/files/GUID-114C68A9-FF2B-4D4C-A2DF-3AE7E1F174C8.htm" TargetMode="External"/><Relationship Id="rId51" Type="http://schemas.openxmlformats.org/officeDocument/2006/relationships/hyperlink" Target="https://www.autodesk.com/support/technical/article/caas/sfdcarticles/sfdcarticles/How-to-set-up-Shared-Coordinates-using-one-Revit-model-as-the-site-or-base-file.html" TargetMode="External"/><Relationship Id="rId52" Type="http://schemas.openxmlformats.org/officeDocument/2006/relationships/hyperlink" Target="https://help.autodesk.com/cloudhelp/2026/ENU/RevitDynamo/files/Dynamo_Player/RevitDynamo_Dynamo_Player_About_Graph_Security_and_Trusted_Folders_html.html" TargetMode="External"/><Relationship Id="rId53" Type="http://schemas.openxmlformats.org/officeDocument/2006/relationships/hyperlink" Target="https://help.autodesk.com/cloudhelp/2026/ENU/Revit-API/files/Revit_API_Developers_Guide/Introduction/Add_In_Integration/Revit_API_Revit_API_Developers_Guide_Introduction_Add_In_Integration_Add_in_Registration_html.html" TargetMode="External"/><Relationship Id="rId54" Type="http://schemas.openxmlformats.org/officeDocument/2006/relationships/hyperlink" Target="https://dmpmedia.dm.gov.ae/uploads/2023/10/&#1578;&#1593;&#1605;&#1610;&#1605;-BIM-9-1-2.pdf" TargetMode="External"/><Relationship Id="rId55" Type="http://schemas.openxmlformats.org/officeDocument/2006/relationships/hyperlink" Target="https://www.dm.gov.ae/wp-content/uploads/2026/02/Circular-9-1-3.pdf" TargetMode="External"/><Relationship Id="rId56" Type="http://schemas.openxmlformats.org/officeDocument/2006/relationships/hyperlink" Target="https://www.dm.gov.ae/municipality-business/laws-and-orders/" TargetMode="External"/><Relationship Id="rId57" Type="http://schemas.openxmlformats.org/officeDocument/2006/relationships/hyperlink" Target="https://www.dm.gov.ae/?p=352286" TargetMode="External"/><Relationship Id="rId58" Type="http://schemas.openxmlformats.org/officeDocument/2006/relationships/hyperlink" Target="https://dlp.dubai.gov.ae/Legislation%20Reference/2026/Law%20No.%20%283%29%20of%202026%20Concerning%20the%20Quality%20and%20Safety%20of%20Buildings.html" TargetMode="External"/><Relationship Id="rId59" Type="http://schemas.openxmlformats.org/officeDocument/2006/relationships/hyperlink" Target="https://dmpmedia.dm.gov.ae/uploads/2026/10/11-9-1.pdf" TargetMode="External"/><Relationship Id="rId60" Type="http://schemas.openxmlformats.org/officeDocument/2006/relationships/hyperlink" Target="https://dmpmedia.dm.gov.ae/uploads/2026/10/11-9-1-1.pdf" TargetMode="External"/><Relationship Id="rId61" Type="http://schemas.openxmlformats.org/officeDocument/2006/relationships/hyperlink" Target="https://www.dcd.gov.ae/portal/preventive-safety/uae-fire-and-life-safety-code-of-practice.jsp" TargetMode="External"/><Relationship Id="rId62" Type="http://schemas.openxmlformats.org/officeDocument/2006/relationships/hyperlink" Target="https://www.dmt.gov.ae/-/media/Project/DMT/DMT/Codes/3-ADIMC-2013_1-12-2013.pdf" TargetMode="External"/><Relationship Id="rId63" Type="http://schemas.openxmlformats.org/officeDocument/2006/relationships/hyperlink" Target="https://www.dmt.gov.ae/adm/-/media/Project/DMT/ADM/E-Library/0001-Jan-2022-Doc/ADM-BIM-005Code-of-Practice.pdf" TargetMode="External"/><Relationship Id="rId64" Type="http://schemas.openxmlformats.org/officeDocument/2006/relationships/hyperlink" Target="https://www.dmt.gov.ae/en/adm/Media-Centre/News/08Jan2025" TargetMode="External"/><Relationship Id="rId65" Type="http://schemas.openxmlformats.org/officeDocument/2006/relationships/hyperlink" Target="https://www.dm.gov.ae/municipality-business/al-safat-dubai-green-building-system/" TargetMode="External"/><Relationship Id="rId66" Type="http://schemas.openxmlformats.org/officeDocument/2006/relationships/hyperlink" Target="https://epsg.io/3997" TargetMode="External"/><Relationship Id="rId67" Type="http://schemas.openxmlformats.org/officeDocument/2006/relationships/hyperlink" Target="https://www.fig.net/pub/fig2011/papers/ts08j/ts08j_gopi_alkhatibi_et_al_5058.pdf" TargetMode="External"/><Relationship Id="rId68" Type="http://schemas.openxmlformats.org/officeDocument/2006/relationships/hyperlink" Target="https://epsg.io/1146-datum" TargetMode="External"/><Relationship Id="rId69" Type="http://schemas.openxmlformats.org/officeDocument/2006/relationships/hyperlink" Target="https://uaelegislation.gov.ae/en/legislations/1972" TargetMode="External"/><Relationship Id="rId70" Type="http://schemas.openxmlformats.org/officeDocument/2006/relationships/hyperlink" Target="https://uaelegislation.gov.ae/en/legislations/4011" TargetMode="External"/><Relationship Id="rId71" Type="http://schemas.openxmlformats.org/officeDocument/2006/relationships/hyperlink" Target="https://www.autodesk.com/support/account/manage/versions/previous-versions" TargetMode="External"/><Relationship Id="rId72" Type="http://schemas.openxmlformats.org/officeDocument/2006/relationships/hyperlink" Target="https://www.autodesk.com/support/account/manage/versions/support-lifecycle" TargetMode="External"/><Relationship Id="rId73" Type="http://schemas.openxmlformats.org/officeDocument/2006/relationships/hyperlink" Target="https://help.autodesk.com/view/RVT/2027/ENU/?guid=RevitReleaseNotes_2027updates_html" TargetMode="External"/><Relationship Id="rId74" Type="http://schemas.openxmlformats.org/officeDocument/2006/relationships/hyperlink" Target="https://github.com/Autodesk/revit-ifc/releases" TargetMode="External"/><Relationship Id="rId75" Type="http://schemas.openxmlformats.org/officeDocument/2006/relationships/hyperlink" Target="https://technical.buildingsmart.org/services/validation-service/" TargetMode="External"/><Relationship Id="rId76" Type="http://schemas.openxmlformats.org/officeDocument/2006/relationships/hyperlink" Target="https://committee.iso.org/standard/82875.html" TargetMode="External"/><Relationship Id="rId77" Type="http://schemas.openxmlformats.org/officeDocument/2006/relationships/hyperlink" Target="https://www.iso.org/standard/70181.html" TargetMode="External"/><Relationship Id="rId78" Type="http://schemas.openxmlformats.org/officeDocument/2006/relationships/hyperlink" Target="https://committee.iso.org/standard/35446.html" TargetMode="External"/><Relationship Id="rId79" Type="http://schemas.openxmlformats.org/officeDocument/2006/relationships/hyperlink" Target="https://committee.iso.org/standard/88464.html" TargetMode="External"/><Relationship Id="rId80" Type="http://schemas.openxmlformats.org/officeDocument/2006/relationships/hyperlink" Target="https://www.iso.org/standard/74206.html" TargetMode="External"/><Relationship Id="rId81" Type="http://schemas.openxmlformats.org/officeDocument/2006/relationships/hyperlink" Target="https://www.npsa.gov.uk/system/files/documents/12/c8/guidance-notenec4engineering-and-construction-contract.pdf" TargetMode="External"/><Relationship Id="rId82" Type="http://schemas.openxmlformats.org/officeDocument/2006/relationships/hyperlink" Target="https://www.npsa.gov.uk/system/files/documents/NPSA%20Triage%20Process%20for%20the%20Publication%20or%20Disclosure%20of%20Information.pdf" TargetMode="External"/><Relationship Id="rId83" Type="http://schemas.openxmlformats.org/officeDocument/2006/relationships/hyperlink" Target="https://www.iso.org/standard/68078.html" TargetMode="External"/><Relationship Id="rId84" Type="http://schemas.openxmlformats.org/officeDocument/2006/relationships/hyperlink" Target="https://www.iso.org/standard/68080.html" TargetMode="External"/><Relationship Id="rId85" Type="http://schemas.openxmlformats.org/officeDocument/2006/relationships/hyperlink" Target="https://ukbimframework.org/wp-content/uploads/2020/09/Guidance-Part-2_Parties-teams-and-processes-for-the-delivery-phase-of-assets_Edition-5.pdf" TargetMode="External"/><Relationship Id="rId86" Type="http://schemas.openxmlformats.org/officeDocument/2006/relationships/hyperlink" Target="https://ukbimframework.org/wp-content/uploads/2021/02/Guidance-Part-A_The-information-management-function-and-resources_Edition-2.pdf" TargetMode="External"/><Relationship Id="rId87" Type="http://schemas.openxmlformats.org/officeDocument/2006/relationships/hyperlink" Target="https://www.iso.org/standard/82914.html" TargetMode="External"/><Relationship Id="rId88" Type="http://schemas.openxmlformats.org/officeDocument/2006/relationships/hyperlink" Target="https://www.dm.gov.ae/building-planning-circulars-2/" TargetMode="External"/><Relationship Id="rId89" Type="http://schemas.openxmlformats.org/officeDocument/2006/relationships/hyperlink" Target="https://dda.gov.ae/en/planning-development/design/final-design-appr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