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Architect of Record and consultant-of-record services</w:t>
      </w:r>
    </w:p>
    <w:p>
      <w:pPr/>
      <w:r>
        <w:t>BBM-STD-13-ARCHITECT_OF_RECORD_SERVICES-V0.1 | Office standard | 5 November 2026 | V0.1 | Private controlled WIP draft for office review</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1033"/>
        <w:gridCol w:w="8659"/>
      </w:tblGrid>
      <w:tr>
        <w:trPr>
          <w:cantSplit/>
          <w:tblHeader/>
        </w:trPr>
        <w:tc>
          <w:tcPr>
            <w:tcW w:type="dxa" w:w="775"/>
            <w:shd w:val="clear" w:color="auto" w:fill="111113"/>
          </w:tcPr>
          <w:p>
            <w:r>
              <w:rPr>
                <w:b/>
                <w:color w:val="FFFFFF"/>
                <w:sz w:val="17"/>
              </w:rPr>
            </w:r>
            <w:r>
              <w:rPr>
                <w:b/>
                <w:color w:val="FFFFFF"/>
                <w:sz w:val="17"/>
              </w:rPr>
              <w:t>Version</w:t>
            </w:r>
          </w:p>
        </w:tc>
        <w:tc>
          <w:tcPr>
            <w:tcW w:type="dxa" w:w="1033"/>
            <w:shd w:val="clear" w:color="auto" w:fill="111113"/>
          </w:tcPr>
          <w:p>
            <w:r>
              <w:rPr>
                <w:b/>
                <w:color w:val="FFFFFF"/>
                <w:sz w:val="17"/>
              </w:rPr>
            </w:r>
            <w:r>
              <w:rPr>
                <w:b/>
                <w:color w:val="FFFFFF"/>
                <w:sz w:val="17"/>
              </w:rPr>
              <w:t>Date</w:t>
            </w:r>
          </w:p>
        </w:tc>
        <w:tc>
          <w:tcPr>
            <w:tcW w:type="dxa" w:w="8659"/>
            <w:shd w:val="clear" w:color="auto" w:fill="111113"/>
          </w:tcPr>
          <w:p>
            <w:r>
              <w:rPr>
                <w:b/>
                <w:color w:val="FFFFFF"/>
                <w:sz w:val="17"/>
              </w:rPr>
            </w:r>
            <w:r>
              <w:rPr>
                <w:b/>
                <w:color w:val="FFFFFF"/>
                <w:sz w:val="17"/>
              </w:rPr>
              <w:t>Change</w:t>
            </w:r>
          </w:p>
        </w:tc>
      </w:tr>
      <w:tr>
        <w:trPr/>
        <w:tc>
          <w:tcPr>
            <w:tcW w:type="dxa" w:w="775"/>
          </w:tcPr>
          <w:p>
            <w:r>
              <w:rPr>
                <w:sz w:val="17"/>
              </w:rPr>
            </w:r>
            <w:r>
              <w:rPr>
                <w:sz w:val="17"/>
              </w:rPr>
              <w:t>V0.1</w:t>
            </w:r>
          </w:p>
        </w:tc>
        <w:tc>
          <w:tcPr>
            <w:tcW w:type="dxa" w:w="1033"/>
          </w:tcPr>
          <w:p>
            <w:r>
              <w:rPr>
                <w:sz w:val="17"/>
              </w:rPr>
            </w:r>
            <w:r>
              <w:rPr>
                <w:sz w:val="17"/>
              </w:rPr>
              <w:t>2026-11-05</w:t>
            </w:r>
          </w:p>
        </w:tc>
        <w:tc>
          <w:tcPr>
            <w:tcW w:type="dxa" w:w="8659"/>
          </w:tcPr>
          <w:p>
            <w:r>
              <w:rPr>
                <w:sz w:val="17"/>
              </w:rPr>
            </w:r>
            <w:r>
              <w:rPr>
                <w:sz w:val="17"/>
              </w:rPr>
              <w:t xml:space="preserve">First issue: what the office does, signs and is liable for when it is the Architect of Record (AOR) or consultant of record in the UAE; service models, stage duties RIBA 0–7, the authority and NOC sequence, construction-stage administration, sign-off authority, liability, RACI and the links to </w:t>
            </w:r>
            <w:r>
              <w:rPr>
                <w:color w:val="9A7B45"/>
                <w:sz w:val="17"/>
                <w:u w:val="single"/>
              </w:rPr>
              <w:t>BBM-STD-97</w:t>
            </w:r>
            <w:r>
              <w:rPr>
                <w:sz w:val="17"/>
              </w:rPr>
              <w:t xml:space="preserve"> QP-07, QP-09, QP-10, </w:t>
            </w:r>
            <w:r>
              <w:rPr>
                <w:color w:val="9A7B45"/>
                <w:sz w:val="17"/>
                <w:u w:val="single"/>
              </w:rPr>
              <w:t>BBM-STD-85</w:t>
            </w:r>
            <w:r>
              <w:rPr>
                <w:sz w:val="17"/>
              </w:rPr>
              <w:t xml:space="preserve"> and the tracker set </w:t>
            </w:r>
            <w:r>
              <w:rPr>
                <w:color w:val="9A7B45"/>
                <w:sz w:val="17"/>
                <w:u w:val="single"/>
              </w:rPr>
              <w:t>BBM-STD-99</w:t>
            </w:r>
            <w:r>
              <w:rPr>
                <w:sz w:val="17"/>
              </w:rPr>
              <w:t xml:space="preserve">. Decisions </w:t>
            </w:r>
            <w:r>
              <w:rPr>
                <w:color w:val="9A7B45"/>
                <w:sz w:val="17"/>
                <w:u w:val="single"/>
              </w:rPr>
              <w:t>O-DEC-170</w:t>
            </w:r>
            <w:r>
              <w:rPr>
                <w:sz w:val="17"/>
              </w:rPr>
              <w:t>–</w:t>
            </w:r>
            <w:r>
              <w:rPr>
                <w:color w:val="9A7B45"/>
                <w:sz w:val="17"/>
                <w:u w:val="single"/>
              </w:rPr>
              <w:t>O-DEC-183</w:t>
            </w:r>
            <w:r>
              <w:rPr>
                <w:sz w:val="17"/>
              </w:rPr>
              <w:t>.</w:t>
            </w:r>
          </w:p>
        </w:tc>
      </w:tr>
    </w:tbl>
    <w:p/>
    <w:p>
      <w:pPr>
        <w:pStyle w:val="Heading1"/>
      </w:pPr>
      <w:r>
        <w:t>1 Purpose ownership and boundaries</w:t>
      </w:r>
    </w:p>
    <w:p>
      <w:pPr/>
      <w:r>
        <w:t>This standard fixes one office way of acting as Architect of Record. It applies to every appointment in which the office submits to a UAE authority under its own registration, signs or stamps design or supervision documents as the registered engineering consultancy, or administers a construction contract as the Engineer or supervision consultant. The practice director owns it and approves each AOR appointment at contract review (</w:t>
      </w:r>
      <w:r>
        <w:rPr>
          <w:color w:val="9A7B45"/>
          <w:u w:val="single"/>
        </w:rPr>
        <w:t>BBM-STD-97</w:t>
      </w:r>
      <w:r>
        <w:t xml:space="preserve"> QP-01). The consultant of record function of </w:t>
      </w:r>
      <w:r>
        <w:rPr>
          <w:color w:val="9A7B45"/>
          <w:u w:val="single"/>
        </w:rPr>
        <w:t>BBM-STD-55</w:t>
      </w:r>
      <w:r>
        <w:t xml:space="preserve"> §2 carries it out; actual holders and their registration cards live in the private </w:t>
      </w:r>
      <w:r>
        <w:rPr>
          <w:color w:val="9A7B45"/>
          <w:u w:val="single"/>
        </w:rPr>
        <w:t>Directory</w:t>
      </w:r>
      <w:r>
        <w:t>.</w:t>
      </w:r>
    </w:p>
    <w:p>
      <w:pPr/>
      <w:r>
        <w:t xml:space="preserve">It does not repeat the authority detail of </w:t>
      </w:r>
      <w:r>
        <w:rPr>
          <w:color w:val="9A7B45"/>
          <w:u w:val="single"/>
        </w:rPr>
        <w:t>BBM-STD-85</w:t>
      </w:r>
      <w:r>
        <w:t xml:space="preserve"> and </w:t>
      </w:r>
      <w:r>
        <w:rPr>
          <w:color w:val="9A7B45"/>
          <w:u w:val="single"/>
        </w:rPr>
        <w:t>BBM-STD-57</w:t>
      </w:r>
      <w:r>
        <w:t xml:space="preserve">, the quality steps of QP-07, QP-09 and QP-10, or the tracker fields of </w:t>
      </w:r>
      <w:r>
        <w:rPr>
          <w:color w:val="9A7B45"/>
          <w:u w:val="single"/>
        </w:rPr>
        <w:t>BBM-STD-99</w:t>
      </w:r>
      <w:r>
        <w:t>. It states who does what, who signs, and what the office may refuse. The appointment and the construction contract always govern the office's actual powers: this standard never gives the office an authority the contract did not give. It is not legal advice; contract terms go through QP-01 contract review.</w:t>
      </w:r>
    </w:p>
    <w:p>
      <w:pPr/>
      <w:r>
        <w:rPr>
          <w:b/>
        </w:rPr>
        <w:t>Basis in office practice.</w:t>
      </w:r>
      <w:r>
        <w:t xml:space="preserve"> A read-only survey of the office servers and connected PC shares on 2026-11-05 (file names, sizes and dates, and the column structure of byte copies; no project data reused) showed how the office already works as AOR and supervision consultant: per-project authority tracking sheets that follow one stage sequence (§5); client and AOR comment trackers with a five-level comment classification (§4.2); design-and-supervision agreements, novations of the design consultant, supervision variations and extensions of time, and appointment orders for sub-consultants (§3); site submittal registers that relay each submittal through the client before it returns to the contractor (§6); and a full set of construction QA/QC logs and close-out registers (</w:t>
      </w:r>
      <w:r>
        <w:rPr>
          <w:color w:val="9A7B45"/>
          <w:u w:val="single"/>
        </w:rPr>
        <w:t>BBM-STD-99</w:t>
      </w:r>
      <w:r>
        <w:t xml:space="preserve"> §1). This standard writes that practice down as one rule set and adds what the primary sources below require.</w:t>
      </w:r>
    </w:p>
    <w:p>
      <w:pPr>
        <w:pStyle w:val="Heading1"/>
      </w:pPr>
      <w:r>
        <w:t>2 Terms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858"/>
        <w:gridCol w:w="8608"/>
      </w:tblGrid>
      <w:tr>
        <w:trPr>
          <w:cantSplit/>
          <w:tblHeader/>
        </w:trPr>
        <w:tc>
          <w:tcPr>
            <w:tcW w:type="dxa" w:w="1858"/>
            <w:shd w:val="clear" w:color="auto" w:fill="111113"/>
          </w:tcPr>
          <w:p>
            <w:r>
              <w:rPr>
                <w:b/>
                <w:color w:val="FFFFFF"/>
                <w:sz w:val="17"/>
              </w:rPr>
            </w:r>
            <w:r>
              <w:rPr>
                <w:b/>
                <w:color w:val="FFFFFF"/>
                <w:sz w:val="17"/>
              </w:rPr>
              <w:t>Term</w:t>
            </w:r>
          </w:p>
        </w:tc>
        <w:tc>
          <w:tcPr>
            <w:tcW w:type="dxa" w:w="8608"/>
            <w:shd w:val="clear" w:color="auto" w:fill="111113"/>
          </w:tcPr>
          <w:p>
            <w:r>
              <w:rPr>
                <w:b/>
                <w:color w:val="FFFFFF"/>
                <w:sz w:val="17"/>
              </w:rPr>
            </w:r>
            <w:r>
              <w:rPr>
                <w:b/>
                <w:color w:val="FFFFFF"/>
                <w:sz w:val="17"/>
              </w:rPr>
              <w:t>Meaning in this office</w:t>
            </w:r>
          </w:p>
        </w:tc>
      </w:tr>
      <w:tr>
        <w:trPr/>
        <w:tc>
          <w:tcPr>
            <w:tcW w:type="dxa" w:w="1858"/>
          </w:tcPr>
          <w:p>
            <w:r>
              <w:rPr>
                <w:sz w:val="17"/>
              </w:rPr>
            </w:r>
            <w:r>
              <w:rPr>
                <w:sz w:val="17"/>
              </w:rPr>
              <w:t>Architect of Record (AOR) /​ consultant of record</w:t>
            </w:r>
          </w:p>
        </w:tc>
        <w:tc>
          <w:tcPr>
            <w:tcW w:type="dxa" w:w="8608"/>
          </w:tcPr>
          <w:p>
            <w:r>
              <w:rPr>
                <w:sz w:val="17"/>
              </w:rPr>
            </w:r>
            <w:r>
              <w:rPr>
                <w:sz w:val="17"/>
              </w:rPr>
              <w:t>The engineering consultancy registered with the permit authority of the emirate, for the discipline and building category, that submits and signs for the permit and/​or supervises the works and carries the statutory responsibility for them. In Dubai an "Engineering Firm" registered in the DM register and licensed under Dubai Law No. 14 of 2025; in Abu Dhabi an engineering consultancy office classified by DMT (TAMM) with registered engineers. One consultant of record per discipline per permit (</w:t>
            </w:r>
            <w:r>
              <w:rPr>
                <w:color w:val="9A7B45"/>
                <w:sz w:val="17"/>
                <w:u w:val="single"/>
              </w:rPr>
              <w:t>O-DEC-171</w:t>
            </w:r>
            <w:r>
              <w:rPr>
                <w:sz w:val="17"/>
              </w:rPr>
              <w:t>).</w:t>
            </w:r>
          </w:p>
        </w:tc>
      </w:tr>
      <w:tr>
        <w:trPr>
          <w:cantSplit/>
        </w:trPr>
        <w:tc>
          <w:tcPr>
            <w:tcW w:type="dxa" w:w="1858"/>
          </w:tcPr>
          <w:p>
            <w:r>
              <w:rPr>
                <w:sz w:val="17"/>
              </w:rPr>
            </w:r>
            <w:r>
              <w:rPr>
                <w:sz w:val="17"/>
              </w:rPr>
              <w:t>Design architect</w:t>
            </w:r>
          </w:p>
        </w:tc>
        <w:tc>
          <w:tcPr>
            <w:tcW w:type="dxa" w:w="8608"/>
          </w:tcPr>
          <w:p>
            <w:r>
              <w:rPr>
                <w:sz w:val="17"/>
              </w:rPr>
            </w:r>
            <w:r>
              <w:rPr>
                <w:sz w:val="17"/>
              </w:rPr>
              <w:t>The author of the concept or design intent. It may be unregistered in the emirate (for example a foreign studio); then it works through the AOR, and the AOR reviews and adopts its information before anything is signed (</w:t>
            </w:r>
            <w:r>
              <w:rPr>
                <w:color w:val="9A7B45"/>
                <w:sz w:val="17"/>
                <w:u w:val="single"/>
              </w:rPr>
              <w:t>O-DEC-172</w:t>
            </w:r>
            <w:r>
              <w:rPr>
                <w:sz w:val="17"/>
              </w:rPr>
              <w:t>).</w:t>
            </w:r>
          </w:p>
        </w:tc>
      </w:tr>
      <w:tr>
        <w:trPr>
          <w:cantSplit/>
        </w:trPr>
        <w:tc>
          <w:tcPr>
            <w:tcW w:type="dxa" w:w="1858"/>
          </w:tcPr>
          <w:p>
            <w:r>
              <w:rPr>
                <w:sz w:val="17"/>
              </w:rPr>
            </w:r>
            <w:r>
              <w:rPr>
                <w:sz w:val="17"/>
              </w:rPr>
              <w:t>Lead design consultant</w:t>
            </w:r>
          </w:p>
        </w:tc>
        <w:tc>
          <w:tcPr>
            <w:tcW w:type="dxa" w:w="8608"/>
          </w:tcPr>
          <w:p>
            <w:r>
              <w:rPr>
                <w:sz w:val="17"/>
              </w:rPr>
            </w:r>
            <w:r>
              <w:rPr>
                <w:sz w:val="17"/>
              </w:rPr>
              <w:t>The party coordinating all design disciplines under the appointment (</w:t>
            </w:r>
            <w:r>
              <w:rPr>
                <w:color w:val="9A7B45"/>
                <w:sz w:val="17"/>
                <w:u w:val="single"/>
              </w:rPr>
              <w:t>BBM-STD-55</w:t>
            </w:r>
            <w:r>
              <w:rPr>
                <w:sz w:val="17"/>
              </w:rPr>
              <w:t>). Often the AOR, not always.</w:t>
            </w:r>
          </w:p>
        </w:tc>
      </w:tr>
      <w:tr>
        <w:trPr>
          <w:cantSplit/>
        </w:trPr>
        <w:tc>
          <w:tcPr>
            <w:tcW w:type="dxa" w:w="1858"/>
          </w:tcPr>
          <w:p>
            <w:r>
              <w:rPr>
                <w:sz w:val="17"/>
              </w:rPr>
            </w:r>
            <w:r>
              <w:rPr>
                <w:sz w:val="17"/>
              </w:rPr>
              <w:t>Supervision consultant /​ Engineer</w:t>
            </w:r>
          </w:p>
        </w:tc>
        <w:tc>
          <w:tcPr>
            <w:tcW w:type="dxa" w:w="8608"/>
          </w:tcPr>
          <w:p>
            <w:r>
              <w:rPr>
                <w:sz w:val="17"/>
              </w:rPr>
            </w:r>
            <w:r>
              <w:rPr>
                <w:sz w:val="17"/>
              </w:rPr>
              <w:t>The consultant that supervises the works for the employer. Under the FIDIC 2017 Red Book it is "the Engineer" acting within Clause 3; under Abu Dhabi UPPC Circular No. 9 of 2026 it is jointly liable with the contractor within its scope.</w:t>
            </w:r>
          </w:p>
        </w:tc>
      </w:tr>
      <w:tr>
        <w:trPr>
          <w:cantSplit/>
        </w:trPr>
        <w:tc>
          <w:tcPr>
            <w:tcW w:type="dxa" w:w="1858"/>
          </w:tcPr>
          <w:p>
            <w:r>
              <w:rPr>
                <w:sz w:val="17"/>
              </w:rPr>
            </w:r>
            <w:r>
              <w:rPr>
                <w:sz w:val="17"/>
              </w:rPr>
              <w:t>Employer's representative /​ PMC</w:t>
            </w:r>
          </w:p>
        </w:tc>
        <w:tc>
          <w:tcPr>
            <w:tcW w:type="dxa" w:w="8608"/>
          </w:tcPr>
          <w:p>
            <w:r>
              <w:rPr>
                <w:sz w:val="17"/>
              </w:rPr>
            </w:r>
            <w:r>
              <w:rPr>
                <w:sz w:val="17"/>
              </w:rPr>
              <w:t>The client's project manager. It may relay or co-sign decisions; it never replaces the consultant's statutory signature.</w:t>
            </w:r>
          </w:p>
        </w:tc>
      </w:tr>
      <w:tr>
        <w:trPr>
          <w:cantSplit/>
        </w:trPr>
        <w:tc>
          <w:tcPr>
            <w:tcW w:type="dxa" w:w="1858"/>
          </w:tcPr>
          <w:p>
            <w:r>
              <w:rPr>
                <w:sz w:val="17"/>
              </w:rPr>
            </w:r>
            <w:r>
              <w:rPr>
                <w:sz w:val="17"/>
              </w:rPr>
              <w:t>Registered engineer</w:t>
            </w:r>
          </w:p>
        </w:tc>
        <w:tc>
          <w:tcPr>
            <w:tcW w:type="dxa" w:w="8608"/>
          </w:tcPr>
          <w:p>
            <w:r>
              <w:rPr>
                <w:sz w:val="17"/>
              </w:rPr>
            </w:r>
            <w:r>
              <w:rPr>
                <w:sz w:val="17"/>
              </w:rPr>
              <w:t>The individual engineer whose registration (Abu Dhabi engineer grades under DMT Administrative Decision 113/​2025; Dubai professional competency certificate under Law No. 14 of 2025) is shown on the drawings and submissions of the discipline.</w:t>
            </w:r>
          </w:p>
        </w:tc>
      </w:tr>
    </w:tbl>
    <w:p/>
    <w:p>
      <w:pPr>
        <w:pStyle w:val="Heading1"/>
      </w:pPr>
      <w:r>
        <w:t>3 Service models</w:t>
      </w:r>
    </w:p>
    <w:p>
      <w:pPr/>
      <w:r>
        <w:t>Every AOR appointment is one of these models (</w:t>
      </w:r>
      <w:r>
        <w:rPr>
          <w:color w:val="9A7B45"/>
          <w:u w:val="single"/>
        </w:rPr>
        <w:t>O-DEC-183</w:t>
      </w:r>
      <w:r>
        <w:t>). The model is recorded at contract review and in the BEP; it decides the stages, signatures and liability the office takes.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463"/>
        <w:gridCol w:w="2597"/>
        <w:gridCol w:w="1222"/>
        <w:gridCol w:w="5185"/>
      </w:tblGrid>
      <w:tr>
        <w:trPr>
          <w:cantSplit/>
          <w:tblHeader/>
        </w:trPr>
        <w:tc>
          <w:tcPr>
            <w:tcW w:type="dxa" w:w="1463"/>
            <w:shd w:val="clear" w:color="auto" w:fill="111113"/>
          </w:tcPr>
          <w:p>
            <w:r>
              <w:rPr>
                <w:b/>
                <w:color w:val="FFFFFF"/>
                <w:sz w:val="17"/>
              </w:rPr>
            </w:r>
            <w:r>
              <w:rPr>
                <w:b/>
                <w:color w:val="FFFFFF"/>
                <w:sz w:val="17"/>
              </w:rPr>
              <w:t>Model</w:t>
            </w:r>
          </w:p>
        </w:tc>
        <w:tc>
          <w:tcPr>
            <w:tcW w:type="dxa" w:w="2597"/>
            <w:shd w:val="clear" w:color="auto" w:fill="111113"/>
          </w:tcPr>
          <w:p>
            <w:r>
              <w:rPr>
                <w:b/>
                <w:color w:val="FFFFFF"/>
                <w:sz w:val="17"/>
              </w:rPr>
            </w:r>
            <w:r>
              <w:rPr>
                <w:b/>
                <w:color w:val="FFFFFF"/>
                <w:sz w:val="17"/>
              </w:rPr>
              <w:t>Office role</w:t>
            </w:r>
          </w:p>
        </w:tc>
        <w:tc>
          <w:tcPr>
            <w:tcW w:type="dxa" w:w="1222"/>
            <w:shd w:val="clear" w:color="auto" w:fill="111113"/>
          </w:tcPr>
          <w:p>
            <w:r>
              <w:rPr>
                <w:b/>
                <w:color w:val="FFFFFF"/>
                <w:sz w:val="17"/>
              </w:rPr>
            </w:r>
            <w:r>
              <w:rPr>
                <w:b/>
                <w:color w:val="FFFFFF"/>
                <w:sz w:val="17"/>
              </w:rPr>
              <w:t>Typical scope</w:t>
            </w:r>
          </w:p>
        </w:tc>
        <w:tc>
          <w:tcPr>
            <w:tcW w:type="dxa" w:w="5185"/>
            <w:shd w:val="clear" w:color="auto" w:fill="111113"/>
          </w:tcPr>
          <w:p>
            <w:r>
              <w:rPr>
                <w:b/>
                <w:color w:val="FFFFFF"/>
                <w:sz w:val="17"/>
              </w:rPr>
            </w:r>
            <w:r>
              <w:rPr>
                <w:b/>
                <w:color w:val="FFFFFF"/>
                <w:sz w:val="17"/>
              </w:rPr>
              <w:t>What changes</w:t>
            </w:r>
          </w:p>
        </w:tc>
      </w:tr>
      <w:tr>
        <w:trPr>
          <w:cantSplit/>
        </w:trPr>
        <w:tc>
          <w:tcPr>
            <w:tcW w:type="dxa" w:w="1463"/>
          </w:tcPr>
          <w:p>
            <w:r>
              <w:rPr>
                <w:sz w:val="17"/>
              </w:rPr>
            </w:r>
            <w:r>
              <w:rPr>
                <w:sz w:val="17"/>
              </w:rPr>
              <w:t>M1 Design and supervision</w:t>
            </w:r>
          </w:p>
        </w:tc>
        <w:tc>
          <w:tcPr>
            <w:tcW w:type="dxa" w:w="2597"/>
          </w:tcPr>
          <w:p>
            <w:r>
              <w:rPr>
                <w:sz w:val="17"/>
              </w:rPr>
            </w:r>
            <w:r>
              <w:rPr>
                <w:sz w:val="17"/>
              </w:rPr>
              <w:t>Lead design consultant, AOR and supervision consultant</w:t>
            </w:r>
          </w:p>
        </w:tc>
        <w:tc>
          <w:tcPr>
            <w:tcW w:type="dxa" w:w="1222"/>
          </w:tcPr>
          <w:p>
            <w:r>
              <w:rPr>
                <w:sz w:val="17"/>
              </w:rPr>
            </w:r>
            <w:r>
              <w:rPr>
                <w:sz w:val="17"/>
              </w:rPr>
              <w:t>RIBA 0–7</w:t>
            </w:r>
          </w:p>
        </w:tc>
        <w:tc>
          <w:tcPr>
            <w:tcW w:type="dxa" w:w="5185"/>
          </w:tcPr>
          <w:p>
            <w:r>
              <w:rPr>
                <w:sz w:val="17"/>
              </w:rPr>
            </w:r>
            <w:r>
              <w:rPr>
                <w:sz w:val="17"/>
              </w:rPr>
              <w:t>Full scope of this standard; decennial liability as designer and supervisor (§8)</w:t>
            </w:r>
          </w:p>
        </w:tc>
      </w:tr>
      <w:tr>
        <w:trPr>
          <w:cantSplit/>
        </w:trPr>
        <w:tc>
          <w:tcPr>
            <w:tcW w:type="dxa" w:w="1463"/>
          </w:tcPr>
          <w:p>
            <w:r>
              <w:rPr>
                <w:sz w:val="17"/>
              </w:rPr>
            </w:r>
            <w:r>
              <w:rPr>
                <w:sz w:val="17"/>
              </w:rPr>
              <w:t>M2 AOR for a design architect</w:t>
            </w:r>
          </w:p>
        </w:tc>
        <w:tc>
          <w:tcPr>
            <w:tcW w:type="dxa" w:w="2597"/>
          </w:tcPr>
          <w:p>
            <w:r>
              <w:rPr>
                <w:sz w:val="17"/>
              </w:rPr>
            </w:r>
            <w:r>
              <w:rPr>
                <w:sz w:val="17"/>
              </w:rPr>
              <w:t>AOR, technical design, authority, supervision</w:t>
            </w:r>
          </w:p>
        </w:tc>
        <w:tc>
          <w:tcPr>
            <w:tcW w:type="dxa" w:w="1222"/>
          </w:tcPr>
          <w:p>
            <w:r>
              <w:rPr>
                <w:sz w:val="17"/>
              </w:rPr>
            </w:r>
            <w:r>
              <w:rPr>
                <w:sz w:val="17"/>
              </w:rPr>
              <w:t>Concept review, RIBA 3–7</w:t>
            </w:r>
          </w:p>
        </w:tc>
        <w:tc>
          <w:tcPr>
            <w:tcW w:type="dxa" w:w="5185"/>
          </w:tcPr>
          <w:p>
            <w:r>
              <w:rPr>
                <w:sz w:val="17"/>
              </w:rPr>
            </w:r>
            <w:r>
              <w:rPr>
                <w:sz w:val="17"/>
              </w:rPr>
              <w:t>AOR review of every design-architect package before adoption (§4.2); the office signs only what it has reviewed and adopted</w:t>
            </w:r>
          </w:p>
        </w:tc>
      </w:tr>
      <w:tr>
        <w:trPr>
          <w:cantSplit/>
        </w:trPr>
        <w:tc>
          <w:tcPr>
            <w:tcW w:type="dxa" w:w="1463"/>
          </w:tcPr>
          <w:p>
            <w:r>
              <w:rPr>
                <w:sz w:val="17"/>
              </w:rPr>
            </w:r>
            <w:r>
              <w:rPr>
                <w:sz w:val="17"/>
              </w:rPr>
              <w:t>M3 Supervision only /​ replacement consultant</w:t>
            </w:r>
          </w:p>
        </w:tc>
        <w:tc>
          <w:tcPr>
            <w:tcW w:type="dxa" w:w="2597"/>
          </w:tcPr>
          <w:p>
            <w:r>
              <w:rPr>
                <w:sz w:val="17"/>
              </w:rPr>
            </w:r>
            <w:r>
              <w:rPr>
                <w:sz w:val="17"/>
              </w:rPr>
              <w:t>Supervision consultant</w:t>
            </w:r>
          </w:p>
        </w:tc>
        <w:tc>
          <w:tcPr>
            <w:tcW w:type="dxa" w:w="1222"/>
          </w:tcPr>
          <w:p>
            <w:r>
              <w:rPr>
                <w:sz w:val="17"/>
              </w:rPr>
            </w:r>
            <w:r>
              <w:rPr>
                <w:sz w:val="17"/>
              </w:rPr>
              <w:t>RIBA 5–6</w:t>
            </w:r>
          </w:p>
        </w:tc>
        <w:tc>
          <w:tcPr>
            <w:tcW w:type="dxa" w:w="5185"/>
          </w:tcPr>
          <w:p>
            <w:r>
              <w:rPr>
                <w:sz w:val="17"/>
              </w:rPr>
            </w:r>
            <w:r>
              <w:rPr>
                <w:sz w:val="17"/>
              </w:rPr>
              <w:t>On replacement in Dubai a technical report on the works to date is endorsed (DM Administrative Resolution 275 of 2024); open design responsibility stays with its author</w:t>
            </w:r>
          </w:p>
        </w:tc>
      </w:tr>
      <w:tr>
        <w:trPr>
          <w:cantSplit/>
        </w:trPr>
        <w:tc>
          <w:tcPr>
            <w:tcW w:type="dxa" w:w="1463"/>
          </w:tcPr>
          <w:p>
            <w:r>
              <w:rPr>
                <w:sz w:val="17"/>
              </w:rPr>
            </w:r>
            <w:r>
              <w:rPr>
                <w:sz w:val="17"/>
              </w:rPr>
              <w:t>M4 Novated design consultant</w:t>
            </w:r>
          </w:p>
        </w:tc>
        <w:tc>
          <w:tcPr>
            <w:tcW w:type="dxa" w:w="2597"/>
          </w:tcPr>
          <w:p>
            <w:r>
              <w:rPr>
                <w:sz w:val="17"/>
              </w:rPr>
            </w:r>
            <w:r>
              <w:rPr>
                <w:sz w:val="17"/>
              </w:rPr>
              <w:t>Designer novated to a design-and-build contractor</w:t>
            </w:r>
          </w:p>
        </w:tc>
        <w:tc>
          <w:tcPr>
            <w:tcW w:type="dxa" w:w="1222"/>
          </w:tcPr>
          <w:p>
            <w:r>
              <w:rPr>
                <w:sz w:val="17"/>
              </w:rPr>
            </w:r>
            <w:r>
              <w:rPr>
                <w:sz w:val="17"/>
              </w:rPr>
              <w:t>RIBA 4–6</w:t>
            </w:r>
          </w:p>
        </w:tc>
        <w:tc>
          <w:tcPr>
            <w:tcW w:type="dxa" w:w="5185"/>
          </w:tcPr>
          <w:p>
            <w:r>
              <w:rPr>
                <w:sz w:val="17"/>
              </w:rPr>
            </w:r>
            <w:r>
              <w:rPr>
                <w:sz w:val="17"/>
              </w:rPr>
              <w:t>The contractor becomes the client for services; duties to authorities and decennial liability as designer remain (§8)</w:t>
            </w:r>
          </w:p>
        </w:tc>
      </w:tr>
      <w:tr>
        <w:trPr>
          <w:cantSplit/>
        </w:trPr>
        <w:tc>
          <w:tcPr>
            <w:tcW w:type="dxa" w:w="1463"/>
          </w:tcPr>
          <w:p>
            <w:r>
              <w:rPr>
                <w:sz w:val="17"/>
              </w:rPr>
            </w:r>
            <w:r>
              <w:rPr>
                <w:sz w:val="17"/>
              </w:rPr>
              <w:t>M5 Design only</w:t>
            </w:r>
          </w:p>
        </w:tc>
        <w:tc>
          <w:tcPr>
            <w:tcW w:type="dxa" w:w="2597"/>
          </w:tcPr>
          <w:p>
            <w:r>
              <w:rPr>
                <w:sz w:val="17"/>
              </w:rPr>
            </w:r>
            <w:r>
              <w:rPr>
                <w:sz w:val="17"/>
              </w:rPr>
              <w:t>Designer and AOR for the permit</w:t>
            </w:r>
          </w:p>
        </w:tc>
        <w:tc>
          <w:tcPr>
            <w:tcW w:type="dxa" w:w="1222"/>
          </w:tcPr>
          <w:p>
            <w:r>
              <w:rPr>
                <w:sz w:val="17"/>
              </w:rPr>
            </w:r>
            <w:r>
              <w:rPr>
                <w:sz w:val="17"/>
              </w:rPr>
              <w:t>RIBA 0–4</w:t>
            </w:r>
          </w:p>
        </w:tc>
        <w:tc>
          <w:tcPr>
            <w:tcW w:type="dxa" w:w="5185"/>
          </w:tcPr>
          <w:p>
            <w:r>
              <w:rPr>
                <w:sz w:val="17"/>
              </w:rPr>
            </w:r>
            <w:r>
              <w:rPr>
                <w:sz w:val="17"/>
              </w:rPr>
              <w:t>No supervision; Art. 822 limits decennial liability to design defects (§8)</w:t>
            </w:r>
          </w:p>
        </w:tc>
      </w:tr>
    </w:tbl>
    <w:p/>
    <w:p>
      <w:pPr/>
      <w:r>
        <w:t>A change of model during the project (novation, added supervision, extension of time for supervision services, extra supervision staff) is a services variation logged in TRK-VO kind "Services variation" (</w:t>
      </w:r>
      <w:r>
        <w:rPr>
          <w:color w:val="9A7B45"/>
          <w:u w:val="single"/>
        </w:rPr>
        <w:t>BBM-STD-99</w:t>
      </w:r>
      <w:r>
        <w:t>) and approved in writing before the new work starts.</w:t>
      </w:r>
    </w:p>
    <w:p>
      <w:pPr>
        <w:pStyle w:val="Heading1"/>
      </w:pPr>
      <w:r>
        <w:t>4 Duties per stage</w:t>
      </w:r>
    </w:p>
    <w:p>
      <w:pPr>
        <w:pStyle w:val="Heading2"/>
      </w:pPr>
      <w:r>
        <w:t>4.1 Stage table</w:t>
      </w:r>
    </w:p>
    <w:p>
      <w:pPr/>
      <w:r>
        <w:t xml:space="preserve">Stages follow the RIBA Plan of Work 2020 and the gate families of </w:t>
      </w:r>
      <w:r>
        <w:rPr>
          <w:color w:val="9A7B45"/>
          <w:u w:val="single"/>
        </w:rPr>
        <w:t>BBM-STD-93</w:t>
      </w:r>
      <w:r>
        <w:t xml:space="preserve"> §6. The column "Trackers" names the </w:t>
      </w:r>
      <w:r>
        <w:rPr>
          <w:color w:val="9A7B45"/>
          <w:u w:val="single"/>
        </w:rPr>
        <w:t>BBM-STD-99</w:t>
      </w:r>
      <w:r>
        <w:t xml:space="preserve"> workbooks that hold the record.</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363"/>
        <w:gridCol w:w="1452"/>
        <w:gridCol w:w="4620"/>
        <w:gridCol w:w="1344"/>
        <w:gridCol w:w="1688"/>
      </w:tblGrid>
      <w:tr>
        <w:trPr>
          <w:cantSplit/>
          <w:tblHeader/>
        </w:trPr>
        <w:tc>
          <w:tcPr>
            <w:tcW w:type="dxa" w:w="1363"/>
            <w:shd w:val="clear" w:color="auto" w:fill="111113"/>
          </w:tcPr>
          <w:p>
            <w:r>
              <w:rPr>
                <w:b/>
                <w:color w:val="FFFFFF"/>
                <w:sz w:val="17"/>
              </w:rPr>
            </w:r>
            <w:r>
              <w:rPr>
                <w:b/>
                <w:color w:val="FFFFFF"/>
                <w:sz w:val="17"/>
              </w:rPr>
              <w:t>RIBA stage</w:t>
            </w:r>
          </w:p>
        </w:tc>
        <w:tc>
          <w:tcPr>
            <w:tcW w:type="dxa" w:w="1452"/>
            <w:shd w:val="clear" w:color="auto" w:fill="111113"/>
          </w:tcPr>
          <w:p>
            <w:r>
              <w:rPr>
                <w:b/>
                <w:color w:val="FFFFFF"/>
                <w:sz w:val="17"/>
              </w:rPr>
            </w:r>
            <w:r>
              <w:rPr>
                <w:b/>
                <w:color w:val="FFFFFF"/>
                <w:sz w:val="17"/>
              </w:rPr>
              <w:t>UAE stage /​ gate</w:t>
            </w:r>
          </w:p>
        </w:tc>
        <w:tc>
          <w:tcPr>
            <w:tcW w:type="dxa" w:w="4620"/>
            <w:shd w:val="clear" w:color="auto" w:fill="111113"/>
          </w:tcPr>
          <w:p>
            <w:r>
              <w:rPr>
                <w:b/>
                <w:color w:val="FFFFFF"/>
                <w:sz w:val="17"/>
              </w:rPr>
            </w:r>
            <w:r>
              <w:rPr>
                <w:b/>
                <w:color w:val="FFFFFF"/>
                <w:sz w:val="17"/>
              </w:rPr>
              <w:t>AOR duties</w:t>
            </w:r>
          </w:p>
        </w:tc>
        <w:tc>
          <w:tcPr>
            <w:tcW w:type="dxa" w:w="1344"/>
            <w:shd w:val="clear" w:color="auto" w:fill="111113"/>
          </w:tcPr>
          <w:p>
            <w:r>
              <w:rPr>
                <w:b/>
                <w:color w:val="FFFFFF"/>
                <w:sz w:val="17"/>
              </w:rPr>
            </w:r>
            <w:r>
              <w:rPr>
                <w:b/>
                <w:color w:val="FFFFFF"/>
                <w:sz w:val="17"/>
              </w:rPr>
              <w:t>Office records</w:t>
            </w:r>
          </w:p>
        </w:tc>
        <w:tc>
          <w:tcPr>
            <w:tcW w:type="dxa" w:w="1688"/>
            <w:shd w:val="clear" w:color="auto" w:fill="111113"/>
          </w:tcPr>
          <w:p>
            <w:r>
              <w:rPr>
                <w:b/>
                <w:color w:val="FFFFFF"/>
                <w:sz w:val="17"/>
              </w:rPr>
            </w:r>
            <w:r>
              <w:rPr>
                <w:b/>
                <w:color w:val="FFFFFF"/>
                <w:sz w:val="17"/>
              </w:rPr>
              <w:t>Trackers</w:t>
            </w:r>
          </w:p>
        </w:tc>
      </w:tr>
      <w:tr>
        <w:trPr>
          <w:cantSplit/>
        </w:trPr>
        <w:tc>
          <w:tcPr>
            <w:tcW w:type="dxa" w:w="1363"/>
          </w:tcPr>
          <w:p>
            <w:r>
              <w:rPr>
                <w:sz w:val="17"/>
              </w:rPr>
            </w:r>
            <w:r>
              <w:rPr>
                <w:sz w:val="17"/>
              </w:rPr>
              <w:t>0 Strategic definition</w:t>
            </w:r>
          </w:p>
        </w:tc>
        <w:tc>
          <w:tcPr>
            <w:tcW w:type="dxa" w:w="1452"/>
          </w:tcPr>
          <w:p>
            <w:r>
              <w:rPr>
                <w:sz w:val="17"/>
              </w:rPr>
            </w:r>
            <w:r>
              <w:rPr>
                <w:sz w:val="17"/>
              </w:rPr>
              <w:t>Feasibility</w:t>
            </w:r>
          </w:p>
        </w:tc>
        <w:tc>
          <w:tcPr>
            <w:tcW w:type="dxa" w:w="4620"/>
          </w:tcPr>
          <w:p>
            <w:r>
              <w:rPr>
                <w:sz w:val="17"/>
              </w:rPr>
            </w:r>
            <w:r>
              <w:rPr>
                <w:sz w:val="17"/>
              </w:rPr>
              <w:t>Jurisdiction test J1–J6 (BBM-STD-85 §2); confirm the office registration and classification category cover the building height and use; service model (§3)</w:t>
            </w:r>
          </w:p>
        </w:tc>
        <w:tc>
          <w:tcPr>
            <w:tcW w:type="dxa" w:w="1344"/>
          </w:tcPr>
          <w:p>
            <w:r>
              <w:rPr>
                <w:sz w:val="17"/>
              </w:rPr>
            </w:r>
            <w:r>
              <w:rPr>
                <w:sz w:val="17"/>
              </w:rPr>
              <w:t>Go/​no-go, contract review (QP-01)</w:t>
            </w:r>
          </w:p>
        </w:tc>
        <w:tc>
          <w:tcPr>
            <w:tcW w:type="dxa" w:w="1688"/>
          </w:tcPr>
          <w:p>
            <w:r>
              <w:rPr>
                <w:sz w:val="17"/>
              </w:rPr>
            </w:r>
            <w:r>
              <w:rPr>
                <w:sz w:val="17"/>
              </w:rPr>
              <w:t>TRK-NOC (Unverified rows), TRK-DEL</w:t>
            </w:r>
          </w:p>
        </w:tc>
      </w:tr>
      <w:tr>
        <w:trPr>
          <w:cantSplit/>
        </w:trPr>
        <w:tc>
          <w:tcPr>
            <w:tcW w:type="dxa" w:w="1363"/>
          </w:tcPr>
          <w:p>
            <w:r>
              <w:rPr>
                <w:sz w:val="17"/>
              </w:rPr>
            </w:r>
            <w:r>
              <w:rPr>
                <w:sz w:val="17"/>
              </w:rPr>
              <w:t>1 Preparation and briefing</w:t>
            </w:r>
          </w:p>
        </w:tc>
        <w:tc>
          <w:tcPr>
            <w:tcW w:type="dxa" w:w="1452"/>
          </w:tcPr>
          <w:p>
            <w:r>
              <w:rPr>
                <w:sz w:val="17"/>
              </w:rPr>
            </w:r>
            <w:r>
              <w:rPr>
                <w:sz w:val="17"/>
              </w:rPr>
              <w:t>Project registration, site data</w:t>
            </w:r>
          </w:p>
        </w:tc>
        <w:tc>
          <w:tcPr>
            <w:tcW w:type="dxa" w:w="4620"/>
          </w:tcPr>
          <w:p>
            <w:r>
              <w:rPr>
                <w:sz w:val="17"/>
              </w:rPr>
            </w:r>
            <w:r>
              <w:rPr>
                <w:sz w:val="17"/>
              </w:rPr>
              <w:t>Register the project on the authority portal; obtain site plan, affection plan, topographic and geotechnical scopes; open the authority sequence (§5)</w:t>
            </w:r>
          </w:p>
        </w:tc>
        <w:tc>
          <w:tcPr>
            <w:tcW w:type="dxa" w:w="1344"/>
          </w:tcPr>
          <w:p>
            <w:r>
              <w:rPr>
                <w:sz w:val="17"/>
              </w:rPr>
            </w:r>
            <w:r>
              <w:rPr>
                <w:sz w:val="17"/>
              </w:rPr>
              <w:t>Brief, BoD (</w:t>
            </w:r>
            <w:r>
              <w:rPr>
                <w:color w:val="9A7B45"/>
                <w:sz w:val="17"/>
                <w:u w:val="single"/>
              </w:rPr>
              <w:t>BBM-STD-12</w:t>
            </w:r>
            <w:r>
              <w:rPr>
                <w:sz w:val="17"/>
              </w:rPr>
              <w:t>)</w:t>
            </w:r>
          </w:p>
        </w:tc>
        <w:tc>
          <w:tcPr>
            <w:tcW w:type="dxa" w:w="1688"/>
          </w:tcPr>
          <w:p>
            <w:r>
              <w:rPr>
                <w:sz w:val="17"/>
              </w:rPr>
            </w:r>
            <w:r>
              <w:rPr>
                <w:sz w:val="17"/>
              </w:rPr>
              <w:t>TRK-NOC, TRK-MOM</w:t>
            </w:r>
          </w:p>
        </w:tc>
      </w:tr>
      <w:tr>
        <w:trPr>
          <w:cantSplit/>
        </w:trPr>
        <w:tc>
          <w:tcPr>
            <w:tcW w:type="dxa" w:w="1363"/>
          </w:tcPr>
          <w:p>
            <w:r>
              <w:rPr>
                <w:sz w:val="17"/>
              </w:rPr>
            </w:r>
            <w:r>
              <w:rPr>
                <w:sz w:val="17"/>
              </w:rPr>
              <w:t>2 Concept design</w:t>
            </w:r>
          </w:p>
        </w:tc>
        <w:tc>
          <w:tcPr>
            <w:tcW w:type="dxa" w:w="1452"/>
          </w:tcPr>
          <w:p>
            <w:r>
              <w:rPr>
                <w:sz w:val="17"/>
              </w:rPr>
            </w:r>
            <w:r>
              <w:rPr>
                <w:sz w:val="17"/>
              </w:rPr>
              <w:t>Concept /​ planning approval (G1)</w:t>
            </w:r>
          </w:p>
        </w:tc>
        <w:tc>
          <w:tcPr>
            <w:tcW w:type="dxa" w:w="4620"/>
          </w:tcPr>
          <w:p>
            <w:r>
              <w:rPr>
                <w:sz w:val="17"/>
              </w:rPr>
            </w:r>
            <w:r>
              <w:rPr>
                <w:sz w:val="17"/>
              </w:rPr>
              <w:t>Concept submission and planning conformity; utility capacity enquiries; master-developer concept NOC where applicable; review of the design-architect concept (M2)</w:t>
            </w:r>
          </w:p>
        </w:tc>
        <w:tc>
          <w:tcPr>
            <w:tcW w:type="dxa" w:w="1344"/>
          </w:tcPr>
          <w:p>
            <w:r>
              <w:rPr>
                <w:sz w:val="17"/>
              </w:rPr>
            </w:r>
            <w:r>
              <w:rPr>
                <w:sz w:val="17"/>
              </w:rPr>
              <w:t>Concept report, comment responses</w:t>
            </w:r>
          </w:p>
        </w:tc>
        <w:tc>
          <w:tcPr>
            <w:tcW w:type="dxa" w:w="1688"/>
          </w:tcPr>
          <w:p>
            <w:r>
              <w:rPr>
                <w:sz w:val="17"/>
              </w:rPr>
            </w:r>
            <w:r>
              <w:rPr>
                <w:sz w:val="17"/>
              </w:rPr>
              <w:t>TRK-NOC, TRK-CMT, TRK-DCN</w:t>
            </w:r>
          </w:p>
        </w:tc>
      </w:tr>
      <w:tr>
        <w:trPr>
          <w:cantSplit/>
        </w:trPr>
        <w:tc>
          <w:tcPr>
            <w:tcW w:type="dxa" w:w="1363"/>
          </w:tcPr>
          <w:p>
            <w:r>
              <w:rPr>
                <w:sz w:val="17"/>
              </w:rPr>
            </w:r>
            <w:r>
              <w:rPr>
                <w:sz w:val="17"/>
              </w:rPr>
              <w:t>3 Spatial coordination</w:t>
            </w:r>
          </w:p>
        </w:tc>
        <w:tc>
          <w:tcPr>
            <w:tcW w:type="dxa" w:w="1452"/>
          </w:tcPr>
          <w:p>
            <w:r>
              <w:rPr>
                <w:sz w:val="17"/>
              </w:rPr>
            </w:r>
            <w:r>
              <w:rPr>
                <w:sz w:val="17"/>
              </w:rPr>
              <w:t>Preparatory approvals and NOCs</w:t>
            </w:r>
          </w:p>
        </w:tc>
        <w:tc>
          <w:tcPr>
            <w:tcW w:type="dxa" w:w="4620"/>
          </w:tcPr>
          <w:p>
            <w:r>
              <w:rPr>
                <w:sz w:val="17"/>
              </w:rPr>
            </w:r>
            <w:r>
              <w:rPr>
                <w:sz w:val="17"/>
              </w:rPr>
              <w:t>Civil Defence, power and water demand, telecom, sewerage, access and traffic NOCs; coordinated design freeze</w:t>
            </w:r>
          </w:p>
        </w:tc>
        <w:tc>
          <w:tcPr>
            <w:tcW w:type="dxa" w:w="1344"/>
          </w:tcPr>
          <w:p>
            <w:r>
              <w:rPr>
                <w:sz w:val="17"/>
              </w:rPr>
            </w:r>
            <w:r>
              <w:rPr>
                <w:sz w:val="17"/>
              </w:rPr>
              <w:t>NOC decisions with conditions</w:t>
            </w:r>
          </w:p>
        </w:tc>
        <w:tc>
          <w:tcPr>
            <w:tcW w:type="dxa" w:w="1688"/>
          </w:tcPr>
          <w:p>
            <w:r>
              <w:rPr>
                <w:sz w:val="17"/>
              </w:rPr>
            </w:r>
            <w:r>
              <w:rPr>
                <w:sz w:val="17"/>
              </w:rPr>
              <w:t>TRK-NOC, TRK-CMT, TRK-DCN</w:t>
            </w:r>
          </w:p>
        </w:tc>
      </w:tr>
      <w:tr>
        <w:trPr>
          <w:cantSplit/>
        </w:trPr>
        <w:tc>
          <w:tcPr>
            <w:tcW w:type="dxa" w:w="1363"/>
          </w:tcPr>
          <w:p>
            <w:r>
              <w:rPr>
                <w:sz w:val="17"/>
              </w:rPr>
            </w:r>
            <w:r>
              <w:rPr>
                <w:sz w:val="17"/>
              </w:rPr>
              <w:t>4 Technical design</w:t>
            </w:r>
          </w:p>
        </w:tc>
        <w:tc>
          <w:tcPr>
            <w:tcW w:type="dxa" w:w="1452"/>
          </w:tcPr>
          <w:p>
            <w:r>
              <w:rPr>
                <w:sz w:val="17"/>
              </w:rPr>
            </w:r>
            <w:r>
              <w:rPr>
                <w:sz w:val="17"/>
              </w:rPr>
              <w:t>Building permit /​ final design (G2)</w:t>
            </w:r>
          </w:p>
        </w:tc>
        <w:tc>
          <w:tcPr>
            <w:tcW w:type="dxa" w:w="4620"/>
          </w:tcPr>
          <w:p>
            <w:r>
              <w:rPr>
                <w:sz w:val="17"/>
              </w:rPr>
            </w:r>
            <w:r>
              <w:rPr>
                <w:sz w:val="17"/>
              </w:rPr>
              <w:t>Permit packages per discipline signed by registered engineers; authority comments answered; IFC issue; tender documents</w:t>
            </w:r>
          </w:p>
        </w:tc>
        <w:tc>
          <w:tcPr>
            <w:tcW w:type="dxa" w:w="1344"/>
          </w:tcPr>
          <w:p>
            <w:r>
              <w:rPr>
                <w:sz w:val="17"/>
              </w:rPr>
            </w:r>
            <w:r>
              <w:rPr>
                <w:sz w:val="17"/>
              </w:rPr>
              <w:t>Permit drawings, specification, IFC transmittal</w:t>
            </w:r>
          </w:p>
        </w:tc>
        <w:tc>
          <w:tcPr>
            <w:tcW w:type="dxa" w:w="1688"/>
          </w:tcPr>
          <w:p>
            <w:r>
              <w:rPr>
                <w:sz w:val="17"/>
              </w:rPr>
            </w:r>
            <w:r>
              <w:rPr>
                <w:sz w:val="17"/>
              </w:rPr>
              <w:t>TRK-NOC, TRK-DWG, TRK-CMT, TRK-DEL</w:t>
            </w:r>
          </w:p>
        </w:tc>
      </w:tr>
      <w:tr>
        <w:trPr>
          <w:cantSplit/>
        </w:trPr>
        <w:tc>
          <w:tcPr>
            <w:tcW w:type="dxa" w:w="1363"/>
          </w:tcPr>
          <w:p>
            <w:r>
              <w:rPr>
                <w:sz w:val="17"/>
              </w:rPr>
            </w:r>
            <w:r>
              <w:rPr>
                <w:sz w:val="17"/>
              </w:rPr>
              <w:t>5 Manufacturing and construction</w:t>
            </w:r>
          </w:p>
        </w:tc>
        <w:tc>
          <w:tcPr>
            <w:tcW w:type="dxa" w:w="1452"/>
          </w:tcPr>
          <w:p>
            <w:r>
              <w:rPr>
                <w:sz w:val="17"/>
              </w:rPr>
            </w:r>
            <w:r>
              <w:rPr>
                <w:sz w:val="17"/>
              </w:rPr>
              <w:t>Construction activity (G3)</w:t>
            </w:r>
          </w:p>
        </w:tc>
        <w:tc>
          <w:tcPr>
            <w:tcW w:type="dxa" w:w="4620"/>
          </w:tcPr>
          <w:p>
            <w:r>
              <w:rPr>
                <w:sz w:val="17"/>
              </w:rPr>
            </w:r>
            <w:r>
              <w:rPr>
                <w:sz w:val="17"/>
              </w:rPr>
              <w:t>Supervision under QP-09: submittals, RFIs, site instructions, inspections, NCRs, variations, progress meetings; phase notices and joint phase reports in Abu Dhabi; authority inspections</w:t>
            </w:r>
          </w:p>
        </w:tc>
        <w:tc>
          <w:tcPr>
            <w:tcW w:type="dxa" w:w="1344"/>
          </w:tcPr>
          <w:p>
            <w:r>
              <w:rPr>
                <w:sz w:val="17"/>
              </w:rPr>
            </w:r>
            <w:r>
              <w:rPr>
                <w:sz w:val="17"/>
              </w:rPr>
              <w:t>Site visit reports, decisions, certificates</w:t>
            </w:r>
          </w:p>
        </w:tc>
        <w:tc>
          <w:tcPr>
            <w:tcW w:type="dxa" w:w="1688"/>
          </w:tcPr>
          <w:p>
            <w:r>
              <w:rPr>
                <w:sz w:val="17"/>
              </w:rPr>
            </w:r>
            <w:r>
              <w:rPr>
                <w:sz w:val="17"/>
              </w:rPr>
              <w:t>TRK-SUB, TRK-RFI, TRK-SI, TRK-IR, TRK-NCR, TRK-VO, TRK-MOM, TRK-DWG</w:t>
            </w:r>
          </w:p>
        </w:tc>
      </w:tr>
      <w:tr>
        <w:trPr>
          <w:cantSplit/>
        </w:trPr>
        <w:tc>
          <w:tcPr>
            <w:tcW w:type="dxa" w:w="1363"/>
          </w:tcPr>
          <w:p>
            <w:r>
              <w:rPr>
                <w:sz w:val="17"/>
              </w:rPr>
            </w:r>
            <w:r>
              <w:rPr>
                <w:sz w:val="17"/>
              </w:rPr>
              <w:t>6 Handover</w:t>
            </w:r>
          </w:p>
        </w:tc>
        <w:tc>
          <w:tcPr>
            <w:tcW w:type="dxa" w:w="1452"/>
          </w:tcPr>
          <w:p>
            <w:r>
              <w:rPr>
                <w:sz w:val="17"/>
              </w:rPr>
            </w:r>
            <w:r>
              <w:rPr>
                <w:sz w:val="17"/>
              </w:rPr>
              <w:t>Completion /​ occupancy (G4)</w:t>
            </w:r>
          </w:p>
        </w:tc>
        <w:tc>
          <w:tcPr>
            <w:tcW w:type="dxa" w:w="4620"/>
          </w:tcPr>
          <w:p>
            <w:r>
              <w:rPr>
                <w:sz w:val="17"/>
              </w:rPr>
            </w:r>
            <w:r>
              <w:rPr>
                <w:sz w:val="17"/>
              </w:rPr>
              <w:t>Snagging, testing and commissioning results, authority completion inspections, consultant approval of the completion certificate, taking-over certificate, as-built drawings and O&amp;M review</w:t>
            </w:r>
          </w:p>
        </w:tc>
        <w:tc>
          <w:tcPr>
            <w:tcW w:type="dxa" w:w="1344"/>
          </w:tcPr>
          <w:p>
            <w:r>
              <w:rPr>
                <w:sz w:val="17"/>
              </w:rPr>
            </w:r>
            <w:r>
              <w:rPr>
                <w:sz w:val="17"/>
              </w:rPr>
              <w:t>Completion approval, taking-over certificate</w:t>
            </w:r>
          </w:p>
        </w:tc>
        <w:tc>
          <w:tcPr>
            <w:tcW w:type="dxa" w:w="1688"/>
          </w:tcPr>
          <w:p>
            <w:r>
              <w:rPr>
                <w:sz w:val="17"/>
              </w:rPr>
            </w:r>
            <w:r>
              <w:rPr>
                <w:sz w:val="17"/>
              </w:rPr>
              <w:t>TRK-HO, TRK-NOC, TRK-NCR</w:t>
            </w:r>
          </w:p>
        </w:tc>
      </w:tr>
      <w:tr>
        <w:trPr>
          <w:cantSplit/>
        </w:trPr>
        <w:tc>
          <w:tcPr>
            <w:tcW w:type="dxa" w:w="1363"/>
          </w:tcPr>
          <w:p>
            <w:r>
              <w:rPr>
                <w:sz w:val="17"/>
              </w:rPr>
            </w:r>
            <w:r>
              <w:rPr>
                <w:sz w:val="17"/>
              </w:rPr>
              <w:t>7 Use</w:t>
            </w:r>
          </w:p>
        </w:tc>
        <w:tc>
          <w:tcPr>
            <w:tcW w:type="dxa" w:w="1452"/>
          </w:tcPr>
          <w:p>
            <w:r>
              <w:rPr>
                <w:sz w:val="17"/>
              </w:rPr>
            </w:r>
            <w:r>
              <w:rPr>
                <w:sz w:val="17"/>
              </w:rPr>
              <w:t>Defects liability, use /​ renewal (G5)</w:t>
            </w:r>
          </w:p>
        </w:tc>
        <w:tc>
          <w:tcPr>
            <w:tcW w:type="dxa" w:w="4620"/>
          </w:tcPr>
          <w:p>
            <w:r>
              <w:rPr>
                <w:sz w:val="17"/>
              </w:rPr>
            </w:r>
            <w:r>
              <w:rPr>
                <w:sz w:val="17"/>
              </w:rPr>
              <w:t>Defects inspections, final handing-over certificate, decennial records kept (§8)</w:t>
            </w:r>
          </w:p>
        </w:tc>
        <w:tc>
          <w:tcPr>
            <w:tcW w:type="dxa" w:w="1344"/>
          </w:tcPr>
          <w:p>
            <w:r>
              <w:rPr>
                <w:sz w:val="17"/>
              </w:rPr>
            </w:r>
            <w:r>
              <w:rPr>
                <w:sz w:val="17"/>
              </w:rPr>
              <w:t>Final certificate, closeout</w:t>
            </w:r>
          </w:p>
        </w:tc>
        <w:tc>
          <w:tcPr>
            <w:tcW w:type="dxa" w:w="1688"/>
          </w:tcPr>
          <w:p>
            <w:r>
              <w:rPr>
                <w:sz w:val="17"/>
              </w:rPr>
            </w:r>
            <w:r>
              <w:rPr>
                <w:sz w:val="17"/>
              </w:rPr>
              <w:t>TRK-HO</w:t>
            </w:r>
          </w:p>
        </w:tc>
      </w:tr>
    </w:tbl>
    <w:p/>
    <w:p>
      <w:pPr>
        <w:pStyle w:val="Heading2"/>
      </w:pPr>
      <w:r>
        <w:t>4.2 AOR review of other parties' design</w:t>
      </w:r>
    </w:p>
    <w:p>
      <w:pPr/>
      <w:r>
        <w:t>When the office is AOR for information it did not author (model M2, sub-consultants, contractor design portions), it reviews before it adopts, and records the review in TRK-CMT. Each comment carries the five-level classification the office's clients already use (</w:t>
      </w:r>
      <w:r>
        <w:rPr>
          <w:color w:val="9A7B45"/>
          <w:u w:val="single"/>
        </w:rPr>
        <w:t>O-DEC-173</w:t>
      </w:r>
      <w:r>
        <w: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032"/>
        <w:gridCol w:w="5315"/>
        <w:gridCol w:w="4119"/>
      </w:tblGrid>
      <w:tr>
        <w:trPr>
          <w:cantSplit/>
          <w:tblHeader/>
        </w:trPr>
        <w:tc>
          <w:tcPr>
            <w:tcW w:type="dxa" w:w="1032"/>
            <w:shd w:val="clear" w:color="auto" w:fill="111113"/>
          </w:tcPr>
          <w:p>
            <w:r>
              <w:rPr>
                <w:b/>
                <w:color w:val="FFFFFF"/>
                <w:sz w:val="17"/>
              </w:rPr>
            </w:r>
            <w:r>
              <w:rPr>
                <w:b/>
                <w:color w:val="FFFFFF"/>
                <w:sz w:val="17"/>
              </w:rPr>
              <w:t>Level</w:t>
            </w:r>
          </w:p>
        </w:tc>
        <w:tc>
          <w:tcPr>
            <w:tcW w:type="dxa" w:w="5315"/>
            <w:shd w:val="clear" w:color="auto" w:fill="111113"/>
          </w:tcPr>
          <w:p>
            <w:r>
              <w:rPr>
                <w:b/>
                <w:color w:val="FFFFFF"/>
                <w:sz w:val="17"/>
              </w:rPr>
            </w:r>
            <w:r>
              <w:rPr>
                <w:b/>
                <w:color w:val="FFFFFF"/>
                <w:sz w:val="17"/>
              </w:rPr>
              <w:t>Meaning</w:t>
            </w:r>
          </w:p>
        </w:tc>
        <w:tc>
          <w:tcPr>
            <w:tcW w:type="dxa" w:w="4119"/>
            <w:shd w:val="clear" w:color="auto" w:fill="111113"/>
          </w:tcPr>
          <w:p>
            <w:r>
              <w:rPr>
                <w:b/>
                <w:color w:val="FFFFFF"/>
                <w:sz w:val="17"/>
              </w:rPr>
            </w:r>
            <w:r>
              <w:rPr>
                <w:b/>
                <w:color w:val="FFFFFF"/>
                <w:sz w:val="17"/>
              </w:rPr>
              <w:t>Effect</w:t>
            </w:r>
          </w:p>
        </w:tc>
      </w:tr>
      <w:tr>
        <w:trPr>
          <w:cantSplit/>
        </w:trPr>
        <w:tc>
          <w:tcPr>
            <w:tcW w:type="dxa" w:w="1032"/>
          </w:tcPr>
          <w:p>
            <w:r>
              <w:rPr>
                <w:sz w:val="17"/>
              </w:rPr>
            </w:r>
            <w:r>
              <w:rPr>
                <w:sz w:val="17"/>
              </w:rPr>
              <w:t>0 Rejected</w:t>
            </w:r>
          </w:p>
        </w:tc>
        <w:tc>
          <w:tcPr>
            <w:tcW w:type="dxa" w:w="5315"/>
          </w:tcPr>
          <w:p>
            <w:r>
              <w:rPr>
                <w:sz w:val="17"/>
              </w:rPr>
            </w:r>
            <w:r>
              <w:rPr>
                <w:sz w:val="17"/>
              </w:rPr>
              <w:t>Non-compliant with the brief, code or scope; immediate action</w:t>
            </w:r>
          </w:p>
        </w:tc>
        <w:tc>
          <w:tcPr>
            <w:tcW w:type="dxa" w:w="4119"/>
          </w:tcPr>
          <w:p>
            <w:r>
              <w:rPr>
                <w:sz w:val="17"/>
              </w:rPr>
            </w:r>
            <w:r>
              <w:rPr>
                <w:sz w:val="17"/>
              </w:rPr>
              <w:t>Package not adopted; no signature</w:t>
            </w:r>
          </w:p>
        </w:tc>
      </w:tr>
      <w:tr>
        <w:trPr>
          <w:cantSplit/>
        </w:trPr>
        <w:tc>
          <w:tcPr>
            <w:tcW w:type="dxa" w:w="1032"/>
          </w:tcPr>
          <w:p>
            <w:r>
              <w:rPr>
                <w:sz w:val="17"/>
              </w:rPr>
            </w:r>
            <w:r>
              <w:rPr>
                <w:sz w:val="17"/>
              </w:rPr>
              <w:t>1 Significant</w:t>
            </w:r>
          </w:p>
        </w:tc>
        <w:tc>
          <w:tcPr>
            <w:tcW w:type="dxa" w:w="5315"/>
          </w:tcPr>
          <w:p>
            <w:r>
              <w:rPr>
                <w:sz w:val="17"/>
              </w:rPr>
            </w:r>
            <w:r>
              <w:rPr>
                <w:sz w:val="17"/>
              </w:rPr>
              <w:t>Response and corrective action required, or an agreed mitigation plan and date</w:t>
            </w:r>
          </w:p>
        </w:tc>
        <w:tc>
          <w:tcPr>
            <w:tcW w:type="dxa" w:w="4119"/>
          </w:tcPr>
          <w:p>
            <w:r>
              <w:rPr>
                <w:sz w:val="17"/>
              </w:rPr>
            </w:r>
            <w:r>
              <w:rPr>
                <w:sz w:val="17"/>
              </w:rPr>
              <w:t>Package not adopted until resolved</w:t>
            </w:r>
          </w:p>
        </w:tc>
      </w:tr>
      <w:tr>
        <w:trPr>
          <w:cantSplit/>
        </w:trPr>
        <w:tc>
          <w:tcPr>
            <w:tcW w:type="dxa" w:w="1032"/>
          </w:tcPr>
          <w:p>
            <w:r>
              <w:rPr>
                <w:sz w:val="17"/>
              </w:rPr>
            </w:r>
            <w:r>
              <w:rPr>
                <w:sz w:val="17"/>
              </w:rPr>
              <w:t>2 Minor</w:t>
            </w:r>
          </w:p>
        </w:tc>
        <w:tc>
          <w:tcPr>
            <w:tcW w:type="dxa" w:w="5315"/>
          </w:tcPr>
          <w:p>
            <w:r>
              <w:rPr>
                <w:sz w:val="17"/>
              </w:rPr>
            </w:r>
            <w:r>
              <w:rPr>
                <w:sz w:val="17"/>
              </w:rPr>
              <w:t>Response required; may be closed at the next stage</w:t>
            </w:r>
          </w:p>
        </w:tc>
        <w:tc>
          <w:tcPr>
            <w:tcW w:type="dxa" w:w="4119"/>
          </w:tcPr>
          <w:p>
            <w:r>
              <w:rPr>
                <w:sz w:val="17"/>
              </w:rPr>
            </w:r>
            <w:r>
              <w:rPr>
                <w:sz w:val="17"/>
              </w:rPr>
              <w:t>Package may proceed; a Level 2 not answered at the next review becomes Level 1</w:t>
            </w:r>
          </w:p>
        </w:tc>
      </w:tr>
      <w:tr>
        <w:trPr>
          <w:cantSplit/>
        </w:trPr>
        <w:tc>
          <w:tcPr>
            <w:tcW w:type="dxa" w:w="1032"/>
          </w:tcPr>
          <w:p>
            <w:r>
              <w:rPr>
                <w:sz w:val="17"/>
              </w:rPr>
            </w:r>
            <w:r>
              <w:rPr>
                <w:sz w:val="17"/>
              </w:rPr>
              <w:t>3 Closed</w:t>
            </w:r>
          </w:p>
        </w:tc>
        <w:tc>
          <w:tcPr>
            <w:tcW w:type="dxa" w:w="5315"/>
          </w:tcPr>
          <w:p>
            <w:r>
              <w:rPr>
                <w:sz w:val="17"/>
              </w:rPr>
            </w:r>
            <w:r>
              <w:rPr>
                <w:sz w:val="17"/>
              </w:rPr>
              <w:t>Satisfactory response received</w:t>
            </w:r>
          </w:p>
        </w:tc>
        <w:tc>
          <w:tcPr>
            <w:tcW w:type="dxa" w:w="4119"/>
          </w:tcPr>
          <w:p>
            <w:r>
              <w:rPr>
                <w:sz w:val="17"/>
              </w:rPr>
            </w:r>
            <w:r>
              <w:rPr>
                <w:sz w:val="17"/>
              </w:rPr>
              <w:t>Closed</w:t>
            </w:r>
          </w:p>
        </w:tc>
      </w:tr>
      <w:tr>
        <w:trPr>
          <w:cantSplit/>
        </w:trPr>
        <w:tc>
          <w:tcPr>
            <w:tcW w:type="dxa" w:w="1032"/>
          </w:tcPr>
          <w:p>
            <w:r>
              <w:rPr>
                <w:sz w:val="17"/>
              </w:rPr>
            </w:r>
            <w:r>
              <w:rPr>
                <w:sz w:val="17"/>
              </w:rPr>
              <w:t>4 Note</w:t>
            </w:r>
          </w:p>
        </w:tc>
        <w:tc>
          <w:tcPr>
            <w:tcW w:type="dxa" w:w="5315"/>
          </w:tcPr>
          <w:p>
            <w:r>
              <w:rPr>
                <w:sz w:val="17"/>
              </w:rPr>
            </w:r>
            <w:r>
              <w:rPr>
                <w:sz w:val="17"/>
              </w:rPr>
              <w:t>Editorial; no response needed</w:t>
            </w:r>
          </w:p>
        </w:tc>
        <w:tc>
          <w:tcPr>
            <w:tcW w:type="dxa" w:w="4119"/>
          </w:tcPr>
          <w:p>
            <w:r>
              <w:rPr>
                <w:sz w:val="17"/>
              </w:rPr>
            </w:r>
            <w:r>
              <w:rPr>
                <w:sz w:val="17"/>
              </w:rPr>
              <w:t>Information</w:t>
            </w:r>
          </w:p>
        </w:tc>
      </w:tr>
    </w:tbl>
    <w:p/>
    <w:p>
      <w:pPr/>
      <w:r>
        <w:t>The AOR stamps a drawing, report or model only when its review is recorded, no Level 0 or Level 1 comment is open on that container, and the registered engineer of the discipline has checked it (</w:t>
      </w:r>
      <w:r>
        <w:rPr>
          <w:color w:val="9A7B45"/>
          <w:u w:val="single"/>
        </w:rPr>
        <w:t>O-DEC-172</w:t>
      </w:r>
      <w:r>
        <w:t>).</w:t>
      </w:r>
    </w:p>
    <w:p>
      <w:pPr>
        <w:pStyle w:val="Heading1"/>
      </w:pPr>
      <w:r>
        <w:t>5 Authority interface and NOCs</w:t>
      </w:r>
    </w:p>
    <w:p>
      <w:pPr/>
      <w:r>
        <w:t xml:space="preserve">The AOR is the office's single interface to the authorities for the appointment. The authority liaison prepares, the consultant of record signs, the portal submitter uploads and the LAP authorises (QP-07). The sequence below is the one the office's authority tracking sheets already follow; every line is a row in TRK-NOC, which is the </w:t>
      </w:r>
      <w:r>
        <w:rPr>
          <w:color w:val="9A7B45"/>
          <w:u w:val="single"/>
        </w:rPr>
        <w:t>BBM-STD-57</w:t>
      </w:r>
      <w:r>
        <w:t xml:space="preserve"> §4 submission register in working form (</w:t>
      </w:r>
      <w:r>
        <w:rPr>
          <w:color w:val="9A7B45"/>
          <w:u w:val="single"/>
        </w:rPr>
        <w:t>O-DEC-178</w:t>
      </w:r>
      <w:r>
        <w:t xml:space="preserve">). Requirements, checklists and portals are in </w:t>
      </w:r>
      <w:r>
        <w:rPr>
          <w:color w:val="9A7B45"/>
          <w:u w:val="single"/>
        </w:rPr>
        <w:t>BBM-STD-85</w:t>
      </w:r>
      <w:r>
        <w:t>; this table only orders them.</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507"/>
        <w:gridCol w:w="1332"/>
        <w:gridCol w:w="4929"/>
        <w:gridCol w:w="3697"/>
      </w:tblGrid>
      <w:tr>
        <w:trPr>
          <w:cantSplit/>
          <w:tblHeader/>
        </w:trPr>
        <w:tc>
          <w:tcPr>
            <w:tcW w:type="dxa" w:w="507"/>
            <w:shd w:val="clear" w:color="auto" w:fill="111113"/>
          </w:tcPr>
          <w:p>
            <w:r>
              <w:rPr>
                <w:b/>
                <w:color w:val="FFFFFF"/>
                <w:sz w:val="17"/>
              </w:rPr>
            </w:r>
            <w:r>
              <w:rPr>
                <w:b/>
                <w:color w:val="FFFFFF"/>
                <w:sz w:val="17"/>
              </w:rPr>
              <w:t>Step</w:t>
            </w:r>
          </w:p>
        </w:tc>
        <w:tc>
          <w:tcPr>
            <w:tcW w:type="dxa" w:w="1332"/>
            <w:shd w:val="clear" w:color="auto" w:fill="111113"/>
          </w:tcPr>
          <w:p>
            <w:r>
              <w:rPr>
                <w:b/>
                <w:color w:val="FFFFFF"/>
                <w:sz w:val="17"/>
              </w:rPr>
            </w:r>
            <w:r>
              <w:rPr>
                <w:b/>
                <w:color w:val="FFFFFF"/>
                <w:sz w:val="17"/>
              </w:rPr>
              <w:t>Group</w:t>
            </w:r>
          </w:p>
        </w:tc>
        <w:tc>
          <w:tcPr>
            <w:tcW w:type="dxa" w:w="4929"/>
            <w:shd w:val="clear" w:color="auto" w:fill="111113"/>
          </w:tcPr>
          <w:p>
            <w:r>
              <w:rPr>
                <w:b/>
                <w:color w:val="FFFFFF"/>
                <w:sz w:val="17"/>
              </w:rPr>
            </w:r>
            <w:r>
              <w:rPr>
                <w:b/>
                <w:color w:val="FFFFFF"/>
                <w:sz w:val="17"/>
              </w:rPr>
              <w:t>Abu Dhabi (typical)</w:t>
            </w:r>
          </w:p>
        </w:tc>
        <w:tc>
          <w:tcPr>
            <w:tcW w:type="dxa" w:w="3697"/>
            <w:shd w:val="clear" w:color="auto" w:fill="111113"/>
          </w:tcPr>
          <w:p>
            <w:r>
              <w:rPr>
                <w:b/>
                <w:color w:val="FFFFFF"/>
                <w:sz w:val="17"/>
              </w:rPr>
            </w:r>
            <w:r>
              <w:rPr>
                <w:b/>
                <w:color w:val="FFFFFF"/>
                <w:sz w:val="17"/>
              </w:rPr>
              <w:t>Dubai (typical)</w:t>
            </w:r>
          </w:p>
        </w:tc>
      </w:tr>
      <w:tr>
        <w:trPr>
          <w:cantSplit/>
        </w:trPr>
        <w:tc>
          <w:tcPr>
            <w:tcW w:type="dxa" w:w="507"/>
          </w:tcPr>
          <w:p>
            <w:r>
              <w:rPr>
                <w:sz w:val="17"/>
              </w:rPr>
            </w:r>
            <w:r>
              <w:rPr>
                <w:sz w:val="17"/>
              </w:rPr>
              <w:t>1</w:t>
            </w:r>
          </w:p>
        </w:tc>
        <w:tc>
          <w:tcPr>
            <w:tcW w:type="dxa" w:w="1332"/>
          </w:tcPr>
          <w:p>
            <w:r>
              <w:rPr>
                <w:sz w:val="17"/>
              </w:rPr>
            </w:r>
            <w:r>
              <w:rPr>
                <w:sz w:val="17"/>
              </w:rPr>
              <w:t>Project registration</w:t>
            </w:r>
          </w:p>
        </w:tc>
        <w:tc>
          <w:tcPr>
            <w:tcW w:type="dxa" w:w="4929"/>
          </w:tcPr>
          <w:p>
            <w:r>
              <w:rPr>
                <w:sz w:val="17"/>
              </w:rPr>
            </w:r>
            <w:r>
              <w:rPr>
                <w:sz w:val="17"/>
              </w:rPr>
              <w:t>MePS /​ Binaa project registration and authorisation letter</w:t>
            </w:r>
          </w:p>
        </w:tc>
        <w:tc>
          <w:tcPr>
            <w:tcW w:type="dxa" w:w="3697"/>
          </w:tcPr>
          <w:p>
            <w:r>
              <w:rPr>
                <w:sz w:val="17"/>
              </w:rPr>
            </w:r>
            <w:r>
              <w:rPr>
                <w:sz w:val="17"/>
              </w:rPr>
              <w:t>DM building permit system registration (or DDA, Trakhees or the other competent entity)</w:t>
            </w:r>
          </w:p>
        </w:tc>
      </w:tr>
      <w:tr>
        <w:trPr>
          <w:cantSplit/>
        </w:trPr>
        <w:tc>
          <w:tcPr>
            <w:tcW w:type="dxa" w:w="507"/>
          </w:tcPr>
          <w:p>
            <w:r>
              <w:rPr>
                <w:sz w:val="17"/>
              </w:rPr>
            </w:r>
            <w:r>
              <w:rPr>
                <w:sz w:val="17"/>
              </w:rPr>
              <w:t>2</w:t>
            </w:r>
          </w:p>
        </w:tc>
        <w:tc>
          <w:tcPr>
            <w:tcW w:type="dxa" w:w="1332"/>
          </w:tcPr>
          <w:p>
            <w:r>
              <w:rPr>
                <w:sz w:val="17"/>
              </w:rPr>
            </w:r>
            <w:r>
              <w:rPr>
                <w:sz w:val="17"/>
              </w:rPr>
              <w:t>Studies</w:t>
            </w:r>
          </w:p>
        </w:tc>
        <w:tc>
          <w:tcPr>
            <w:tcW w:type="dxa" w:w="4929"/>
          </w:tcPr>
          <w:p>
            <w:r>
              <w:rPr>
                <w:sz w:val="17"/>
              </w:rPr>
            </w:r>
            <w:r>
              <w:rPr>
                <w:sz w:val="17"/>
              </w:rPr>
              <w:t>Topographic survey, geotechnical investigation (work permit), spatial data, existing services</w:t>
            </w:r>
          </w:p>
        </w:tc>
        <w:tc>
          <w:tcPr>
            <w:tcW w:type="dxa" w:w="3697"/>
          </w:tcPr>
          <w:p>
            <w:r>
              <w:rPr>
                <w:sz w:val="17"/>
              </w:rPr>
            </w:r>
            <w:r>
              <w:rPr>
                <w:sz w:val="17"/>
              </w:rPr>
              <w:t>Topographic survey, soil investigation, existing services</w:t>
            </w:r>
          </w:p>
        </w:tc>
      </w:tr>
      <w:tr>
        <w:trPr>
          <w:cantSplit/>
        </w:trPr>
        <w:tc>
          <w:tcPr>
            <w:tcW w:type="dxa" w:w="507"/>
          </w:tcPr>
          <w:p>
            <w:r>
              <w:rPr>
                <w:sz w:val="17"/>
              </w:rPr>
            </w:r>
            <w:r>
              <w:rPr>
                <w:sz w:val="17"/>
              </w:rPr>
              <w:t>3</w:t>
            </w:r>
          </w:p>
        </w:tc>
        <w:tc>
          <w:tcPr>
            <w:tcW w:type="dxa" w:w="1332"/>
          </w:tcPr>
          <w:p>
            <w:r>
              <w:rPr>
                <w:sz w:val="17"/>
              </w:rPr>
            </w:r>
            <w:r>
              <w:rPr>
                <w:sz w:val="17"/>
              </w:rPr>
              <w:t>NOCs and clear affection plan</w:t>
            </w:r>
          </w:p>
        </w:tc>
        <w:tc>
          <w:tcPr>
            <w:tcW w:type="dxa" w:w="4929"/>
          </w:tcPr>
          <w:p>
            <w:r>
              <w:rPr>
                <w:sz w:val="17"/>
              </w:rPr>
            </w:r>
            <w:r>
              <w:rPr>
                <w:sz w:val="17"/>
              </w:rPr>
              <w:t>Authorities' NOC round; clear affection plan</w:t>
            </w:r>
          </w:p>
        </w:tc>
        <w:tc>
          <w:tcPr>
            <w:tcW w:type="dxa" w:w="3697"/>
          </w:tcPr>
          <w:p>
            <w:r>
              <w:rPr>
                <w:sz w:val="17"/>
              </w:rPr>
            </w:r>
            <w:r>
              <w:rPr>
                <w:sz w:val="17"/>
              </w:rPr>
              <w:t>Affection plan; master-developer NOC</w:t>
            </w:r>
          </w:p>
        </w:tc>
      </w:tr>
      <w:tr>
        <w:trPr>
          <w:cantSplit/>
        </w:trPr>
        <w:tc>
          <w:tcPr>
            <w:tcW w:type="dxa" w:w="507"/>
          </w:tcPr>
          <w:p>
            <w:r>
              <w:rPr>
                <w:sz w:val="17"/>
              </w:rPr>
            </w:r>
            <w:r>
              <w:rPr>
                <w:sz w:val="17"/>
              </w:rPr>
              <w:t>4</w:t>
            </w:r>
          </w:p>
        </w:tc>
        <w:tc>
          <w:tcPr>
            <w:tcW w:type="dxa" w:w="1332"/>
          </w:tcPr>
          <w:p>
            <w:r>
              <w:rPr>
                <w:sz w:val="17"/>
              </w:rPr>
            </w:r>
            <w:r>
              <w:rPr>
                <w:sz w:val="17"/>
              </w:rPr>
              <w:t>Preparatory approvals</w:t>
            </w:r>
          </w:p>
        </w:tc>
        <w:tc>
          <w:tcPr>
            <w:tcW w:type="dxa" w:w="4929"/>
          </w:tcPr>
          <w:p>
            <w:r>
              <w:rPr>
                <w:sz w:val="17"/>
              </w:rPr>
            </w:r>
            <w:r>
              <w:rPr>
                <w:sz w:val="17"/>
              </w:rPr>
              <w:t>TAQA Distribution power (LDN) and water (WDN) demand; Civil Defence; Etisalat /​ du; sewerage (TAQA Water Solutions); Transco where applicable</w:t>
            </w:r>
          </w:p>
        </w:tc>
        <w:tc>
          <w:tcPr>
            <w:tcW w:type="dxa" w:w="3697"/>
          </w:tcPr>
          <w:p>
            <w:r>
              <w:rPr>
                <w:sz w:val="17"/>
              </w:rPr>
            </w:r>
            <w:r>
              <w:rPr>
                <w:sz w:val="17"/>
              </w:rPr>
              <w:t>DEWA load confirmation and water; Dubai Civil Defence; du /​ Etisalat; coastal or environment NOCs where applicable</w:t>
            </w:r>
          </w:p>
        </w:tc>
      </w:tr>
      <w:tr>
        <w:trPr>
          <w:cantSplit/>
        </w:trPr>
        <w:tc>
          <w:tcPr>
            <w:tcW w:type="dxa" w:w="507"/>
          </w:tcPr>
          <w:p>
            <w:r>
              <w:rPr>
                <w:sz w:val="17"/>
              </w:rPr>
            </w:r>
            <w:r>
              <w:rPr>
                <w:sz w:val="17"/>
              </w:rPr>
              <w:t>5</w:t>
            </w:r>
          </w:p>
        </w:tc>
        <w:tc>
          <w:tcPr>
            <w:tcW w:type="dxa" w:w="1332"/>
          </w:tcPr>
          <w:p>
            <w:r>
              <w:rPr>
                <w:sz w:val="17"/>
              </w:rPr>
            </w:r>
            <w:r>
              <w:rPr>
                <w:sz w:val="17"/>
              </w:rPr>
              <w:t>Access approvals</w:t>
            </w:r>
          </w:p>
        </w:tc>
        <w:tc>
          <w:tcPr>
            <w:tcW w:type="dxa" w:w="4929"/>
          </w:tcPr>
          <w:p>
            <w:r>
              <w:rPr>
                <w:sz w:val="17"/>
              </w:rPr>
            </w:r>
            <w:r>
              <w:rPr>
                <w:sz w:val="17"/>
              </w:rPr>
              <w:t>ITC access and traffic (IDAS, road safety audit, TPD), access eNOCs, master-developer access NOC</w:t>
            </w:r>
          </w:p>
        </w:tc>
        <w:tc>
          <w:tcPr>
            <w:tcW w:type="dxa" w:w="3697"/>
          </w:tcPr>
          <w:p>
            <w:r>
              <w:rPr>
                <w:sz w:val="17"/>
              </w:rPr>
            </w:r>
            <w:r>
              <w:rPr>
                <w:sz w:val="17"/>
              </w:rPr>
              <w:t>RTA access and traffic NOC</w:t>
            </w:r>
          </w:p>
        </w:tc>
      </w:tr>
      <w:tr>
        <w:trPr>
          <w:cantSplit/>
        </w:trPr>
        <w:tc>
          <w:tcPr>
            <w:tcW w:type="dxa" w:w="507"/>
          </w:tcPr>
          <w:p>
            <w:r>
              <w:rPr>
                <w:sz w:val="17"/>
              </w:rPr>
            </w:r>
            <w:r>
              <w:rPr>
                <w:sz w:val="17"/>
              </w:rPr>
              <w:t>6</w:t>
            </w:r>
          </w:p>
        </w:tc>
        <w:tc>
          <w:tcPr>
            <w:tcW w:type="dxa" w:w="1332"/>
          </w:tcPr>
          <w:p>
            <w:r>
              <w:rPr>
                <w:sz w:val="17"/>
              </w:rPr>
            </w:r>
            <w:r>
              <w:rPr>
                <w:sz w:val="17"/>
              </w:rPr>
              <w:t>Municipality submissions</w:t>
            </w:r>
          </w:p>
        </w:tc>
        <w:tc>
          <w:tcPr>
            <w:tcW w:type="dxa" w:w="4929"/>
          </w:tcPr>
          <w:p>
            <w:r>
              <w:rPr>
                <w:sz w:val="17"/>
              </w:rPr>
            </w:r>
            <w:r>
              <w:rPr>
                <w:sz w:val="17"/>
              </w:rPr>
              <w:t>Concept design approval, phase /​ foundation permit, architectural and structural packages, building permit, fence permit</w:t>
            </w:r>
          </w:p>
        </w:tc>
        <w:tc>
          <w:tcPr>
            <w:tcW w:type="dxa" w:w="3697"/>
          </w:tcPr>
          <w:p>
            <w:r>
              <w:rPr>
                <w:sz w:val="17"/>
              </w:rPr>
            </w:r>
            <w:r>
              <w:rPr>
                <w:sz w:val="17"/>
              </w:rPr>
              <w:t>Final design approval, building permit, enabling or shoring permit</w:t>
            </w:r>
          </w:p>
        </w:tc>
      </w:tr>
      <w:tr>
        <w:trPr>
          <w:cantSplit/>
        </w:trPr>
        <w:tc>
          <w:tcPr>
            <w:tcW w:type="dxa" w:w="507"/>
          </w:tcPr>
          <w:p>
            <w:r>
              <w:rPr>
                <w:sz w:val="17"/>
              </w:rPr>
            </w:r>
            <w:r>
              <w:rPr>
                <w:sz w:val="17"/>
              </w:rPr>
              <w:t>7</w:t>
            </w:r>
          </w:p>
        </w:tc>
        <w:tc>
          <w:tcPr>
            <w:tcW w:type="dxa" w:w="1332"/>
          </w:tcPr>
          <w:p>
            <w:r>
              <w:rPr>
                <w:sz w:val="17"/>
              </w:rPr>
            </w:r>
            <w:r>
              <w:rPr>
                <w:sz w:val="17"/>
              </w:rPr>
              <w:t>Design approvals by system</w:t>
            </w:r>
          </w:p>
        </w:tc>
        <w:tc>
          <w:tcPr>
            <w:tcW w:type="dxa" w:w="4929"/>
          </w:tcPr>
          <w:p>
            <w:r>
              <w:rPr>
                <w:sz w:val="17"/>
              </w:rPr>
            </w:r>
            <w:r>
              <w:rPr>
                <w:sz w:val="17"/>
              </w:rPr>
              <w:t>Architectural, structural, HVAC, plumbing and drainage, storm water, electrical, water supply; Estidama design rating</w:t>
            </w:r>
          </w:p>
        </w:tc>
        <w:tc>
          <w:tcPr>
            <w:tcW w:type="dxa" w:w="3697"/>
          </w:tcPr>
          <w:p>
            <w:r>
              <w:rPr>
                <w:sz w:val="17"/>
              </w:rPr>
            </w:r>
            <w:r>
              <w:rPr>
                <w:sz w:val="17"/>
              </w:rPr>
              <w:t>Discipline approvals; Al Sa'fat compliance; Dubai BIM permit where triggered</w:t>
            </w:r>
          </w:p>
        </w:tc>
      </w:tr>
      <w:tr>
        <w:trPr>
          <w:cantSplit/>
        </w:trPr>
        <w:tc>
          <w:tcPr>
            <w:tcW w:type="dxa" w:w="507"/>
          </w:tcPr>
          <w:p>
            <w:r>
              <w:rPr>
                <w:sz w:val="17"/>
              </w:rPr>
            </w:r>
            <w:r>
              <w:rPr>
                <w:sz w:val="17"/>
              </w:rPr>
              <w:t>8</w:t>
            </w:r>
          </w:p>
        </w:tc>
        <w:tc>
          <w:tcPr>
            <w:tcW w:type="dxa" w:w="1332"/>
          </w:tcPr>
          <w:p>
            <w:r>
              <w:rPr>
                <w:sz w:val="17"/>
              </w:rPr>
            </w:r>
            <w:r>
              <w:rPr>
                <w:sz w:val="17"/>
              </w:rPr>
              <w:t>Construction</w:t>
            </w:r>
          </w:p>
        </w:tc>
        <w:tc>
          <w:tcPr>
            <w:tcW w:type="dxa" w:w="4929"/>
          </w:tcPr>
          <w:p>
            <w:r>
              <w:rPr>
                <w:sz w:val="17"/>
              </w:rPr>
            </w:r>
            <w:r>
              <w:rPr>
                <w:sz w:val="17"/>
              </w:rPr>
              <w:t>Phase notices and joint certified technical reports through the Unified Permitting System (Circular No. 9 of 2026); authority inspections</w:t>
            </w:r>
          </w:p>
        </w:tc>
        <w:tc>
          <w:tcPr>
            <w:tcW w:type="dxa" w:w="3697"/>
          </w:tcPr>
          <w:p>
            <w:r>
              <w:rPr>
                <w:sz w:val="17"/>
              </w:rPr>
            </w:r>
            <w:r>
              <w:rPr>
                <w:sz w:val="17"/>
              </w:rPr>
              <w:t>DM inspections; authority site inspections</w:t>
            </w:r>
          </w:p>
        </w:tc>
      </w:tr>
      <w:tr>
        <w:trPr>
          <w:cantSplit/>
        </w:trPr>
        <w:tc>
          <w:tcPr>
            <w:tcW w:type="dxa" w:w="507"/>
          </w:tcPr>
          <w:p>
            <w:r>
              <w:rPr>
                <w:sz w:val="17"/>
              </w:rPr>
            </w:r>
            <w:r>
              <w:rPr>
                <w:sz w:val="17"/>
              </w:rPr>
              <w:t>9</w:t>
            </w:r>
          </w:p>
        </w:tc>
        <w:tc>
          <w:tcPr>
            <w:tcW w:type="dxa" w:w="1332"/>
          </w:tcPr>
          <w:p>
            <w:r>
              <w:rPr>
                <w:sz w:val="17"/>
              </w:rPr>
            </w:r>
            <w:r>
              <w:rPr>
                <w:sz w:val="17"/>
              </w:rPr>
              <w:t>Completion</w:t>
            </w:r>
          </w:p>
        </w:tc>
        <w:tc>
          <w:tcPr>
            <w:tcW w:type="dxa" w:w="4929"/>
          </w:tcPr>
          <w:p>
            <w:r>
              <w:rPr>
                <w:sz w:val="17"/>
              </w:rPr>
            </w:r>
            <w:r>
              <w:rPr>
                <w:sz w:val="17"/>
              </w:rPr>
              <w:t>Completion inspections, Civil Defence, utilities connection and final approvals; Estidama construction rating</w:t>
            </w:r>
          </w:p>
        </w:tc>
        <w:tc>
          <w:tcPr>
            <w:tcW w:type="dxa" w:w="3697"/>
          </w:tcPr>
          <w:p>
            <w:r>
              <w:rPr>
                <w:sz w:val="17"/>
              </w:rPr>
            </w:r>
            <w:r>
              <w:rPr>
                <w:sz w:val="17"/>
              </w:rPr>
              <w:t>Completion certificate under DM Administrative Resolution 275 of 2024; DEWA and Civil Defence completion</w:t>
            </w:r>
          </w:p>
        </w:tc>
      </w:tr>
    </w:tbl>
    <w:p/>
    <w:p>
      <w:pPr/>
      <w:r>
        <w:t>Rules:</w:t>
      </w:r>
    </w:p>
    <w:p>
      <w:pPr>
        <w:pStyle w:val="ListParagraph"/>
        <w:spacing w:after="40"/>
        <w:ind w:left="360" w:hanging="240"/>
      </w:pPr>
      <w:r>
        <w:t xml:space="preserve">•  </w:t>
      </w:r>
      <w:r>
        <w:t>Every NOC row records the authority, service, application or receipt number, decision, conditions and expiry. "Approved" without the authority's decision document is not approved. A conditional approval releases the activity only when its conditions are closed. A rejected submission is resubmitted as a new row linked to the old one (BBM-STD-93 §7).</w:t>
      </w:r>
    </w:p>
    <w:p>
      <w:pPr>
        <w:pStyle w:val="ListParagraph"/>
        <w:spacing w:after="40"/>
        <w:ind w:left="360" w:hanging="240"/>
      </w:pPr>
      <w:r>
        <w:t xml:space="preserve">•  </w:t>
      </w:r>
      <w:r>
        <w:t>An NOC that expires before the dependent activity is a hold. TRK-NOC flags expiry within 30 days.</w:t>
      </w:r>
    </w:p>
    <w:p>
      <w:pPr>
        <w:pStyle w:val="ListParagraph"/>
        <w:spacing w:after="40"/>
        <w:ind w:left="360" w:hanging="240"/>
      </w:pPr>
      <w:r>
        <w:t xml:space="preserve">•  </w:t>
      </w:r>
      <w:r>
        <w:t>The AOR never uploads a package that has not passed QP-03/04 review, the BIM checklist "Authority submission" sheet where BIM applies, and LAP authorisation.</w:t>
      </w:r>
    </w:p>
    <w:p>
      <w:pPr>
        <w:pStyle w:val="ListParagraph"/>
        <w:spacing w:after="40"/>
        <w:ind w:left="360" w:hanging="240"/>
      </w:pPr>
      <w:r>
        <w:t xml:space="preserve">•  </w:t>
      </w:r>
      <w:r>
        <w:t>Utility, master-developer and landlord NOCs are applications by the AOR on the client's behalf; fees and owner undertakings are the client's and are recorded as client actions in TRK-NOC.</w:t>
      </w:r>
    </w:p>
    <w:p>
      <w:pPr>
        <w:pStyle w:val="Heading1"/>
      </w:pPr>
      <w:r>
        <w:t>6 Construction-stage administration</w:t>
      </w:r>
    </w:p>
    <w:p>
      <w:pPr/>
      <w:r>
        <w:t>The supervision duties are QP-09. This section fixes the AOR's limits and the record for each instrument. Times are the BBM-STD-99 defaults (</w:t>
      </w:r>
      <w:r>
        <w:rPr>
          <w:color w:val="9A7B45"/>
          <w:u w:val="single"/>
        </w:rPr>
        <w:t>O-DEC-176</w:t>
      </w:r>
      <w:r>
        <w:t>) unless the construction contract states others; the project values sit in each tracker's Settings sheet.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320"/>
        <w:gridCol w:w="2246"/>
        <w:gridCol w:w="4221"/>
        <w:gridCol w:w="1697"/>
        <w:gridCol w:w="983"/>
      </w:tblGrid>
      <w:tr>
        <w:trPr>
          <w:cantSplit/>
          <w:tblHeader/>
        </w:trPr>
        <w:tc>
          <w:tcPr>
            <w:tcW w:type="dxa" w:w="1320"/>
            <w:shd w:val="clear" w:color="auto" w:fill="111113"/>
          </w:tcPr>
          <w:p>
            <w:r>
              <w:rPr>
                <w:b/>
                <w:color w:val="FFFFFF"/>
                <w:sz w:val="17"/>
              </w:rPr>
            </w:r>
            <w:r>
              <w:rPr>
                <w:b/>
                <w:color w:val="FFFFFF"/>
                <w:sz w:val="17"/>
              </w:rPr>
              <w:t>Instrument</w:t>
            </w:r>
          </w:p>
        </w:tc>
        <w:tc>
          <w:tcPr>
            <w:tcW w:type="dxa" w:w="2246"/>
            <w:shd w:val="clear" w:color="auto" w:fill="111113"/>
          </w:tcPr>
          <w:p>
            <w:r>
              <w:rPr>
                <w:b/>
                <w:color w:val="FFFFFF"/>
                <w:sz w:val="17"/>
              </w:rPr>
            </w:r>
            <w:r>
              <w:rPr>
                <w:b/>
                <w:color w:val="FFFFFF"/>
                <w:sz w:val="17"/>
              </w:rPr>
              <w:t>Office form (01-TEMPLATES\04-DOCUMENT-CONTROL)</w:t>
            </w:r>
          </w:p>
        </w:tc>
        <w:tc>
          <w:tcPr>
            <w:tcW w:type="dxa" w:w="4221"/>
            <w:shd w:val="clear" w:color="auto" w:fill="111113"/>
          </w:tcPr>
          <w:p>
            <w:r>
              <w:rPr>
                <w:b/>
                <w:color w:val="FFFFFF"/>
                <w:sz w:val="17"/>
              </w:rPr>
            </w:r>
            <w:r>
              <w:rPr>
                <w:b/>
                <w:color w:val="FFFFFF"/>
                <w:sz w:val="17"/>
              </w:rPr>
              <w:t>AOR action and limit</w:t>
            </w:r>
          </w:p>
        </w:tc>
        <w:tc>
          <w:tcPr>
            <w:tcW w:type="dxa" w:w="1697"/>
            <w:shd w:val="clear" w:color="auto" w:fill="111113"/>
          </w:tcPr>
          <w:p>
            <w:r>
              <w:rPr>
                <w:b/>
                <w:color w:val="FFFFFF"/>
                <w:sz w:val="17"/>
              </w:rPr>
            </w:r>
            <w:r>
              <w:rPr>
                <w:b/>
                <w:color w:val="FFFFFF"/>
                <w:sz w:val="17"/>
              </w:rPr>
              <w:t>Default time</w:t>
            </w:r>
          </w:p>
        </w:tc>
        <w:tc>
          <w:tcPr>
            <w:tcW w:type="dxa" w:w="983"/>
            <w:shd w:val="clear" w:color="auto" w:fill="111113"/>
          </w:tcPr>
          <w:p>
            <w:r>
              <w:rPr>
                <w:b/>
                <w:color w:val="FFFFFF"/>
                <w:sz w:val="17"/>
              </w:rPr>
            </w:r>
            <w:r>
              <w:rPr>
                <w:b/>
                <w:color w:val="FFFFFF"/>
                <w:sz w:val="17"/>
              </w:rPr>
              <w:t>Tracker</w:t>
            </w:r>
          </w:p>
        </w:tc>
      </w:tr>
      <w:tr>
        <w:trPr/>
        <w:tc>
          <w:tcPr>
            <w:tcW w:type="dxa" w:w="1320"/>
          </w:tcPr>
          <w:p>
            <w:r>
              <w:rPr>
                <w:sz w:val="17"/>
              </w:rPr>
            </w:r>
            <w:r>
              <w:rPr>
                <w:sz w:val="17"/>
              </w:rPr>
              <w:t>Material, shop drawing, method statement, subcontractor and programme submittals</w:t>
            </w:r>
          </w:p>
        </w:tc>
        <w:tc>
          <w:tcPr>
            <w:tcW w:type="dxa" w:w="2246"/>
          </w:tcPr>
          <w:p>
            <w:r>
              <w:rPr>
                <w:sz w:val="17"/>
              </w:rPr>
            </w:r>
            <w:r>
              <w:rPr>
                <w:sz w:val="17"/>
              </w:rPr>
              <w:t>Material Submittal 04 01, Shop Drawing Submittal 04 03, SubContractor Submittal 04 05, Time Schedule Approval 04 08</w:t>
            </w:r>
          </w:p>
        </w:tc>
        <w:tc>
          <w:tcPr>
            <w:tcW w:type="dxa" w:w="4221"/>
          </w:tcPr>
          <w:p>
            <w:r>
              <w:rPr>
                <w:sz w:val="17"/>
              </w:rPr>
            </w:r>
            <w:r>
              <w:rPr>
                <w:sz w:val="17"/>
              </w:rPr>
              <w:t>Review against the contract documents; code A Approved, B Approved as noted, C Revise and resubmit, D Rejected, E Information/​records (</w:t>
            </w:r>
            <w:r>
              <w:rPr>
                <w:color w:val="9A7B45"/>
                <w:sz w:val="17"/>
                <w:u w:val="single"/>
              </w:rPr>
              <w:t>O-DEC-174</w:t>
            </w:r>
            <w:r>
              <w:rPr>
                <w:sz w:val="17"/>
              </w:rPr>
              <w:t>); the client's "No objection /​ Objection" is recorded separately where the appointment requires it. Approval never relieves the contractor of its obligations</w:t>
            </w:r>
          </w:p>
        </w:tc>
        <w:tc>
          <w:tcPr>
            <w:tcW w:type="dxa" w:w="1697"/>
          </w:tcPr>
          <w:p>
            <w:r>
              <w:rPr>
                <w:sz w:val="17"/>
              </w:rPr>
            </w:r>
            <w:r>
              <w:rPr>
                <w:sz w:val="17"/>
              </w:rPr>
              <w:t>14 calendar days from complete receipt; FIDIC 2017 sets the Engineer's review at 21 days; the contract value governs</w:t>
            </w:r>
          </w:p>
        </w:tc>
        <w:tc>
          <w:tcPr>
            <w:tcW w:type="dxa" w:w="983"/>
          </w:tcPr>
          <w:p>
            <w:r>
              <w:rPr>
                <w:sz w:val="17"/>
              </w:rPr>
            </w:r>
            <w:r>
              <w:rPr>
                <w:sz w:val="17"/>
              </w:rPr>
              <w:t>TRK-SUB</w:t>
            </w:r>
          </w:p>
        </w:tc>
      </w:tr>
      <w:tr>
        <w:trPr>
          <w:cantSplit/>
        </w:trPr>
        <w:tc>
          <w:tcPr>
            <w:tcW w:type="dxa" w:w="1320"/>
          </w:tcPr>
          <w:p>
            <w:r>
              <w:rPr>
                <w:sz w:val="17"/>
              </w:rPr>
            </w:r>
            <w:r>
              <w:rPr>
                <w:sz w:val="17"/>
              </w:rPr>
              <w:t>Request for information</w:t>
            </w:r>
          </w:p>
        </w:tc>
        <w:tc>
          <w:tcPr>
            <w:tcW w:type="dxa" w:w="2246"/>
          </w:tcPr>
          <w:p>
            <w:r>
              <w:rPr>
                <w:sz w:val="17"/>
              </w:rPr>
            </w:r>
            <w:r>
              <w:rPr>
                <w:sz w:val="17"/>
              </w:rPr>
              <w:t>Request For Information; RFI form</w:t>
            </w:r>
          </w:p>
        </w:tc>
        <w:tc>
          <w:tcPr>
            <w:tcW w:type="dxa" w:w="4221"/>
          </w:tcPr>
          <w:p>
            <w:r>
              <w:rPr>
                <w:sz w:val="17"/>
              </w:rPr>
            </w:r>
            <w:r>
              <w:rPr>
                <w:sz w:val="17"/>
              </w:rPr>
              <w:t>Answer within the agreed time with the revised drawing or sketch; state whether the answer is a variation ("This clarification will constitute a variation: Yes /​ No")</w:t>
            </w:r>
          </w:p>
        </w:tc>
        <w:tc>
          <w:tcPr>
            <w:tcW w:type="dxa" w:w="1697"/>
          </w:tcPr>
          <w:p>
            <w:r>
              <w:rPr>
                <w:sz w:val="17"/>
              </w:rPr>
            </w:r>
            <w:r>
              <w:rPr>
                <w:sz w:val="17"/>
              </w:rPr>
              <w:t>7 calendar days</w:t>
            </w:r>
          </w:p>
        </w:tc>
        <w:tc>
          <w:tcPr>
            <w:tcW w:type="dxa" w:w="983"/>
          </w:tcPr>
          <w:p>
            <w:r>
              <w:rPr>
                <w:sz w:val="17"/>
              </w:rPr>
            </w:r>
            <w:r>
              <w:rPr>
                <w:sz w:val="17"/>
              </w:rPr>
              <w:t>TRK-RFI</w:t>
            </w:r>
          </w:p>
        </w:tc>
      </w:tr>
      <w:tr>
        <w:trPr>
          <w:cantSplit/>
        </w:trPr>
        <w:tc>
          <w:tcPr>
            <w:tcW w:type="dxa" w:w="1320"/>
          </w:tcPr>
          <w:p>
            <w:r>
              <w:rPr>
                <w:sz w:val="17"/>
              </w:rPr>
            </w:r>
            <w:r>
              <w:rPr>
                <w:sz w:val="17"/>
              </w:rPr>
              <w:t>Site instruction</w:t>
            </w:r>
          </w:p>
        </w:tc>
        <w:tc>
          <w:tcPr>
            <w:tcW w:type="dxa" w:w="2246"/>
          </w:tcPr>
          <w:p>
            <w:r>
              <w:rPr>
                <w:sz w:val="17"/>
              </w:rPr>
            </w:r>
            <w:r>
              <w:rPr>
                <w:sz w:val="17"/>
              </w:rPr>
              <w:t>Site Instruction (office form built 2026-11-05)</w:t>
            </w:r>
          </w:p>
        </w:tc>
        <w:tc>
          <w:tcPr>
            <w:tcW w:type="dxa" w:w="4221"/>
          </w:tcPr>
          <w:p>
            <w:r>
              <w:rPr>
                <w:sz w:val="17"/>
              </w:rPr>
            </w:r>
            <w:r>
              <w:rPr>
                <w:sz w:val="17"/>
              </w:rPr>
              <w:t>Written only; only within the authority the contract gives the consultant; client approval first where cost or time changes. Under FIDIC 2017 Sub-Clause 3.5 the contractor notifies an instruction it considers a variation before starting the work</w:t>
            </w:r>
          </w:p>
        </w:tc>
        <w:tc>
          <w:tcPr>
            <w:tcW w:type="dxa" w:w="1697"/>
          </w:tcPr>
          <w:p>
            <w:r>
              <w:rPr>
                <w:sz w:val="17"/>
              </w:rPr>
            </w:r>
            <w:r>
              <w:rPr>
                <w:sz w:val="17"/>
              </w:rPr>
              <w:t>Acknowledgement in 2 working days</w:t>
            </w:r>
          </w:p>
        </w:tc>
        <w:tc>
          <w:tcPr>
            <w:tcW w:type="dxa" w:w="983"/>
          </w:tcPr>
          <w:p>
            <w:r>
              <w:rPr>
                <w:sz w:val="17"/>
              </w:rPr>
            </w:r>
            <w:r>
              <w:rPr>
                <w:sz w:val="17"/>
              </w:rPr>
              <w:t>TRK-SI</w:t>
            </w:r>
          </w:p>
        </w:tc>
      </w:tr>
      <w:tr>
        <w:trPr>
          <w:cantSplit/>
        </w:trPr>
        <w:tc>
          <w:tcPr>
            <w:tcW w:type="dxa" w:w="1320"/>
          </w:tcPr>
          <w:p>
            <w:r>
              <w:rPr>
                <w:sz w:val="17"/>
              </w:rPr>
            </w:r>
            <w:r>
              <w:rPr>
                <w:sz w:val="17"/>
              </w:rPr>
              <w:t>Inspection request (work and material)</w:t>
            </w:r>
          </w:p>
        </w:tc>
        <w:tc>
          <w:tcPr>
            <w:tcW w:type="dxa" w:w="2246"/>
          </w:tcPr>
          <w:p>
            <w:r>
              <w:rPr>
                <w:sz w:val="17"/>
              </w:rPr>
            </w:r>
            <w:r>
              <w:rPr>
                <w:sz w:val="17"/>
              </w:rPr>
              <w:t>Inspection Request; Material Inspection Request</w:t>
            </w:r>
          </w:p>
        </w:tc>
        <w:tc>
          <w:tcPr>
            <w:tcW w:type="dxa" w:w="4221"/>
          </w:tcPr>
          <w:p>
            <w:r>
              <w:rPr>
                <w:sz w:val="17"/>
              </w:rPr>
            </w:r>
            <w:r>
              <w:rPr>
                <w:sz w:val="17"/>
              </w:rPr>
              <w:t>Inspect hold and witness points before concealment; result coded A–E</w:t>
            </w:r>
          </w:p>
        </w:tc>
        <w:tc>
          <w:tcPr>
            <w:tcW w:type="dxa" w:w="1697"/>
          </w:tcPr>
          <w:p>
            <w:r>
              <w:rPr>
                <w:sz w:val="17"/>
              </w:rPr>
            </w:r>
            <w:r>
              <w:rPr>
                <w:sz w:val="17"/>
              </w:rPr>
              <w:t>By the requested inspection time, with at least 1 working day notice</w:t>
            </w:r>
          </w:p>
        </w:tc>
        <w:tc>
          <w:tcPr>
            <w:tcW w:type="dxa" w:w="983"/>
          </w:tcPr>
          <w:p>
            <w:r>
              <w:rPr>
                <w:sz w:val="17"/>
              </w:rPr>
            </w:r>
            <w:r>
              <w:rPr>
                <w:sz w:val="17"/>
              </w:rPr>
              <w:t>TRK-IR</w:t>
            </w:r>
          </w:p>
        </w:tc>
      </w:tr>
      <w:tr>
        <w:trPr>
          <w:cantSplit/>
        </w:trPr>
        <w:tc>
          <w:tcPr>
            <w:tcW w:type="dxa" w:w="1320"/>
          </w:tcPr>
          <w:p>
            <w:r>
              <w:rPr>
                <w:sz w:val="17"/>
              </w:rPr>
            </w:r>
            <w:r>
              <w:rPr>
                <w:sz w:val="17"/>
              </w:rPr>
              <w:t>Site observation, field observation, NCR</w:t>
            </w:r>
          </w:p>
        </w:tc>
        <w:tc>
          <w:tcPr>
            <w:tcW w:type="dxa" w:w="2246"/>
          </w:tcPr>
          <w:p>
            <w:r>
              <w:rPr>
                <w:sz w:val="17"/>
              </w:rPr>
            </w:r>
            <w:r>
              <w:rPr>
                <w:sz w:val="17"/>
              </w:rPr>
              <w:t>SOR, Field Observation, NCR</w:t>
            </w:r>
          </w:p>
        </w:tc>
        <w:tc>
          <w:tcPr>
            <w:tcW w:type="dxa" w:w="4221"/>
          </w:tcPr>
          <w:p>
            <w:r>
              <w:rPr>
                <w:sz w:val="17"/>
              </w:rPr>
            </w:r>
            <w:r>
              <w:rPr>
                <w:sz w:val="17"/>
              </w:rPr>
              <w:t>The contractor answers an SOR within 3 working days, otherwise it becomes an NCR (office SOR form); an NCR is closed only after the corrective action is verified by an approved inspection request</w:t>
            </w:r>
          </w:p>
        </w:tc>
        <w:tc>
          <w:tcPr>
            <w:tcW w:type="dxa" w:w="1697"/>
          </w:tcPr>
          <w:p>
            <w:r>
              <w:rPr>
                <w:sz w:val="17"/>
              </w:rPr>
            </w:r>
            <w:r>
              <w:rPr>
                <w:sz w:val="17"/>
              </w:rPr>
              <w:t>NCR close-out 14 days</w:t>
            </w:r>
          </w:p>
        </w:tc>
        <w:tc>
          <w:tcPr>
            <w:tcW w:type="dxa" w:w="983"/>
          </w:tcPr>
          <w:p>
            <w:r>
              <w:rPr>
                <w:sz w:val="17"/>
              </w:rPr>
            </w:r>
            <w:r>
              <w:rPr>
                <w:sz w:val="17"/>
              </w:rPr>
              <w:t>TRK-NCR</w:t>
            </w:r>
          </w:p>
        </w:tc>
      </w:tr>
      <w:tr>
        <w:trPr>
          <w:cantSplit/>
        </w:trPr>
        <w:tc>
          <w:tcPr>
            <w:tcW w:type="dxa" w:w="1320"/>
          </w:tcPr>
          <w:p>
            <w:r>
              <w:rPr>
                <w:sz w:val="17"/>
              </w:rPr>
            </w:r>
            <w:r>
              <w:rPr>
                <w:sz w:val="17"/>
              </w:rPr>
              <w:t>Variation</w:t>
            </w:r>
          </w:p>
        </w:tc>
        <w:tc>
          <w:tcPr>
            <w:tcW w:type="dxa" w:w="2246"/>
          </w:tcPr>
          <w:p>
            <w:r>
              <w:rPr>
                <w:sz w:val="17"/>
              </w:rPr>
            </w:r>
            <w:r>
              <w:rPr>
                <w:sz w:val="17"/>
              </w:rPr>
              <w:t>VO Template</w:t>
            </w:r>
          </w:p>
        </w:tc>
        <w:tc>
          <w:tcPr>
            <w:tcW w:type="dxa" w:w="4221"/>
          </w:tcPr>
          <w:p>
            <w:r>
              <w:rPr>
                <w:sz w:val="17"/>
              </w:rPr>
            </w:r>
            <w:r>
              <w:rPr>
                <w:sz w:val="17"/>
              </w:rPr>
              <w:t>Evaluate and recommend; the employer approves. FIDIC 2017 Sub-Clause 13.3: variation by instruction or by request for proposal</w:t>
            </w:r>
          </w:p>
        </w:tc>
        <w:tc>
          <w:tcPr>
            <w:tcW w:type="dxa" w:w="1697"/>
          </w:tcPr>
          <w:p>
            <w:r>
              <w:rPr>
                <w:sz w:val="17"/>
              </w:rPr>
            </w:r>
            <w:r>
              <w:rPr>
                <w:sz w:val="17"/>
              </w:rPr>
              <w:t>Evaluation in 14 days from a complete proposal</w:t>
            </w:r>
          </w:p>
        </w:tc>
        <w:tc>
          <w:tcPr>
            <w:tcW w:type="dxa" w:w="983"/>
          </w:tcPr>
          <w:p>
            <w:r>
              <w:rPr>
                <w:sz w:val="17"/>
              </w:rPr>
            </w:r>
            <w:r>
              <w:rPr>
                <w:sz w:val="17"/>
              </w:rPr>
              <w:t>TRK-VO</w:t>
            </w:r>
          </w:p>
        </w:tc>
      </w:tr>
      <w:tr>
        <w:trPr>
          <w:cantSplit/>
        </w:trPr>
        <w:tc>
          <w:tcPr>
            <w:tcW w:type="dxa" w:w="1320"/>
          </w:tcPr>
          <w:p>
            <w:r>
              <w:rPr>
                <w:sz w:val="17"/>
              </w:rPr>
            </w:r>
            <w:r>
              <w:rPr>
                <w:sz w:val="17"/>
              </w:rPr>
              <w:t>Meetings</w:t>
            </w:r>
          </w:p>
        </w:tc>
        <w:tc>
          <w:tcPr>
            <w:tcW w:type="dxa" w:w="2246"/>
          </w:tcPr>
          <w:p>
            <w:r>
              <w:rPr>
                <w:sz w:val="17"/>
              </w:rPr>
            </w:r>
            <w:r>
              <w:rPr>
                <w:sz w:val="17"/>
              </w:rPr>
              <w:t>Minutes of Meeting (office form built 2026-11-05); Contractor's Monthly Report format</w:t>
            </w:r>
          </w:p>
        </w:tc>
        <w:tc>
          <w:tcPr>
            <w:tcW w:type="dxa" w:w="4221"/>
          </w:tcPr>
          <w:p>
            <w:r>
              <w:rPr>
                <w:sz w:val="17"/>
              </w:rPr>
            </w:r>
            <w:r>
              <w:rPr>
                <w:sz w:val="17"/>
              </w:rPr>
              <w:t>Chair or attend; minutes with numbered actions</w:t>
            </w:r>
          </w:p>
        </w:tc>
        <w:tc>
          <w:tcPr>
            <w:tcW w:type="dxa" w:w="1697"/>
          </w:tcPr>
          <w:p>
            <w:r>
              <w:rPr>
                <w:sz w:val="17"/>
              </w:rPr>
            </w:r>
            <w:r>
              <w:rPr>
                <w:sz w:val="17"/>
              </w:rPr>
              <w:t>Minutes issued in 2 working days</w:t>
            </w:r>
          </w:p>
        </w:tc>
        <w:tc>
          <w:tcPr>
            <w:tcW w:type="dxa" w:w="983"/>
          </w:tcPr>
          <w:p>
            <w:r>
              <w:rPr>
                <w:sz w:val="17"/>
              </w:rPr>
            </w:r>
            <w:r>
              <w:rPr>
                <w:sz w:val="17"/>
              </w:rPr>
              <w:t>TRK-MOM</w:t>
            </w:r>
          </w:p>
        </w:tc>
      </w:tr>
      <w:tr>
        <w:trPr>
          <w:cantSplit/>
        </w:trPr>
        <w:tc>
          <w:tcPr>
            <w:tcW w:type="dxa" w:w="1320"/>
          </w:tcPr>
          <w:p>
            <w:r>
              <w:rPr>
                <w:sz w:val="17"/>
              </w:rPr>
            </w:r>
            <w:r>
              <w:rPr>
                <w:sz w:val="17"/>
              </w:rPr>
              <w:t>Drawings and transmittals</w:t>
            </w:r>
          </w:p>
        </w:tc>
        <w:tc>
          <w:tcPr>
            <w:tcW w:type="dxa" w:w="2246"/>
          </w:tcPr>
          <w:p>
            <w:r>
              <w:rPr>
                <w:sz w:val="17"/>
              </w:rPr>
            </w:r>
            <w:r>
              <w:rPr>
                <w:sz w:val="17"/>
              </w:rPr>
              <w:t>Project Transmittal; Transmittal Form</w:t>
            </w:r>
          </w:p>
        </w:tc>
        <w:tc>
          <w:tcPr>
            <w:tcW w:type="dxa" w:w="4221"/>
          </w:tcPr>
          <w:p>
            <w:r>
              <w:rPr>
                <w:sz w:val="17"/>
              </w:rPr>
            </w:r>
            <w:r>
              <w:rPr>
                <w:sz w:val="17"/>
              </w:rPr>
              <w:t>Issue only checked, authorised containers; every issue has a transmittal</w:t>
            </w:r>
          </w:p>
        </w:tc>
        <w:tc>
          <w:tcPr>
            <w:tcW w:type="dxa" w:w="1697"/>
          </w:tcPr>
          <w:p>
            <w:r>
              <w:rPr>
                <w:sz w:val="17"/>
              </w:rPr>
            </w:r>
            <w:r>
              <w:rPr>
                <w:sz w:val="17"/>
              </w:rPr>
              <w:t>Acknowledgement in 2 working days</w:t>
            </w:r>
          </w:p>
        </w:tc>
        <w:tc>
          <w:tcPr>
            <w:tcW w:type="dxa" w:w="983"/>
          </w:tcPr>
          <w:p>
            <w:r>
              <w:rPr>
                <w:sz w:val="17"/>
              </w:rPr>
            </w:r>
            <w:r>
              <w:rPr>
                <w:sz w:val="17"/>
              </w:rPr>
              <w:t>TRK-DWG</w:t>
            </w:r>
          </w:p>
        </w:tc>
      </w:tr>
      <w:tr>
        <w:trPr>
          <w:cantSplit/>
        </w:trPr>
        <w:tc>
          <w:tcPr>
            <w:tcW w:type="dxa" w:w="1320"/>
          </w:tcPr>
          <w:p>
            <w:r>
              <w:rPr>
                <w:sz w:val="17"/>
              </w:rPr>
            </w:r>
            <w:r>
              <w:rPr>
                <w:sz w:val="17"/>
              </w:rPr>
              <w:t>Completion and taking over</w:t>
            </w:r>
          </w:p>
        </w:tc>
        <w:tc>
          <w:tcPr>
            <w:tcW w:type="dxa" w:w="2246"/>
          </w:tcPr>
          <w:p>
            <w:r>
              <w:rPr>
                <w:sz w:val="17"/>
              </w:rPr>
            </w:r>
            <w:r>
              <w:rPr>
                <w:sz w:val="17"/>
              </w:rPr>
              <w:t>Initial and Final Handing Over Certificates, Taking Over Certificate, snagging list</w:t>
            </w:r>
          </w:p>
        </w:tc>
        <w:tc>
          <w:tcPr>
            <w:tcW w:type="dxa" w:w="4221"/>
          </w:tcPr>
          <w:p>
            <w:r>
              <w:rPr>
                <w:sz w:val="17"/>
              </w:rPr>
            </w:r>
            <w:r>
              <w:rPr>
                <w:sz w:val="17"/>
              </w:rPr>
              <w:t>Approve completion only when the works conform and no NCR affecting conformity is open; FIDIC 2017 Sub-Clause 10.1 taking over</w:t>
            </w:r>
          </w:p>
        </w:tc>
        <w:tc>
          <w:tcPr>
            <w:tcW w:type="dxa" w:w="1697"/>
          </w:tcPr>
          <w:p>
            <w:r>
              <w:rPr>
                <w:sz w:val="17"/>
              </w:rPr>
            </w:r>
            <w:r>
              <w:rPr>
                <w:sz w:val="17"/>
              </w:rPr>
              <w:t>Per contract</w:t>
            </w:r>
          </w:p>
        </w:tc>
        <w:tc>
          <w:tcPr>
            <w:tcW w:type="dxa" w:w="983"/>
          </w:tcPr>
          <w:p>
            <w:r>
              <w:rPr>
                <w:sz w:val="17"/>
              </w:rPr>
            </w:r>
            <w:r>
              <w:rPr>
                <w:sz w:val="17"/>
              </w:rPr>
              <w:t>TRK-HO</w:t>
            </w:r>
          </w:p>
        </w:tc>
      </w:tr>
    </w:tbl>
    <w:p/>
    <w:p>
      <w:pPr/>
      <w:r>
        <w:t>In Abu Dhabi the supervision consultant also receives the contractor's notice before each major construction phase and submits the joint certified technical report at the end of each phase through the Unified Permitting System (UPPC Circular No. 9 of 2026); each phase report is a TRK-NOC row of step 8.</w:t>
      </w:r>
    </w:p>
    <w:p>
      <w:pPr>
        <w:pStyle w:val="Heading1"/>
      </w:pPr>
      <w:r>
        <w:t>7 Sign-off authority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911"/>
        <w:gridCol w:w="1918"/>
        <w:gridCol w:w="1988"/>
        <w:gridCol w:w="2270"/>
        <w:gridCol w:w="2379"/>
      </w:tblGrid>
      <w:tr>
        <w:trPr>
          <w:cantSplit/>
          <w:tblHeader/>
        </w:trPr>
        <w:tc>
          <w:tcPr>
            <w:tcW w:type="dxa" w:w="1911"/>
            <w:shd w:val="clear" w:color="auto" w:fill="111113"/>
          </w:tcPr>
          <w:p>
            <w:r>
              <w:rPr>
                <w:b/>
                <w:color w:val="FFFFFF"/>
                <w:sz w:val="17"/>
              </w:rPr>
            </w:r>
            <w:r>
              <w:rPr>
                <w:b/>
                <w:color w:val="FFFFFF"/>
                <w:sz w:val="17"/>
              </w:rPr>
              <w:t>Document</w:t>
            </w:r>
          </w:p>
        </w:tc>
        <w:tc>
          <w:tcPr>
            <w:tcW w:type="dxa" w:w="1918"/>
            <w:shd w:val="clear" w:color="auto" w:fill="111113"/>
          </w:tcPr>
          <w:p>
            <w:r>
              <w:rPr>
                <w:b/>
                <w:color w:val="FFFFFF"/>
                <w:sz w:val="17"/>
              </w:rPr>
            </w:r>
            <w:r>
              <w:rPr>
                <w:b/>
                <w:color w:val="FFFFFF"/>
                <w:sz w:val="17"/>
              </w:rPr>
              <w:t>Prepared by</w:t>
            </w:r>
          </w:p>
        </w:tc>
        <w:tc>
          <w:tcPr>
            <w:tcW w:type="dxa" w:w="1988"/>
            <w:shd w:val="clear" w:color="auto" w:fill="111113"/>
          </w:tcPr>
          <w:p>
            <w:r>
              <w:rPr>
                <w:b/>
                <w:color w:val="FFFFFF"/>
                <w:sz w:val="17"/>
              </w:rPr>
            </w:r>
            <w:r>
              <w:rPr>
                <w:b/>
                <w:color w:val="FFFFFF"/>
                <w:sz w:val="17"/>
              </w:rPr>
              <w:t>Checked by</w:t>
            </w:r>
          </w:p>
        </w:tc>
        <w:tc>
          <w:tcPr>
            <w:tcW w:type="dxa" w:w="2270"/>
            <w:shd w:val="clear" w:color="auto" w:fill="111113"/>
          </w:tcPr>
          <w:p>
            <w:r>
              <w:rPr>
                <w:b/>
                <w:color w:val="FFFFFF"/>
                <w:sz w:val="17"/>
              </w:rPr>
            </w:r>
            <w:r>
              <w:rPr>
                <w:b/>
                <w:color w:val="FFFFFF"/>
                <w:sz w:val="17"/>
              </w:rPr>
              <w:t>Signed /​ stamped by</w:t>
            </w:r>
          </w:p>
        </w:tc>
        <w:tc>
          <w:tcPr>
            <w:tcW w:type="dxa" w:w="2379"/>
            <w:shd w:val="clear" w:color="auto" w:fill="111113"/>
          </w:tcPr>
          <w:p>
            <w:r>
              <w:rPr>
                <w:b/>
                <w:color w:val="FFFFFF"/>
                <w:sz w:val="17"/>
              </w:rPr>
            </w:r>
            <w:r>
              <w:rPr>
                <w:b/>
                <w:color w:val="FFFFFF"/>
                <w:sz w:val="17"/>
              </w:rPr>
              <w:t>Condition</w:t>
            </w:r>
          </w:p>
        </w:tc>
      </w:tr>
      <w:tr>
        <w:trPr>
          <w:cantSplit/>
        </w:trPr>
        <w:tc>
          <w:tcPr>
            <w:tcW w:type="dxa" w:w="1911"/>
          </w:tcPr>
          <w:p>
            <w:r>
              <w:rPr>
                <w:sz w:val="17"/>
              </w:rPr>
            </w:r>
            <w:r>
              <w:rPr>
                <w:sz w:val="17"/>
              </w:rPr>
              <w:t>Authority submission (NOC, permit package)</w:t>
            </w:r>
          </w:p>
        </w:tc>
        <w:tc>
          <w:tcPr>
            <w:tcW w:type="dxa" w:w="1918"/>
          </w:tcPr>
          <w:p>
            <w:r>
              <w:rPr>
                <w:sz w:val="17"/>
              </w:rPr>
            </w:r>
            <w:r>
              <w:rPr>
                <w:sz w:val="17"/>
              </w:rPr>
              <w:t>Authority liaison and discipline team</w:t>
            </w:r>
          </w:p>
        </w:tc>
        <w:tc>
          <w:tcPr>
            <w:tcW w:type="dxa" w:w="1988"/>
          </w:tcPr>
          <w:p>
            <w:r>
              <w:rPr>
                <w:sz w:val="17"/>
              </w:rPr>
            </w:r>
            <w:r>
              <w:rPr>
                <w:sz w:val="17"/>
              </w:rPr>
              <w:t>Discipline lead (L1), QP-03/​04 review</w:t>
            </w:r>
          </w:p>
        </w:tc>
        <w:tc>
          <w:tcPr>
            <w:tcW w:type="dxa" w:w="2270"/>
          </w:tcPr>
          <w:p>
            <w:r>
              <w:rPr>
                <w:sz w:val="17"/>
              </w:rPr>
            </w:r>
            <w:r>
              <w:rPr>
                <w:sz w:val="17"/>
              </w:rPr>
              <w:t>Consultant of record (registered engineer of the discipline)</w:t>
            </w:r>
          </w:p>
        </w:tc>
        <w:tc>
          <w:tcPr>
            <w:tcW w:type="dxa" w:w="2379"/>
          </w:tcPr>
          <w:p>
            <w:r>
              <w:rPr>
                <w:sz w:val="17"/>
              </w:rPr>
            </w:r>
            <w:r>
              <w:rPr>
                <w:sz w:val="17"/>
              </w:rPr>
              <w:t>LAP authorisation recorded; portal account valid</w:t>
            </w:r>
          </w:p>
        </w:tc>
      </w:tr>
      <w:tr>
        <w:trPr>
          <w:cantSplit/>
        </w:trPr>
        <w:tc>
          <w:tcPr>
            <w:tcW w:type="dxa" w:w="1911"/>
          </w:tcPr>
          <w:p>
            <w:r>
              <w:rPr>
                <w:sz w:val="17"/>
              </w:rPr>
            </w:r>
            <w:r>
              <w:rPr>
                <w:sz w:val="17"/>
              </w:rPr>
              <w:t>Permit and IFC drawings</w:t>
            </w:r>
          </w:p>
        </w:tc>
        <w:tc>
          <w:tcPr>
            <w:tcW w:type="dxa" w:w="1918"/>
          </w:tcPr>
          <w:p>
            <w:r>
              <w:rPr>
                <w:sz w:val="17"/>
              </w:rPr>
            </w:r>
            <w:r>
              <w:rPr>
                <w:sz w:val="17"/>
              </w:rPr>
              <w:t>Discipline team</w:t>
            </w:r>
          </w:p>
        </w:tc>
        <w:tc>
          <w:tcPr>
            <w:tcW w:type="dxa" w:w="1988"/>
          </w:tcPr>
          <w:p>
            <w:r>
              <w:rPr>
                <w:sz w:val="17"/>
              </w:rPr>
            </w:r>
            <w:r>
              <w:rPr>
                <w:sz w:val="17"/>
              </w:rPr>
              <w:t>Discipline lead; AOR review of others' information (§4.2)</w:t>
            </w:r>
          </w:p>
        </w:tc>
        <w:tc>
          <w:tcPr>
            <w:tcW w:type="dxa" w:w="2270"/>
          </w:tcPr>
          <w:p>
            <w:r>
              <w:rPr>
                <w:sz w:val="17"/>
              </w:rPr>
            </w:r>
            <w:r>
              <w:rPr>
                <w:sz w:val="17"/>
              </w:rPr>
              <w:t>Registered engineer of the discipline; office stamp</w:t>
            </w:r>
          </w:p>
        </w:tc>
        <w:tc>
          <w:tcPr>
            <w:tcW w:type="dxa" w:w="2379"/>
          </w:tcPr>
          <w:p>
            <w:r>
              <w:rPr>
                <w:sz w:val="17"/>
              </w:rPr>
            </w:r>
            <w:r>
              <w:rPr>
                <w:sz w:val="17"/>
              </w:rPr>
              <w:t>No open Level 0/​1 comment; BIM checklist issue sign-off</w:t>
            </w:r>
          </w:p>
        </w:tc>
      </w:tr>
      <w:tr>
        <w:trPr>
          <w:cantSplit/>
        </w:trPr>
        <w:tc>
          <w:tcPr>
            <w:tcW w:type="dxa" w:w="1911"/>
          </w:tcPr>
          <w:p>
            <w:r>
              <w:rPr>
                <w:sz w:val="17"/>
              </w:rPr>
            </w:r>
            <w:r>
              <w:rPr>
                <w:sz w:val="17"/>
              </w:rPr>
              <w:t>Submittal, RFI, inspection, NCR response</w:t>
            </w:r>
          </w:p>
        </w:tc>
        <w:tc>
          <w:tcPr>
            <w:tcW w:type="dxa" w:w="1918"/>
          </w:tcPr>
          <w:p>
            <w:r>
              <w:rPr>
                <w:sz w:val="17"/>
              </w:rPr>
            </w:r>
            <w:r>
              <w:rPr>
                <w:sz w:val="17"/>
              </w:rPr>
              <w:t>Discipline reviewer</w:t>
            </w:r>
          </w:p>
        </w:tc>
        <w:tc>
          <w:tcPr>
            <w:tcW w:type="dxa" w:w="1988"/>
          </w:tcPr>
          <w:p>
            <w:r>
              <w:rPr>
                <w:sz w:val="17"/>
              </w:rPr>
            </w:r>
            <w:r>
              <w:rPr>
                <w:sz w:val="17"/>
              </w:rPr>
              <w:t>Supervising engineer</w:t>
            </w:r>
          </w:p>
        </w:tc>
        <w:tc>
          <w:tcPr>
            <w:tcW w:type="dxa" w:w="2270"/>
          </w:tcPr>
          <w:p>
            <w:r>
              <w:rPr>
                <w:sz w:val="17"/>
              </w:rPr>
            </w:r>
            <w:r>
              <w:rPr>
                <w:sz w:val="17"/>
              </w:rPr>
              <w:t>Supervising /​ resident engineer</w:t>
            </w:r>
          </w:p>
        </w:tc>
        <w:tc>
          <w:tcPr>
            <w:tcW w:type="dxa" w:w="2379"/>
          </w:tcPr>
          <w:p>
            <w:r>
              <w:rPr>
                <w:sz w:val="17"/>
              </w:rPr>
            </w:r>
            <w:r>
              <w:rPr>
                <w:sz w:val="17"/>
              </w:rPr>
              <w:t>Within the contract authority</w:t>
            </w:r>
          </w:p>
        </w:tc>
      </w:tr>
      <w:tr>
        <w:trPr>
          <w:cantSplit/>
        </w:trPr>
        <w:tc>
          <w:tcPr>
            <w:tcW w:type="dxa" w:w="1911"/>
          </w:tcPr>
          <w:p>
            <w:r>
              <w:rPr>
                <w:sz w:val="17"/>
              </w:rPr>
            </w:r>
            <w:r>
              <w:rPr>
                <w:sz w:val="17"/>
              </w:rPr>
              <w:t>Site instruction</w:t>
            </w:r>
          </w:p>
        </w:tc>
        <w:tc>
          <w:tcPr>
            <w:tcW w:type="dxa" w:w="1918"/>
          </w:tcPr>
          <w:p>
            <w:r>
              <w:rPr>
                <w:sz w:val="17"/>
              </w:rPr>
            </w:r>
            <w:r>
              <w:rPr>
                <w:sz w:val="17"/>
              </w:rPr>
              <w:t>Supervising engineer</w:t>
            </w:r>
          </w:p>
        </w:tc>
        <w:tc>
          <w:tcPr>
            <w:tcW w:type="dxa" w:w="1988"/>
          </w:tcPr>
          <w:p>
            <w:r>
              <w:rPr>
                <w:sz w:val="17"/>
              </w:rPr>
            </w:r>
            <w:r>
              <w:rPr>
                <w:sz w:val="17"/>
              </w:rPr>
              <w:t>Project director where cost or time is affected</w:t>
            </w:r>
          </w:p>
        </w:tc>
        <w:tc>
          <w:tcPr>
            <w:tcW w:type="dxa" w:w="2270"/>
          </w:tcPr>
          <w:p>
            <w:r>
              <w:rPr>
                <w:sz w:val="17"/>
              </w:rPr>
            </w:r>
            <w:r>
              <w:rPr>
                <w:sz w:val="17"/>
              </w:rPr>
              <w:t>Supervising engineer; client approval where required</w:t>
            </w:r>
          </w:p>
        </w:tc>
        <w:tc>
          <w:tcPr>
            <w:tcW w:type="dxa" w:w="2379"/>
          </w:tcPr>
          <w:p>
            <w:r>
              <w:rPr>
                <w:sz w:val="17"/>
              </w:rPr>
            </w:r>
            <w:r>
              <w:rPr>
                <w:sz w:val="17"/>
              </w:rPr>
              <w:t>Written; logged before issue</w:t>
            </w:r>
          </w:p>
        </w:tc>
      </w:tr>
      <w:tr>
        <w:trPr>
          <w:cantSplit/>
        </w:trPr>
        <w:tc>
          <w:tcPr>
            <w:tcW w:type="dxa" w:w="1911"/>
          </w:tcPr>
          <w:p>
            <w:r>
              <w:rPr>
                <w:sz w:val="17"/>
              </w:rPr>
            </w:r>
            <w:r>
              <w:rPr>
                <w:sz w:val="17"/>
              </w:rPr>
              <w:t>Variation recommendation</w:t>
            </w:r>
          </w:p>
        </w:tc>
        <w:tc>
          <w:tcPr>
            <w:tcW w:type="dxa" w:w="1918"/>
          </w:tcPr>
          <w:p>
            <w:r>
              <w:rPr>
                <w:sz w:val="17"/>
              </w:rPr>
            </w:r>
            <w:r>
              <w:rPr>
                <w:sz w:val="17"/>
              </w:rPr>
              <w:t>Supervising engineer with cost input</w:t>
            </w:r>
          </w:p>
        </w:tc>
        <w:tc>
          <w:tcPr>
            <w:tcW w:type="dxa" w:w="1988"/>
          </w:tcPr>
          <w:p>
            <w:r>
              <w:rPr>
                <w:sz w:val="17"/>
              </w:rPr>
            </w:r>
            <w:r>
              <w:rPr>
                <w:sz w:val="17"/>
              </w:rPr>
              <w:t>Project director</w:t>
            </w:r>
          </w:p>
        </w:tc>
        <w:tc>
          <w:tcPr>
            <w:tcW w:type="dxa" w:w="2270"/>
          </w:tcPr>
          <w:p>
            <w:r>
              <w:rPr>
                <w:sz w:val="17"/>
              </w:rPr>
            </w:r>
            <w:r>
              <w:rPr>
                <w:sz w:val="17"/>
              </w:rPr>
              <w:t>Project director</w:t>
            </w:r>
          </w:p>
        </w:tc>
        <w:tc>
          <w:tcPr>
            <w:tcW w:type="dxa" w:w="2379"/>
          </w:tcPr>
          <w:p>
            <w:r>
              <w:rPr>
                <w:sz w:val="17"/>
              </w:rPr>
            </w:r>
            <w:r>
              <w:rPr>
                <w:sz w:val="17"/>
              </w:rPr>
              <w:t>Employer approval recorded before execution</w:t>
            </w:r>
          </w:p>
        </w:tc>
      </w:tr>
      <w:tr>
        <w:trPr>
          <w:cantSplit/>
        </w:trPr>
        <w:tc>
          <w:tcPr>
            <w:tcW w:type="dxa" w:w="1911"/>
          </w:tcPr>
          <w:p>
            <w:r>
              <w:rPr>
                <w:sz w:val="17"/>
              </w:rPr>
            </w:r>
            <w:r>
              <w:rPr>
                <w:sz w:val="17"/>
              </w:rPr>
              <w:t>Phase report (Abu Dhabi)</w:t>
            </w:r>
          </w:p>
        </w:tc>
        <w:tc>
          <w:tcPr>
            <w:tcW w:type="dxa" w:w="1918"/>
          </w:tcPr>
          <w:p>
            <w:r>
              <w:rPr>
                <w:sz w:val="17"/>
              </w:rPr>
            </w:r>
            <w:r>
              <w:rPr>
                <w:sz w:val="17"/>
              </w:rPr>
              <w:t>Contractor with the supervising engineer</w:t>
            </w:r>
          </w:p>
        </w:tc>
        <w:tc>
          <w:tcPr>
            <w:tcW w:type="dxa" w:w="1988"/>
          </w:tcPr>
          <w:p>
            <w:r>
              <w:rPr>
                <w:sz w:val="17"/>
              </w:rPr>
            </w:r>
            <w:r>
              <w:rPr>
                <w:sz w:val="17"/>
              </w:rPr>
              <w:t>Supervising engineer</w:t>
            </w:r>
          </w:p>
        </w:tc>
        <w:tc>
          <w:tcPr>
            <w:tcW w:type="dxa" w:w="2270"/>
          </w:tcPr>
          <w:p>
            <w:r>
              <w:rPr>
                <w:sz w:val="17"/>
              </w:rPr>
            </w:r>
            <w:r>
              <w:rPr>
                <w:sz w:val="17"/>
              </w:rPr>
              <w:t>Supervision consultant and contractor jointly</w:t>
            </w:r>
          </w:p>
        </w:tc>
        <w:tc>
          <w:tcPr>
            <w:tcW w:type="dxa" w:w="2379"/>
          </w:tcPr>
          <w:p>
            <w:r>
              <w:rPr>
                <w:sz w:val="17"/>
              </w:rPr>
            </w:r>
            <w:r>
              <w:rPr>
                <w:sz w:val="17"/>
              </w:rPr>
              <w:t>Inspection results attached</w:t>
            </w:r>
          </w:p>
        </w:tc>
      </w:tr>
      <w:tr>
        <w:trPr>
          <w:cantSplit/>
        </w:trPr>
        <w:tc>
          <w:tcPr>
            <w:tcW w:type="dxa" w:w="1911"/>
          </w:tcPr>
          <w:p>
            <w:r>
              <w:rPr>
                <w:sz w:val="17"/>
              </w:rPr>
            </w:r>
            <w:r>
              <w:rPr>
                <w:sz w:val="17"/>
              </w:rPr>
              <w:t>Completion approval, taking-over certificate</w:t>
            </w:r>
          </w:p>
        </w:tc>
        <w:tc>
          <w:tcPr>
            <w:tcW w:type="dxa" w:w="1918"/>
          </w:tcPr>
          <w:p>
            <w:r>
              <w:rPr>
                <w:sz w:val="17"/>
              </w:rPr>
            </w:r>
            <w:r>
              <w:rPr>
                <w:sz w:val="17"/>
              </w:rPr>
              <w:t>Supervising engineer</w:t>
            </w:r>
          </w:p>
        </w:tc>
        <w:tc>
          <w:tcPr>
            <w:tcW w:type="dxa" w:w="1988"/>
          </w:tcPr>
          <w:p>
            <w:r>
              <w:rPr>
                <w:sz w:val="17"/>
              </w:rPr>
            </w:r>
            <w:r>
              <w:rPr>
                <w:sz w:val="17"/>
              </w:rPr>
              <w:t>Project director</w:t>
            </w:r>
          </w:p>
        </w:tc>
        <w:tc>
          <w:tcPr>
            <w:tcW w:type="dxa" w:w="2270"/>
          </w:tcPr>
          <w:p>
            <w:r>
              <w:rPr>
                <w:sz w:val="17"/>
              </w:rPr>
            </w:r>
            <w:r>
              <w:rPr>
                <w:sz w:val="17"/>
              </w:rPr>
              <w:t>Consultant of record /​ project director</w:t>
            </w:r>
          </w:p>
        </w:tc>
        <w:tc>
          <w:tcPr>
            <w:tcW w:type="dxa" w:w="2379"/>
          </w:tcPr>
          <w:p>
            <w:r>
              <w:rPr>
                <w:sz w:val="17"/>
              </w:rPr>
            </w:r>
            <w:r>
              <w:rPr>
                <w:sz w:val="17"/>
              </w:rPr>
              <w:t>No open conformity NCR; authority inspections passed</w:t>
            </w:r>
          </w:p>
        </w:tc>
      </w:tr>
      <w:tr>
        <w:trPr>
          <w:cantSplit/>
        </w:trPr>
        <w:tc>
          <w:tcPr>
            <w:tcW w:type="dxa" w:w="1911"/>
          </w:tcPr>
          <w:p>
            <w:r>
              <w:rPr>
                <w:sz w:val="17"/>
              </w:rPr>
            </w:r>
            <w:r>
              <w:rPr>
                <w:sz w:val="17"/>
              </w:rPr>
              <w:t>Services variation, novation</w:t>
            </w:r>
          </w:p>
        </w:tc>
        <w:tc>
          <w:tcPr>
            <w:tcW w:type="dxa" w:w="1918"/>
          </w:tcPr>
          <w:p>
            <w:r>
              <w:rPr>
                <w:sz w:val="17"/>
              </w:rPr>
            </w:r>
            <w:r>
              <w:rPr>
                <w:sz w:val="17"/>
              </w:rPr>
              <w:t>Project manager</w:t>
            </w:r>
          </w:p>
        </w:tc>
        <w:tc>
          <w:tcPr>
            <w:tcW w:type="dxa" w:w="1988"/>
          </w:tcPr>
          <w:p>
            <w:r>
              <w:rPr>
                <w:sz w:val="17"/>
              </w:rPr>
            </w:r>
            <w:r>
              <w:rPr>
                <w:sz w:val="17"/>
              </w:rPr>
              <w:t>Practice director</w:t>
            </w:r>
          </w:p>
        </w:tc>
        <w:tc>
          <w:tcPr>
            <w:tcW w:type="dxa" w:w="2270"/>
          </w:tcPr>
          <w:p>
            <w:r>
              <w:rPr>
                <w:sz w:val="17"/>
              </w:rPr>
            </w:r>
            <w:r>
              <w:rPr>
                <w:sz w:val="17"/>
              </w:rPr>
              <w:t>Practice director</w:t>
            </w:r>
          </w:p>
        </w:tc>
        <w:tc>
          <w:tcPr>
            <w:tcW w:type="dxa" w:w="2379"/>
          </w:tcPr>
          <w:p>
            <w:r>
              <w:rPr>
                <w:sz w:val="17"/>
              </w:rPr>
            </w:r>
            <w:r>
              <w:rPr>
                <w:sz w:val="17"/>
              </w:rPr>
              <w:t>Written before the new scope starts</w:t>
            </w:r>
          </w:p>
        </w:tc>
      </w:tr>
    </w:tbl>
    <w:p/>
    <w:p>
      <w:pPr/>
      <w:r>
        <w:t>The office refuses to sign or stamp when the condition is not met. The refusal is one line in the tracker row ("held: &lt;condition&gt;"), not a dispute (</w:t>
      </w:r>
      <w:r>
        <w:rPr>
          <w:color w:val="9A7B45"/>
          <w:u w:val="single"/>
        </w:rPr>
        <w:t>O-DEC-172</w:t>
      </w:r>
      <w:r>
        <w:t>).</w:t>
      </w:r>
    </w:p>
    <w:p>
      <w:pPr>
        <w:pStyle w:val="Heading1"/>
      </w:pPr>
      <w:r>
        <w:t>8 Liability notes</w:t>
      </w:r>
    </w:p>
    <w:p>
      <w:pPr>
        <w:pStyle w:val="ListParagraph"/>
        <w:spacing w:after="40"/>
        <w:ind w:left="360" w:hanging="240"/>
      </w:pPr>
      <w:r>
        <w:t xml:space="preserve">•  </w:t>
      </w:r>
      <w:r>
        <w:rPr>
          <w:b/>
        </w:rPr>
        <w:t>Decennial liability.</w:t>
      </w:r>
      <w:r>
        <w:t xml:space="preserve"> For contracts concluded from 1 June 2026, Federal Decree-Law No. 25 of 2025 (Civil Transactions Law) Art. 821 makes the engineer who designed and supervised and the contractor jointly liable for ten years, from the employer taking delivery, for total or partial collapse and for defects threatening the structural integrity and safety of the building, even when the defect is in the land. Art. 822 limits a design-only engineer to design defects; clauses excluding or reducing this liability are void (Art. 823); claims are brought within three years of the collapse or discovery (Art. 824). Contracts concluded before 1 June 2026 stay under Federal Law No. 5 of 1985 Arts. 880–883 (</w:t>
      </w:r>
      <w:r>
        <w:rPr>
          <w:color w:val="9A7B45"/>
          <w:u w:val="single"/>
        </w:rPr>
        <w:t>O-DEC-181</w:t>
      </w:r>
      <w:r>
        <w:t>).</w:t>
      </w:r>
    </w:p>
    <w:p>
      <w:pPr>
        <w:pStyle w:val="ListParagraph"/>
        <w:spacing w:after="40"/>
        <w:ind w:left="360" w:hanging="240"/>
      </w:pPr>
      <w:r>
        <w:t xml:space="preserve">•  </w:t>
      </w:r>
      <w:r>
        <w:rPr>
          <w:b/>
        </w:rPr>
        <w:t>Abu Dhabi.</w:t>
      </w:r>
      <w:r>
        <w:t xml:space="preserve"> Circular No. 9 of 2026 makes the supervision consultant and the contractor jointly liable for non-compliance, defects or non-conforming works within their legislative scopes.</w:t>
      </w:r>
    </w:p>
    <w:p>
      <w:pPr>
        <w:pStyle w:val="ListParagraph"/>
        <w:spacing w:after="40"/>
        <w:ind w:left="360" w:hanging="240"/>
      </w:pPr>
      <w:r>
        <w:t xml:space="preserve">•  </w:t>
      </w:r>
      <w:r>
        <w:rPr>
          <w:b/>
        </w:rPr>
        <w:t>Dubai.</w:t>
      </w:r>
      <w:r>
        <w:t xml:space="preserve"> An engineering office keeps the originals of its consultancy contracts and all records, drawings and digital copies for at least ten years from the completion certificate or the end of the contract, and does not reuse a design made for one client for another without that client's prior written consent (Dubai Law No. 14 of 2025, obligations of engineering offices). The office keeps project records for at least 13 years after handover (</w:t>
      </w:r>
      <w:r>
        <w:rPr>
          <w:color w:val="9A7B45"/>
          <w:u w:val="single"/>
        </w:rPr>
        <w:t>BBM-STD-90</w:t>
      </w:r>
      <w:r>
        <w:t>, O-DEC-138), which covers both.</w:t>
      </w:r>
    </w:p>
    <w:p>
      <w:pPr>
        <w:pStyle w:val="ListParagraph"/>
        <w:spacing w:after="40"/>
        <w:ind w:left="360" w:hanging="240"/>
      </w:pPr>
      <w:r>
        <w:t xml:space="preserve">•  </w:t>
      </w:r>
      <w:r>
        <w:rPr>
          <w:b/>
        </w:rPr>
        <w:t>Insurance.</w:t>
      </w:r>
      <w:r>
        <w:t xml:space="preserve"> Professional indemnity cover is confirmed at contract review for every AOR appointment and kept for at least the decennial period of each project.</w:t>
      </w:r>
    </w:p>
    <w:p>
      <w:pPr>
        <w:pStyle w:val="ListParagraph"/>
        <w:spacing w:after="40"/>
        <w:ind w:left="360" w:hanging="240"/>
      </w:pPr>
      <w:r>
        <w:t xml:space="preserve">•  </w:t>
      </w:r>
      <w:r>
        <w:rPr>
          <w:b/>
        </w:rPr>
        <w:t>Scope of signature.</w:t>
      </w:r>
      <w:r>
        <w:t xml:space="preserve"> The office signs for the disciplines and building category of its registration only. In Dubai the local firm categories are First (unlimited floors), Second (G+12) and Third (G+4) under DM Administrative Resolution 255 of 2021; a building above the office's category needs a consultant of record of a higher category.</w:t>
      </w:r>
    </w:p>
    <w:p>
      <w:pPr>
        <w:pStyle w:val="Heading1"/>
      </w:pPr>
      <w:r>
        <w:t>9 RACI</w:t>
      </w:r>
    </w:p>
    <w:p>
      <w:pPr/>
      <w:r>
        <w:t xml:space="preserve">R performs, A is the single accountable party, C is consulted, I is informed (one A per row, </w:t>
      </w:r>
      <w:r>
        <w:rPr>
          <w:color w:val="9A7B45"/>
          <w:u w:val="single"/>
        </w:rPr>
        <w:t>BBM-STD-55</w:t>
      </w:r>
      <w:r>
        <w:t xml:space="preserve"> §3). Model M2 (AOR for a design architect) is shown; in M1 the design architect column falls to the office.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768"/>
        <w:gridCol w:w="735"/>
        <w:gridCol w:w="1676"/>
        <w:gridCol w:w="1319"/>
        <w:gridCol w:w="1151"/>
        <w:gridCol w:w="1181"/>
        <w:gridCol w:w="636"/>
      </w:tblGrid>
      <w:tr>
        <w:trPr>
          <w:cantSplit/>
          <w:tblHeader/>
        </w:trPr>
        <w:tc>
          <w:tcPr>
            <w:tcW w:type="dxa" w:w="3768"/>
            <w:shd w:val="clear" w:color="auto" w:fill="111113"/>
          </w:tcPr>
          <w:p>
            <w:r>
              <w:rPr>
                <w:b/>
                <w:color w:val="FFFFFF"/>
                <w:sz w:val="17"/>
              </w:rPr>
            </w:r>
            <w:r>
              <w:rPr>
                <w:b/>
                <w:color w:val="FFFFFF"/>
                <w:sz w:val="17"/>
              </w:rPr>
              <w:t>Activity</w:t>
            </w:r>
          </w:p>
        </w:tc>
        <w:tc>
          <w:tcPr>
            <w:tcW w:type="dxa" w:w="735"/>
            <w:shd w:val="clear" w:color="auto" w:fill="111113"/>
          </w:tcPr>
          <w:p>
            <w:r>
              <w:rPr>
                <w:b/>
                <w:color w:val="FFFFFF"/>
                <w:sz w:val="17"/>
              </w:rPr>
            </w:r>
            <w:r>
              <w:rPr>
                <w:b/>
                <w:color w:val="FFFFFF"/>
                <w:sz w:val="17"/>
              </w:rPr>
              <w:t>Client</w:t>
            </w:r>
          </w:p>
        </w:tc>
        <w:tc>
          <w:tcPr>
            <w:tcW w:type="dxa" w:w="1676"/>
            <w:shd w:val="clear" w:color="auto" w:fill="111113"/>
          </w:tcPr>
          <w:p>
            <w:r>
              <w:rPr>
                <w:b/>
                <w:color w:val="FFFFFF"/>
                <w:sz w:val="17"/>
              </w:rPr>
            </w:r>
            <w:r>
              <w:rPr>
                <w:b/>
                <w:color w:val="FFFFFF"/>
                <w:sz w:val="17"/>
              </w:rPr>
              <w:t>Design architect</w:t>
            </w:r>
          </w:p>
        </w:tc>
        <w:tc>
          <w:tcPr>
            <w:tcW w:type="dxa" w:w="1319"/>
            <w:shd w:val="clear" w:color="auto" w:fill="111113"/>
          </w:tcPr>
          <w:p>
            <w:r>
              <w:rPr>
                <w:b/>
                <w:color w:val="FFFFFF"/>
                <w:sz w:val="17"/>
              </w:rPr>
            </w:r>
            <w:r>
              <w:rPr>
                <w:b/>
                <w:color w:val="FFFFFF"/>
                <w:sz w:val="17"/>
              </w:rPr>
              <w:t>AOR (office)</w:t>
            </w:r>
          </w:p>
        </w:tc>
        <w:tc>
          <w:tcPr>
            <w:tcW w:type="dxa" w:w="1151"/>
            <w:shd w:val="clear" w:color="auto" w:fill="111113"/>
          </w:tcPr>
          <w:p>
            <w:r>
              <w:rPr>
                <w:b/>
                <w:color w:val="FFFFFF"/>
                <w:sz w:val="17"/>
              </w:rPr>
            </w:r>
            <w:r>
              <w:rPr>
                <w:b/>
                <w:color w:val="FFFFFF"/>
                <w:sz w:val="17"/>
              </w:rPr>
              <w:t>Contractor</w:t>
            </w:r>
          </w:p>
        </w:tc>
        <w:tc>
          <w:tcPr>
            <w:tcW w:type="dxa" w:w="1181"/>
            <w:shd w:val="clear" w:color="auto" w:fill="111113"/>
          </w:tcPr>
          <w:p>
            <w:r>
              <w:rPr>
                <w:b/>
                <w:color w:val="FFFFFF"/>
                <w:sz w:val="17"/>
              </w:rPr>
            </w:r>
            <w:r>
              <w:rPr>
                <w:b/>
                <w:color w:val="FFFFFF"/>
                <w:sz w:val="17"/>
              </w:rPr>
              <w:t>Authorities</w:t>
            </w:r>
          </w:p>
        </w:tc>
        <w:tc>
          <w:tcPr>
            <w:tcW w:type="dxa" w:w="636"/>
            <w:shd w:val="clear" w:color="auto" w:fill="111113"/>
          </w:tcPr>
          <w:p>
            <w:r>
              <w:rPr>
                <w:b/>
                <w:color w:val="FFFFFF"/>
                <w:sz w:val="17"/>
              </w:rPr>
            </w:r>
            <w:r>
              <w:rPr>
                <w:b/>
                <w:color w:val="FFFFFF"/>
                <w:sz w:val="17"/>
              </w:rPr>
              <w:t>PMC</w:t>
            </w:r>
          </w:p>
        </w:tc>
      </w:tr>
      <w:tr>
        <w:trPr>
          <w:cantSplit/>
        </w:trPr>
        <w:tc>
          <w:tcPr>
            <w:tcW w:type="dxa" w:w="3768"/>
          </w:tcPr>
          <w:p>
            <w:r>
              <w:rPr>
                <w:sz w:val="17"/>
              </w:rPr>
            </w:r>
            <w:r>
              <w:rPr>
                <w:sz w:val="17"/>
              </w:rPr>
              <w:t>Brief, budget and programme</w:t>
            </w:r>
          </w:p>
        </w:tc>
        <w:tc>
          <w:tcPr>
            <w:tcW w:type="dxa" w:w="735"/>
          </w:tcPr>
          <w:p>
            <w:r>
              <w:rPr>
                <w:sz w:val="17"/>
              </w:rPr>
            </w:r>
            <w:r>
              <w:rPr>
                <w:sz w:val="17"/>
              </w:rPr>
              <w:t>A</w:t>
            </w:r>
          </w:p>
        </w:tc>
        <w:tc>
          <w:tcPr>
            <w:tcW w:type="dxa" w:w="1676"/>
          </w:tcPr>
          <w:p>
            <w:r>
              <w:rPr>
                <w:sz w:val="17"/>
              </w:rPr>
            </w:r>
            <w:r>
              <w:rPr>
                <w:sz w:val="17"/>
              </w:rPr>
              <w:t>C</w:t>
            </w:r>
          </w:p>
        </w:tc>
        <w:tc>
          <w:tcPr>
            <w:tcW w:type="dxa" w:w="1319"/>
          </w:tcPr>
          <w:p>
            <w:r>
              <w:rPr>
                <w:sz w:val="17"/>
              </w:rPr>
            </w:r>
            <w:r>
              <w:rPr>
                <w:sz w:val="17"/>
              </w:rPr>
              <w:t>C</w:t>
            </w:r>
          </w:p>
        </w:tc>
        <w:tc>
          <w:tcPr>
            <w:tcW w:type="dxa" w:w="1151"/>
          </w:tcPr>
          <w:p>
            <w:r>
              <w:rPr>
                <w:sz w:val="17"/>
              </w:rPr>
            </w:r>
            <w:r>
              <w:rPr>
                <w:sz w:val="17"/>
              </w:rPr>
              <w:t>–</w:t>
            </w:r>
          </w:p>
        </w:tc>
        <w:tc>
          <w:tcPr>
            <w:tcW w:type="dxa" w:w="1181"/>
          </w:tcPr>
          <w:p>
            <w:r>
              <w:rPr>
                <w:sz w:val="17"/>
              </w:rPr>
            </w:r>
            <w:r>
              <w:rPr>
                <w:sz w:val="17"/>
              </w:rPr>
              <w:t>–</w:t>
            </w:r>
          </w:p>
        </w:tc>
        <w:tc>
          <w:tcPr>
            <w:tcW w:type="dxa" w:w="636"/>
          </w:tcPr>
          <w:p>
            <w:r>
              <w:rPr>
                <w:sz w:val="17"/>
              </w:rPr>
            </w:r>
            <w:r>
              <w:rPr>
                <w:sz w:val="17"/>
              </w:rPr>
              <w:t>R</w:t>
            </w:r>
          </w:p>
        </w:tc>
      </w:tr>
      <w:tr>
        <w:trPr>
          <w:cantSplit/>
        </w:trPr>
        <w:tc>
          <w:tcPr>
            <w:tcW w:type="dxa" w:w="3768"/>
          </w:tcPr>
          <w:p>
            <w:r>
              <w:rPr>
                <w:sz w:val="17"/>
              </w:rPr>
            </w:r>
            <w:r>
              <w:rPr>
                <w:sz w:val="17"/>
              </w:rPr>
              <w:t>Concept design</w:t>
            </w:r>
          </w:p>
        </w:tc>
        <w:tc>
          <w:tcPr>
            <w:tcW w:type="dxa" w:w="735"/>
          </w:tcPr>
          <w:p>
            <w:r>
              <w:rPr>
                <w:sz w:val="17"/>
              </w:rPr>
            </w:r>
            <w:r>
              <w:rPr>
                <w:sz w:val="17"/>
              </w:rPr>
              <w:t>A</w:t>
            </w:r>
          </w:p>
        </w:tc>
        <w:tc>
          <w:tcPr>
            <w:tcW w:type="dxa" w:w="1676"/>
          </w:tcPr>
          <w:p>
            <w:r>
              <w:rPr>
                <w:sz w:val="17"/>
              </w:rPr>
            </w:r>
            <w:r>
              <w:rPr>
                <w:sz w:val="17"/>
              </w:rPr>
              <w:t>R</w:t>
            </w:r>
          </w:p>
        </w:tc>
        <w:tc>
          <w:tcPr>
            <w:tcW w:type="dxa" w:w="1319"/>
          </w:tcPr>
          <w:p>
            <w:r>
              <w:rPr>
                <w:sz w:val="17"/>
              </w:rPr>
            </w:r>
            <w:r>
              <w:rPr>
                <w:sz w:val="17"/>
              </w:rPr>
              <w:t>C</w:t>
            </w:r>
          </w:p>
        </w:tc>
        <w:tc>
          <w:tcPr>
            <w:tcW w:type="dxa" w:w="1151"/>
          </w:tcPr>
          <w:p>
            <w:r>
              <w:rPr>
                <w:sz w:val="17"/>
              </w:rPr>
            </w:r>
            <w:r>
              <w:rPr>
                <w:sz w:val="17"/>
              </w:rPr>
              <w:t>–</w:t>
            </w:r>
          </w:p>
        </w:tc>
        <w:tc>
          <w:tcPr>
            <w:tcW w:type="dxa" w:w="1181"/>
          </w:tcPr>
          <w:p>
            <w:r>
              <w:rPr>
                <w:sz w:val="17"/>
              </w:rPr>
            </w:r>
            <w:r>
              <w:rPr>
                <w:sz w:val="17"/>
              </w:rPr>
              <w:t>I</w:t>
            </w:r>
          </w:p>
        </w:tc>
        <w:tc>
          <w:tcPr>
            <w:tcW w:type="dxa" w:w="636"/>
          </w:tcPr>
          <w:p>
            <w:r>
              <w:rPr>
                <w:sz w:val="17"/>
              </w:rPr>
            </w:r>
            <w:r>
              <w:rPr>
                <w:sz w:val="17"/>
              </w:rPr>
              <w:t>C</w:t>
            </w:r>
          </w:p>
        </w:tc>
      </w:tr>
      <w:tr>
        <w:trPr>
          <w:cantSplit/>
        </w:trPr>
        <w:tc>
          <w:tcPr>
            <w:tcW w:type="dxa" w:w="3768"/>
          </w:tcPr>
          <w:p>
            <w:r>
              <w:rPr>
                <w:sz w:val="17"/>
              </w:rPr>
            </w:r>
            <w:r>
              <w:rPr>
                <w:sz w:val="17"/>
              </w:rPr>
              <w:t>Concept and planning approval</w:t>
            </w:r>
          </w:p>
        </w:tc>
        <w:tc>
          <w:tcPr>
            <w:tcW w:type="dxa" w:w="735"/>
          </w:tcPr>
          <w:p>
            <w:r>
              <w:rPr>
                <w:sz w:val="17"/>
              </w:rPr>
            </w:r>
            <w:r>
              <w:rPr>
                <w:sz w:val="17"/>
              </w:rPr>
              <w:t>I</w:t>
            </w:r>
          </w:p>
        </w:tc>
        <w:tc>
          <w:tcPr>
            <w:tcW w:type="dxa" w:w="1676"/>
          </w:tcPr>
          <w:p>
            <w:r>
              <w:rPr>
                <w:sz w:val="17"/>
              </w:rPr>
            </w:r>
            <w:r>
              <w:rPr>
                <w:sz w:val="17"/>
              </w:rPr>
              <w:t>C</w:t>
            </w:r>
          </w:p>
        </w:tc>
        <w:tc>
          <w:tcPr>
            <w:tcW w:type="dxa" w:w="1319"/>
          </w:tcPr>
          <w:p>
            <w:r>
              <w:rPr>
                <w:sz w:val="17"/>
              </w:rPr>
            </w:r>
            <w:r>
              <w:rPr>
                <w:sz w:val="17"/>
              </w:rPr>
              <w:t>A/​R</w:t>
            </w:r>
          </w:p>
        </w:tc>
        <w:tc>
          <w:tcPr>
            <w:tcW w:type="dxa" w:w="1151"/>
          </w:tcPr>
          <w:p>
            <w:r>
              <w:rPr>
                <w:sz w:val="17"/>
              </w:rPr>
            </w:r>
            <w:r>
              <w:rPr>
                <w:sz w:val="17"/>
              </w:rPr>
              <w:t>–</w:t>
            </w:r>
          </w:p>
        </w:tc>
        <w:tc>
          <w:tcPr>
            <w:tcW w:type="dxa" w:w="1181"/>
          </w:tcPr>
          <w:p>
            <w:r>
              <w:rPr>
                <w:sz w:val="17"/>
              </w:rPr>
            </w:r>
            <w:r>
              <w:rPr>
                <w:sz w:val="17"/>
              </w:rPr>
              <w:t>C</w:t>
            </w:r>
          </w:p>
        </w:tc>
        <w:tc>
          <w:tcPr>
            <w:tcW w:type="dxa" w:w="636"/>
          </w:tcPr>
          <w:p>
            <w:r>
              <w:rPr>
                <w:sz w:val="17"/>
              </w:rPr>
            </w:r>
            <w:r>
              <w:rPr>
                <w:sz w:val="17"/>
              </w:rPr>
              <w:t>I</w:t>
            </w:r>
          </w:p>
        </w:tc>
      </w:tr>
      <w:tr>
        <w:trPr>
          <w:cantSplit/>
        </w:trPr>
        <w:tc>
          <w:tcPr>
            <w:tcW w:type="dxa" w:w="3768"/>
          </w:tcPr>
          <w:p>
            <w:r>
              <w:rPr>
                <w:sz w:val="17"/>
              </w:rPr>
            </w:r>
            <w:r>
              <w:rPr>
                <w:sz w:val="17"/>
              </w:rPr>
              <w:t>NOCs and permit packages</w:t>
            </w:r>
          </w:p>
        </w:tc>
        <w:tc>
          <w:tcPr>
            <w:tcW w:type="dxa" w:w="735"/>
          </w:tcPr>
          <w:p>
            <w:r>
              <w:rPr>
                <w:sz w:val="17"/>
              </w:rPr>
            </w:r>
            <w:r>
              <w:rPr>
                <w:sz w:val="17"/>
              </w:rPr>
              <w:t>I</w:t>
            </w:r>
          </w:p>
        </w:tc>
        <w:tc>
          <w:tcPr>
            <w:tcW w:type="dxa" w:w="1676"/>
          </w:tcPr>
          <w:p>
            <w:r>
              <w:rPr>
                <w:sz w:val="17"/>
              </w:rPr>
            </w:r>
            <w:r>
              <w:rPr>
                <w:sz w:val="17"/>
              </w:rPr>
              <w:t>C</w:t>
            </w:r>
          </w:p>
        </w:tc>
        <w:tc>
          <w:tcPr>
            <w:tcW w:type="dxa" w:w="1319"/>
          </w:tcPr>
          <w:p>
            <w:r>
              <w:rPr>
                <w:sz w:val="17"/>
              </w:rPr>
            </w:r>
            <w:r>
              <w:rPr>
                <w:sz w:val="17"/>
              </w:rPr>
              <w:t>A/​R</w:t>
            </w:r>
          </w:p>
        </w:tc>
        <w:tc>
          <w:tcPr>
            <w:tcW w:type="dxa" w:w="1151"/>
          </w:tcPr>
          <w:p>
            <w:r>
              <w:rPr>
                <w:sz w:val="17"/>
              </w:rPr>
            </w:r>
            <w:r>
              <w:rPr>
                <w:sz w:val="17"/>
              </w:rPr>
              <w:t>–</w:t>
            </w:r>
          </w:p>
        </w:tc>
        <w:tc>
          <w:tcPr>
            <w:tcW w:type="dxa" w:w="1181"/>
          </w:tcPr>
          <w:p>
            <w:r>
              <w:rPr>
                <w:sz w:val="17"/>
              </w:rPr>
            </w:r>
            <w:r>
              <w:rPr>
                <w:sz w:val="17"/>
              </w:rPr>
              <w:t>C</w:t>
            </w:r>
          </w:p>
        </w:tc>
        <w:tc>
          <w:tcPr>
            <w:tcW w:type="dxa" w:w="636"/>
          </w:tcPr>
          <w:p>
            <w:r>
              <w:rPr>
                <w:sz w:val="17"/>
              </w:rPr>
            </w:r>
            <w:r>
              <w:rPr>
                <w:sz w:val="17"/>
              </w:rPr>
              <w:t>I</w:t>
            </w:r>
          </w:p>
        </w:tc>
      </w:tr>
      <w:tr>
        <w:trPr>
          <w:cantSplit/>
        </w:trPr>
        <w:tc>
          <w:tcPr>
            <w:tcW w:type="dxa" w:w="3768"/>
          </w:tcPr>
          <w:p>
            <w:r>
              <w:rPr>
                <w:sz w:val="17"/>
              </w:rPr>
            </w:r>
            <w:r>
              <w:rPr>
                <w:sz w:val="17"/>
              </w:rPr>
              <w:t>Technical design and IFC</w:t>
            </w:r>
          </w:p>
        </w:tc>
        <w:tc>
          <w:tcPr>
            <w:tcW w:type="dxa" w:w="735"/>
          </w:tcPr>
          <w:p>
            <w:r>
              <w:rPr>
                <w:sz w:val="17"/>
              </w:rPr>
            </w:r>
            <w:r>
              <w:rPr>
                <w:sz w:val="17"/>
              </w:rPr>
              <w:t>I</w:t>
            </w:r>
          </w:p>
        </w:tc>
        <w:tc>
          <w:tcPr>
            <w:tcW w:type="dxa" w:w="1676"/>
          </w:tcPr>
          <w:p>
            <w:r>
              <w:rPr>
                <w:sz w:val="17"/>
              </w:rPr>
            </w:r>
            <w:r>
              <w:rPr>
                <w:sz w:val="17"/>
              </w:rPr>
              <w:t>C</w:t>
            </w:r>
          </w:p>
        </w:tc>
        <w:tc>
          <w:tcPr>
            <w:tcW w:type="dxa" w:w="1319"/>
          </w:tcPr>
          <w:p>
            <w:r>
              <w:rPr>
                <w:sz w:val="17"/>
              </w:rPr>
            </w:r>
            <w:r>
              <w:rPr>
                <w:sz w:val="17"/>
              </w:rPr>
              <w:t>A/​R</w:t>
            </w:r>
          </w:p>
        </w:tc>
        <w:tc>
          <w:tcPr>
            <w:tcW w:type="dxa" w:w="1151"/>
          </w:tcPr>
          <w:p>
            <w:r>
              <w:rPr>
                <w:sz w:val="17"/>
              </w:rPr>
            </w:r>
            <w:r>
              <w:rPr>
                <w:sz w:val="17"/>
              </w:rPr>
              <w:t>–</w:t>
            </w:r>
          </w:p>
        </w:tc>
        <w:tc>
          <w:tcPr>
            <w:tcW w:type="dxa" w:w="1181"/>
          </w:tcPr>
          <w:p>
            <w:r>
              <w:rPr>
                <w:sz w:val="17"/>
              </w:rPr>
            </w:r>
            <w:r>
              <w:rPr>
                <w:sz w:val="17"/>
              </w:rPr>
              <w:t>–</w:t>
            </w:r>
          </w:p>
        </w:tc>
        <w:tc>
          <w:tcPr>
            <w:tcW w:type="dxa" w:w="636"/>
          </w:tcPr>
          <w:p>
            <w:r>
              <w:rPr>
                <w:sz w:val="17"/>
              </w:rPr>
            </w:r>
            <w:r>
              <w:rPr>
                <w:sz w:val="17"/>
              </w:rPr>
              <w:t>C</w:t>
            </w:r>
          </w:p>
        </w:tc>
      </w:tr>
      <w:tr>
        <w:trPr>
          <w:cantSplit/>
        </w:trPr>
        <w:tc>
          <w:tcPr>
            <w:tcW w:type="dxa" w:w="3768"/>
          </w:tcPr>
          <w:p>
            <w:r>
              <w:rPr>
                <w:sz w:val="17"/>
              </w:rPr>
            </w:r>
            <w:r>
              <w:rPr>
                <w:sz w:val="17"/>
              </w:rPr>
              <w:t>AOR review of design-architect packages</w:t>
            </w:r>
          </w:p>
        </w:tc>
        <w:tc>
          <w:tcPr>
            <w:tcW w:type="dxa" w:w="735"/>
          </w:tcPr>
          <w:p>
            <w:r>
              <w:rPr>
                <w:sz w:val="17"/>
              </w:rPr>
            </w:r>
            <w:r>
              <w:rPr>
                <w:sz w:val="17"/>
              </w:rPr>
              <w:t>I</w:t>
            </w:r>
          </w:p>
        </w:tc>
        <w:tc>
          <w:tcPr>
            <w:tcW w:type="dxa" w:w="1676"/>
          </w:tcPr>
          <w:p>
            <w:r>
              <w:rPr>
                <w:sz w:val="17"/>
              </w:rPr>
            </w:r>
            <w:r>
              <w:rPr>
                <w:sz w:val="17"/>
              </w:rPr>
              <w:t>R</w:t>
            </w:r>
          </w:p>
        </w:tc>
        <w:tc>
          <w:tcPr>
            <w:tcW w:type="dxa" w:w="1319"/>
          </w:tcPr>
          <w:p>
            <w:r>
              <w:rPr>
                <w:sz w:val="17"/>
              </w:rPr>
            </w:r>
            <w:r>
              <w:rPr>
                <w:sz w:val="17"/>
              </w:rPr>
              <w:t>A</w:t>
            </w:r>
          </w:p>
        </w:tc>
        <w:tc>
          <w:tcPr>
            <w:tcW w:type="dxa" w:w="1151"/>
          </w:tcPr>
          <w:p>
            <w:r>
              <w:rPr>
                <w:sz w:val="17"/>
              </w:rPr>
            </w:r>
            <w:r>
              <w:rPr>
                <w:sz w:val="17"/>
              </w:rPr>
              <w:t>–</w:t>
            </w:r>
          </w:p>
        </w:tc>
        <w:tc>
          <w:tcPr>
            <w:tcW w:type="dxa" w:w="1181"/>
          </w:tcPr>
          <w:p>
            <w:r>
              <w:rPr>
                <w:sz w:val="17"/>
              </w:rPr>
            </w:r>
            <w:r>
              <w:rPr>
                <w:sz w:val="17"/>
              </w:rPr>
              <w:t>–</w:t>
            </w:r>
          </w:p>
        </w:tc>
        <w:tc>
          <w:tcPr>
            <w:tcW w:type="dxa" w:w="636"/>
          </w:tcPr>
          <w:p>
            <w:r>
              <w:rPr>
                <w:sz w:val="17"/>
              </w:rPr>
            </w:r>
            <w:r>
              <w:rPr>
                <w:sz w:val="17"/>
              </w:rPr>
              <w:t>I</w:t>
            </w:r>
          </w:p>
        </w:tc>
      </w:tr>
      <w:tr>
        <w:trPr>
          <w:cantSplit/>
        </w:trPr>
        <w:tc>
          <w:tcPr>
            <w:tcW w:type="dxa" w:w="3768"/>
          </w:tcPr>
          <w:p>
            <w:r>
              <w:rPr>
                <w:sz w:val="17"/>
              </w:rPr>
            </w:r>
            <w:r>
              <w:rPr>
                <w:sz w:val="17"/>
              </w:rPr>
              <w:t>Tender documents</w:t>
            </w:r>
          </w:p>
        </w:tc>
        <w:tc>
          <w:tcPr>
            <w:tcW w:type="dxa" w:w="735"/>
          </w:tcPr>
          <w:p>
            <w:r>
              <w:rPr>
                <w:sz w:val="17"/>
              </w:rPr>
            </w:r>
            <w:r>
              <w:rPr>
                <w:sz w:val="17"/>
              </w:rPr>
              <w:t>I</w:t>
            </w:r>
          </w:p>
        </w:tc>
        <w:tc>
          <w:tcPr>
            <w:tcW w:type="dxa" w:w="1676"/>
          </w:tcPr>
          <w:p>
            <w:r>
              <w:rPr>
                <w:sz w:val="17"/>
              </w:rPr>
            </w:r>
            <w:r>
              <w:rPr>
                <w:sz w:val="17"/>
              </w:rPr>
              <w:t>C</w:t>
            </w:r>
          </w:p>
        </w:tc>
        <w:tc>
          <w:tcPr>
            <w:tcW w:type="dxa" w:w="1319"/>
          </w:tcPr>
          <w:p>
            <w:r>
              <w:rPr>
                <w:sz w:val="17"/>
              </w:rPr>
            </w:r>
            <w:r>
              <w:rPr>
                <w:sz w:val="17"/>
              </w:rPr>
              <w:t>A/​R</w:t>
            </w:r>
          </w:p>
        </w:tc>
        <w:tc>
          <w:tcPr>
            <w:tcW w:type="dxa" w:w="1151"/>
          </w:tcPr>
          <w:p>
            <w:r>
              <w:rPr>
                <w:sz w:val="17"/>
              </w:rPr>
            </w:r>
            <w:r>
              <w:rPr>
                <w:sz w:val="17"/>
              </w:rPr>
              <w:t>–</w:t>
            </w:r>
          </w:p>
        </w:tc>
        <w:tc>
          <w:tcPr>
            <w:tcW w:type="dxa" w:w="1181"/>
          </w:tcPr>
          <w:p>
            <w:r>
              <w:rPr>
                <w:sz w:val="17"/>
              </w:rPr>
            </w:r>
            <w:r>
              <w:rPr>
                <w:sz w:val="17"/>
              </w:rPr>
              <w:t>–</w:t>
            </w:r>
          </w:p>
        </w:tc>
        <w:tc>
          <w:tcPr>
            <w:tcW w:type="dxa" w:w="636"/>
          </w:tcPr>
          <w:p>
            <w:r>
              <w:rPr>
                <w:sz w:val="17"/>
              </w:rPr>
            </w:r>
            <w:r>
              <w:rPr>
                <w:sz w:val="17"/>
              </w:rPr>
              <w:t>C</w:t>
            </w:r>
          </w:p>
        </w:tc>
      </w:tr>
      <w:tr>
        <w:trPr>
          <w:cantSplit/>
        </w:trPr>
        <w:tc>
          <w:tcPr>
            <w:tcW w:type="dxa" w:w="3768"/>
          </w:tcPr>
          <w:p>
            <w:r>
              <w:rPr>
                <w:sz w:val="17"/>
              </w:rPr>
            </w:r>
            <w:r>
              <w:rPr>
                <w:sz w:val="17"/>
              </w:rPr>
              <w:t>Shop drawings and material submittals</w:t>
            </w:r>
          </w:p>
        </w:tc>
        <w:tc>
          <w:tcPr>
            <w:tcW w:type="dxa" w:w="735"/>
          </w:tcPr>
          <w:p>
            <w:r>
              <w:rPr>
                <w:sz w:val="17"/>
              </w:rPr>
            </w:r>
            <w:r>
              <w:rPr>
                <w:sz w:val="17"/>
              </w:rPr>
              <w:t>I</w:t>
            </w:r>
          </w:p>
        </w:tc>
        <w:tc>
          <w:tcPr>
            <w:tcW w:type="dxa" w:w="1676"/>
          </w:tcPr>
          <w:p>
            <w:r>
              <w:rPr>
                <w:sz w:val="17"/>
              </w:rPr>
            </w:r>
            <w:r>
              <w:rPr>
                <w:sz w:val="17"/>
              </w:rPr>
              <w:t>C</w:t>
            </w:r>
          </w:p>
        </w:tc>
        <w:tc>
          <w:tcPr>
            <w:tcW w:type="dxa" w:w="1319"/>
          </w:tcPr>
          <w:p>
            <w:r>
              <w:rPr>
                <w:sz w:val="17"/>
              </w:rPr>
            </w:r>
            <w:r>
              <w:rPr>
                <w:sz w:val="17"/>
              </w:rPr>
              <w:t>A</w:t>
            </w:r>
          </w:p>
        </w:tc>
        <w:tc>
          <w:tcPr>
            <w:tcW w:type="dxa" w:w="1151"/>
          </w:tcPr>
          <w:p>
            <w:r>
              <w:rPr>
                <w:sz w:val="17"/>
              </w:rPr>
            </w:r>
            <w:r>
              <w:rPr>
                <w:sz w:val="17"/>
              </w:rPr>
              <w:t>R</w:t>
            </w:r>
          </w:p>
        </w:tc>
        <w:tc>
          <w:tcPr>
            <w:tcW w:type="dxa" w:w="1181"/>
          </w:tcPr>
          <w:p>
            <w:r>
              <w:rPr>
                <w:sz w:val="17"/>
              </w:rPr>
            </w:r>
            <w:r>
              <w:rPr>
                <w:sz w:val="17"/>
              </w:rPr>
              <w:t>–</w:t>
            </w:r>
          </w:p>
        </w:tc>
        <w:tc>
          <w:tcPr>
            <w:tcW w:type="dxa" w:w="636"/>
          </w:tcPr>
          <w:p>
            <w:r>
              <w:rPr>
                <w:sz w:val="17"/>
              </w:rPr>
            </w:r>
            <w:r>
              <w:rPr>
                <w:sz w:val="17"/>
              </w:rPr>
              <w:t>I</w:t>
            </w:r>
          </w:p>
        </w:tc>
      </w:tr>
      <w:tr>
        <w:trPr>
          <w:cantSplit/>
        </w:trPr>
        <w:tc>
          <w:tcPr>
            <w:tcW w:type="dxa" w:w="3768"/>
          </w:tcPr>
          <w:p>
            <w:r>
              <w:rPr>
                <w:sz w:val="17"/>
              </w:rPr>
            </w:r>
            <w:r>
              <w:rPr>
                <w:sz w:val="17"/>
              </w:rPr>
              <w:t>RFIs during construction</w:t>
            </w:r>
          </w:p>
        </w:tc>
        <w:tc>
          <w:tcPr>
            <w:tcW w:type="dxa" w:w="735"/>
          </w:tcPr>
          <w:p>
            <w:r>
              <w:rPr>
                <w:sz w:val="17"/>
              </w:rPr>
            </w:r>
            <w:r>
              <w:rPr>
                <w:sz w:val="17"/>
              </w:rPr>
              <w:t>I</w:t>
            </w:r>
          </w:p>
        </w:tc>
        <w:tc>
          <w:tcPr>
            <w:tcW w:type="dxa" w:w="1676"/>
          </w:tcPr>
          <w:p>
            <w:r>
              <w:rPr>
                <w:sz w:val="17"/>
              </w:rPr>
            </w:r>
            <w:r>
              <w:rPr>
                <w:sz w:val="17"/>
              </w:rPr>
              <w:t>C</w:t>
            </w:r>
          </w:p>
        </w:tc>
        <w:tc>
          <w:tcPr>
            <w:tcW w:type="dxa" w:w="1319"/>
          </w:tcPr>
          <w:p>
            <w:r>
              <w:rPr>
                <w:sz w:val="17"/>
              </w:rPr>
            </w:r>
            <w:r>
              <w:rPr>
                <w:sz w:val="17"/>
              </w:rPr>
              <w:t>A</w:t>
            </w:r>
          </w:p>
        </w:tc>
        <w:tc>
          <w:tcPr>
            <w:tcW w:type="dxa" w:w="1151"/>
          </w:tcPr>
          <w:p>
            <w:r>
              <w:rPr>
                <w:sz w:val="17"/>
              </w:rPr>
            </w:r>
            <w:r>
              <w:rPr>
                <w:sz w:val="17"/>
              </w:rPr>
              <w:t>R</w:t>
            </w:r>
          </w:p>
        </w:tc>
        <w:tc>
          <w:tcPr>
            <w:tcW w:type="dxa" w:w="1181"/>
          </w:tcPr>
          <w:p>
            <w:r>
              <w:rPr>
                <w:sz w:val="17"/>
              </w:rPr>
            </w:r>
            <w:r>
              <w:rPr>
                <w:sz w:val="17"/>
              </w:rPr>
              <w:t>–</w:t>
            </w:r>
          </w:p>
        </w:tc>
        <w:tc>
          <w:tcPr>
            <w:tcW w:type="dxa" w:w="636"/>
          </w:tcPr>
          <w:p>
            <w:r>
              <w:rPr>
                <w:sz w:val="17"/>
              </w:rPr>
            </w:r>
            <w:r>
              <w:rPr>
                <w:sz w:val="17"/>
              </w:rPr>
              <w:t>I</w:t>
            </w:r>
          </w:p>
        </w:tc>
      </w:tr>
      <w:tr>
        <w:trPr>
          <w:cantSplit/>
        </w:trPr>
        <w:tc>
          <w:tcPr>
            <w:tcW w:type="dxa" w:w="3768"/>
          </w:tcPr>
          <w:p>
            <w:r>
              <w:rPr>
                <w:sz w:val="17"/>
              </w:rPr>
            </w:r>
            <w:r>
              <w:rPr>
                <w:sz w:val="17"/>
              </w:rPr>
              <w:t>Site instructions</w:t>
            </w:r>
          </w:p>
        </w:tc>
        <w:tc>
          <w:tcPr>
            <w:tcW w:type="dxa" w:w="735"/>
          </w:tcPr>
          <w:p>
            <w:r>
              <w:rPr>
                <w:sz w:val="17"/>
              </w:rPr>
            </w:r>
            <w:r>
              <w:rPr>
                <w:sz w:val="17"/>
              </w:rPr>
              <w:t>C</w:t>
            </w:r>
          </w:p>
        </w:tc>
        <w:tc>
          <w:tcPr>
            <w:tcW w:type="dxa" w:w="1676"/>
          </w:tcPr>
          <w:p>
            <w:r>
              <w:rPr>
                <w:sz w:val="17"/>
              </w:rPr>
            </w:r>
            <w:r>
              <w:rPr>
                <w:sz w:val="17"/>
              </w:rPr>
              <w:t>–</w:t>
            </w:r>
          </w:p>
        </w:tc>
        <w:tc>
          <w:tcPr>
            <w:tcW w:type="dxa" w:w="1319"/>
          </w:tcPr>
          <w:p>
            <w:r>
              <w:rPr>
                <w:sz w:val="17"/>
              </w:rPr>
            </w:r>
            <w:r>
              <w:rPr>
                <w:sz w:val="17"/>
              </w:rPr>
              <w:t>A/​R</w:t>
            </w:r>
          </w:p>
        </w:tc>
        <w:tc>
          <w:tcPr>
            <w:tcW w:type="dxa" w:w="1151"/>
          </w:tcPr>
          <w:p>
            <w:r>
              <w:rPr>
                <w:sz w:val="17"/>
              </w:rPr>
            </w:r>
            <w:r>
              <w:rPr>
                <w:sz w:val="17"/>
              </w:rPr>
              <w:t>I</w:t>
            </w:r>
          </w:p>
        </w:tc>
        <w:tc>
          <w:tcPr>
            <w:tcW w:type="dxa" w:w="1181"/>
          </w:tcPr>
          <w:p>
            <w:r>
              <w:rPr>
                <w:sz w:val="17"/>
              </w:rPr>
            </w:r>
            <w:r>
              <w:rPr>
                <w:sz w:val="17"/>
              </w:rPr>
              <w:t>–</w:t>
            </w:r>
          </w:p>
        </w:tc>
        <w:tc>
          <w:tcPr>
            <w:tcW w:type="dxa" w:w="636"/>
          </w:tcPr>
          <w:p>
            <w:r>
              <w:rPr>
                <w:sz w:val="17"/>
              </w:rPr>
            </w:r>
            <w:r>
              <w:rPr>
                <w:sz w:val="17"/>
              </w:rPr>
              <w:t>C</w:t>
            </w:r>
          </w:p>
        </w:tc>
      </w:tr>
      <w:tr>
        <w:trPr>
          <w:cantSplit/>
        </w:trPr>
        <w:tc>
          <w:tcPr>
            <w:tcW w:type="dxa" w:w="3768"/>
          </w:tcPr>
          <w:p>
            <w:r>
              <w:rPr>
                <w:sz w:val="17"/>
              </w:rPr>
            </w:r>
            <w:r>
              <w:rPr>
                <w:sz w:val="17"/>
              </w:rPr>
              <w:t>Inspections and NCRs</w:t>
            </w:r>
          </w:p>
        </w:tc>
        <w:tc>
          <w:tcPr>
            <w:tcW w:type="dxa" w:w="735"/>
          </w:tcPr>
          <w:p>
            <w:r>
              <w:rPr>
                <w:sz w:val="17"/>
              </w:rPr>
            </w:r>
            <w:r>
              <w:rPr>
                <w:sz w:val="17"/>
              </w:rPr>
              <w:t>I</w:t>
            </w:r>
          </w:p>
        </w:tc>
        <w:tc>
          <w:tcPr>
            <w:tcW w:type="dxa" w:w="1676"/>
          </w:tcPr>
          <w:p>
            <w:r>
              <w:rPr>
                <w:sz w:val="17"/>
              </w:rPr>
            </w:r>
            <w:r>
              <w:rPr>
                <w:sz w:val="17"/>
              </w:rPr>
              <w:t>–</w:t>
            </w:r>
          </w:p>
        </w:tc>
        <w:tc>
          <w:tcPr>
            <w:tcW w:type="dxa" w:w="1319"/>
          </w:tcPr>
          <w:p>
            <w:r>
              <w:rPr>
                <w:sz w:val="17"/>
              </w:rPr>
            </w:r>
            <w:r>
              <w:rPr>
                <w:sz w:val="17"/>
              </w:rPr>
              <w:t>A/​R</w:t>
            </w:r>
          </w:p>
        </w:tc>
        <w:tc>
          <w:tcPr>
            <w:tcW w:type="dxa" w:w="1151"/>
          </w:tcPr>
          <w:p>
            <w:r>
              <w:rPr>
                <w:sz w:val="17"/>
              </w:rPr>
            </w:r>
            <w:r>
              <w:rPr>
                <w:sz w:val="17"/>
              </w:rPr>
              <w:t>R</w:t>
            </w:r>
          </w:p>
        </w:tc>
        <w:tc>
          <w:tcPr>
            <w:tcW w:type="dxa" w:w="1181"/>
          </w:tcPr>
          <w:p>
            <w:r>
              <w:rPr>
                <w:sz w:val="17"/>
              </w:rPr>
            </w:r>
            <w:r>
              <w:rPr>
                <w:sz w:val="17"/>
              </w:rPr>
              <w:t>C</w:t>
            </w:r>
          </w:p>
        </w:tc>
        <w:tc>
          <w:tcPr>
            <w:tcW w:type="dxa" w:w="636"/>
          </w:tcPr>
          <w:p>
            <w:r>
              <w:rPr>
                <w:sz w:val="17"/>
              </w:rPr>
            </w:r>
            <w:r>
              <w:rPr>
                <w:sz w:val="17"/>
              </w:rPr>
              <w:t>I</w:t>
            </w:r>
          </w:p>
        </w:tc>
      </w:tr>
      <w:tr>
        <w:trPr>
          <w:cantSplit/>
        </w:trPr>
        <w:tc>
          <w:tcPr>
            <w:tcW w:type="dxa" w:w="3768"/>
          </w:tcPr>
          <w:p>
            <w:r>
              <w:rPr>
                <w:sz w:val="17"/>
              </w:rPr>
            </w:r>
            <w:r>
              <w:rPr>
                <w:sz w:val="17"/>
              </w:rPr>
              <w:t>Variations</w:t>
            </w:r>
          </w:p>
        </w:tc>
        <w:tc>
          <w:tcPr>
            <w:tcW w:type="dxa" w:w="735"/>
          </w:tcPr>
          <w:p>
            <w:r>
              <w:rPr>
                <w:sz w:val="17"/>
              </w:rPr>
            </w:r>
            <w:r>
              <w:rPr>
                <w:sz w:val="17"/>
              </w:rPr>
              <w:t>A</w:t>
            </w:r>
          </w:p>
        </w:tc>
        <w:tc>
          <w:tcPr>
            <w:tcW w:type="dxa" w:w="1676"/>
          </w:tcPr>
          <w:p>
            <w:r>
              <w:rPr>
                <w:sz w:val="17"/>
              </w:rPr>
            </w:r>
            <w:r>
              <w:rPr>
                <w:sz w:val="17"/>
              </w:rPr>
              <w:t>C</w:t>
            </w:r>
          </w:p>
        </w:tc>
        <w:tc>
          <w:tcPr>
            <w:tcW w:type="dxa" w:w="1319"/>
          </w:tcPr>
          <w:p>
            <w:r>
              <w:rPr>
                <w:sz w:val="17"/>
              </w:rPr>
            </w:r>
            <w:r>
              <w:rPr>
                <w:sz w:val="17"/>
              </w:rPr>
              <w:t>R</w:t>
            </w:r>
          </w:p>
        </w:tc>
        <w:tc>
          <w:tcPr>
            <w:tcW w:type="dxa" w:w="1151"/>
          </w:tcPr>
          <w:p>
            <w:r>
              <w:rPr>
                <w:sz w:val="17"/>
              </w:rPr>
            </w:r>
            <w:r>
              <w:rPr>
                <w:sz w:val="17"/>
              </w:rPr>
              <w:t>R</w:t>
            </w:r>
          </w:p>
        </w:tc>
        <w:tc>
          <w:tcPr>
            <w:tcW w:type="dxa" w:w="1181"/>
          </w:tcPr>
          <w:p>
            <w:r>
              <w:rPr>
                <w:sz w:val="17"/>
              </w:rPr>
            </w:r>
            <w:r>
              <w:rPr>
                <w:sz w:val="17"/>
              </w:rPr>
              <w:t>–</w:t>
            </w:r>
          </w:p>
        </w:tc>
        <w:tc>
          <w:tcPr>
            <w:tcW w:type="dxa" w:w="636"/>
          </w:tcPr>
          <w:p>
            <w:r>
              <w:rPr>
                <w:sz w:val="17"/>
              </w:rPr>
            </w:r>
            <w:r>
              <w:rPr>
                <w:sz w:val="17"/>
              </w:rPr>
              <w:t>C</w:t>
            </w:r>
          </w:p>
        </w:tc>
      </w:tr>
      <w:tr>
        <w:trPr>
          <w:cantSplit/>
        </w:trPr>
        <w:tc>
          <w:tcPr>
            <w:tcW w:type="dxa" w:w="3768"/>
          </w:tcPr>
          <w:p>
            <w:r>
              <w:rPr>
                <w:sz w:val="17"/>
              </w:rPr>
            </w:r>
            <w:r>
              <w:rPr>
                <w:sz w:val="17"/>
              </w:rPr>
              <w:t>Phase reports and authority inspections</w:t>
            </w:r>
          </w:p>
        </w:tc>
        <w:tc>
          <w:tcPr>
            <w:tcW w:type="dxa" w:w="735"/>
          </w:tcPr>
          <w:p>
            <w:r>
              <w:rPr>
                <w:sz w:val="17"/>
              </w:rPr>
            </w:r>
            <w:r>
              <w:rPr>
                <w:sz w:val="17"/>
              </w:rPr>
              <w:t>I</w:t>
            </w:r>
          </w:p>
        </w:tc>
        <w:tc>
          <w:tcPr>
            <w:tcW w:type="dxa" w:w="1676"/>
          </w:tcPr>
          <w:p>
            <w:r>
              <w:rPr>
                <w:sz w:val="17"/>
              </w:rPr>
            </w:r>
            <w:r>
              <w:rPr>
                <w:sz w:val="17"/>
              </w:rPr>
              <w:t>–</w:t>
            </w:r>
          </w:p>
        </w:tc>
        <w:tc>
          <w:tcPr>
            <w:tcW w:type="dxa" w:w="1319"/>
          </w:tcPr>
          <w:p>
            <w:r>
              <w:rPr>
                <w:sz w:val="17"/>
              </w:rPr>
            </w:r>
            <w:r>
              <w:rPr>
                <w:sz w:val="17"/>
              </w:rPr>
              <w:t>A/​R</w:t>
            </w:r>
          </w:p>
        </w:tc>
        <w:tc>
          <w:tcPr>
            <w:tcW w:type="dxa" w:w="1151"/>
          </w:tcPr>
          <w:p>
            <w:r>
              <w:rPr>
                <w:sz w:val="17"/>
              </w:rPr>
            </w:r>
            <w:r>
              <w:rPr>
                <w:sz w:val="17"/>
              </w:rPr>
              <w:t>R</w:t>
            </w:r>
          </w:p>
        </w:tc>
        <w:tc>
          <w:tcPr>
            <w:tcW w:type="dxa" w:w="1181"/>
          </w:tcPr>
          <w:p>
            <w:r>
              <w:rPr>
                <w:sz w:val="17"/>
              </w:rPr>
            </w:r>
            <w:r>
              <w:rPr>
                <w:sz w:val="17"/>
              </w:rPr>
              <w:t>C</w:t>
            </w:r>
          </w:p>
        </w:tc>
        <w:tc>
          <w:tcPr>
            <w:tcW w:type="dxa" w:w="636"/>
          </w:tcPr>
          <w:p>
            <w:r>
              <w:rPr>
                <w:sz w:val="17"/>
              </w:rPr>
            </w:r>
            <w:r>
              <w:rPr>
                <w:sz w:val="17"/>
              </w:rPr>
              <w:t>I</w:t>
            </w:r>
          </w:p>
        </w:tc>
      </w:tr>
      <w:tr>
        <w:trPr>
          <w:cantSplit/>
        </w:trPr>
        <w:tc>
          <w:tcPr>
            <w:tcW w:type="dxa" w:w="3768"/>
          </w:tcPr>
          <w:p>
            <w:r>
              <w:rPr>
                <w:sz w:val="17"/>
              </w:rPr>
            </w:r>
            <w:r>
              <w:rPr>
                <w:sz w:val="17"/>
              </w:rPr>
              <w:t>Completion approval and taking over</w:t>
            </w:r>
          </w:p>
        </w:tc>
        <w:tc>
          <w:tcPr>
            <w:tcW w:type="dxa" w:w="735"/>
          </w:tcPr>
          <w:p>
            <w:r>
              <w:rPr>
                <w:sz w:val="17"/>
              </w:rPr>
            </w:r>
            <w:r>
              <w:rPr>
                <w:sz w:val="17"/>
              </w:rPr>
              <w:t>A</w:t>
            </w:r>
          </w:p>
        </w:tc>
        <w:tc>
          <w:tcPr>
            <w:tcW w:type="dxa" w:w="1676"/>
          </w:tcPr>
          <w:p>
            <w:r>
              <w:rPr>
                <w:sz w:val="17"/>
              </w:rPr>
            </w:r>
            <w:r>
              <w:rPr>
                <w:sz w:val="17"/>
              </w:rPr>
              <w:t>–</w:t>
            </w:r>
          </w:p>
        </w:tc>
        <w:tc>
          <w:tcPr>
            <w:tcW w:type="dxa" w:w="1319"/>
          </w:tcPr>
          <w:p>
            <w:r>
              <w:rPr>
                <w:sz w:val="17"/>
              </w:rPr>
            </w:r>
            <w:r>
              <w:rPr>
                <w:sz w:val="17"/>
              </w:rPr>
              <w:t>R</w:t>
            </w:r>
          </w:p>
        </w:tc>
        <w:tc>
          <w:tcPr>
            <w:tcW w:type="dxa" w:w="1151"/>
          </w:tcPr>
          <w:p>
            <w:r>
              <w:rPr>
                <w:sz w:val="17"/>
              </w:rPr>
            </w:r>
            <w:r>
              <w:rPr>
                <w:sz w:val="17"/>
              </w:rPr>
              <w:t>R</w:t>
            </w:r>
          </w:p>
        </w:tc>
        <w:tc>
          <w:tcPr>
            <w:tcW w:type="dxa" w:w="1181"/>
          </w:tcPr>
          <w:p>
            <w:r>
              <w:rPr>
                <w:sz w:val="17"/>
              </w:rPr>
            </w:r>
            <w:r>
              <w:rPr>
                <w:sz w:val="17"/>
              </w:rPr>
              <w:t>C</w:t>
            </w:r>
          </w:p>
        </w:tc>
        <w:tc>
          <w:tcPr>
            <w:tcW w:type="dxa" w:w="636"/>
          </w:tcPr>
          <w:p>
            <w:r>
              <w:rPr>
                <w:sz w:val="17"/>
              </w:rPr>
            </w:r>
            <w:r>
              <w:rPr>
                <w:sz w:val="17"/>
              </w:rPr>
              <w:t>C</w:t>
            </w:r>
          </w:p>
        </w:tc>
      </w:tr>
      <w:tr>
        <w:trPr>
          <w:cantSplit/>
        </w:trPr>
        <w:tc>
          <w:tcPr>
            <w:tcW w:type="dxa" w:w="3768"/>
          </w:tcPr>
          <w:p>
            <w:r>
              <w:rPr>
                <w:sz w:val="17"/>
              </w:rPr>
            </w:r>
            <w:r>
              <w:rPr>
                <w:sz w:val="17"/>
              </w:rPr>
              <w:t>As-built and O&amp;M review</w:t>
            </w:r>
          </w:p>
        </w:tc>
        <w:tc>
          <w:tcPr>
            <w:tcW w:type="dxa" w:w="735"/>
          </w:tcPr>
          <w:p>
            <w:r>
              <w:rPr>
                <w:sz w:val="17"/>
              </w:rPr>
            </w:r>
            <w:r>
              <w:rPr>
                <w:sz w:val="17"/>
              </w:rPr>
              <w:t>I</w:t>
            </w:r>
          </w:p>
        </w:tc>
        <w:tc>
          <w:tcPr>
            <w:tcW w:type="dxa" w:w="1676"/>
          </w:tcPr>
          <w:p>
            <w:r>
              <w:rPr>
                <w:sz w:val="17"/>
              </w:rPr>
            </w:r>
            <w:r>
              <w:rPr>
                <w:sz w:val="17"/>
              </w:rPr>
              <w:t>–</w:t>
            </w:r>
          </w:p>
        </w:tc>
        <w:tc>
          <w:tcPr>
            <w:tcW w:type="dxa" w:w="1319"/>
          </w:tcPr>
          <w:p>
            <w:r>
              <w:rPr>
                <w:sz w:val="17"/>
              </w:rPr>
            </w:r>
            <w:r>
              <w:rPr>
                <w:sz w:val="17"/>
              </w:rPr>
              <w:t>A</w:t>
            </w:r>
          </w:p>
        </w:tc>
        <w:tc>
          <w:tcPr>
            <w:tcW w:type="dxa" w:w="1151"/>
          </w:tcPr>
          <w:p>
            <w:r>
              <w:rPr>
                <w:sz w:val="17"/>
              </w:rPr>
            </w:r>
            <w:r>
              <w:rPr>
                <w:sz w:val="17"/>
              </w:rPr>
              <w:t>R</w:t>
            </w:r>
          </w:p>
        </w:tc>
        <w:tc>
          <w:tcPr>
            <w:tcW w:type="dxa" w:w="1181"/>
          </w:tcPr>
          <w:p>
            <w:r>
              <w:rPr>
                <w:sz w:val="17"/>
              </w:rPr>
            </w:r>
            <w:r>
              <w:rPr>
                <w:sz w:val="17"/>
              </w:rPr>
              <w:t>–</w:t>
            </w:r>
          </w:p>
        </w:tc>
        <w:tc>
          <w:tcPr>
            <w:tcW w:type="dxa" w:w="636"/>
          </w:tcPr>
          <w:p>
            <w:r>
              <w:rPr>
                <w:sz w:val="17"/>
              </w:rPr>
            </w:r>
            <w:r>
              <w:rPr>
                <w:sz w:val="17"/>
              </w:rPr>
              <w:t>I</w:t>
            </w:r>
          </w:p>
        </w:tc>
      </w:tr>
      <w:tr>
        <w:trPr>
          <w:cantSplit/>
        </w:trPr>
        <w:tc>
          <w:tcPr>
            <w:tcW w:type="dxa" w:w="3768"/>
          </w:tcPr>
          <w:p>
            <w:r>
              <w:rPr>
                <w:sz w:val="17"/>
              </w:rPr>
            </w:r>
            <w:r>
              <w:rPr>
                <w:sz w:val="17"/>
              </w:rPr>
              <w:t>Records retention (decennial)</w:t>
            </w:r>
          </w:p>
        </w:tc>
        <w:tc>
          <w:tcPr>
            <w:tcW w:type="dxa" w:w="735"/>
          </w:tcPr>
          <w:p>
            <w:r>
              <w:rPr>
                <w:sz w:val="17"/>
              </w:rPr>
            </w:r>
            <w:r>
              <w:rPr>
                <w:sz w:val="17"/>
              </w:rPr>
              <w:t>I</w:t>
            </w:r>
          </w:p>
        </w:tc>
        <w:tc>
          <w:tcPr>
            <w:tcW w:type="dxa" w:w="1676"/>
          </w:tcPr>
          <w:p>
            <w:r>
              <w:rPr>
                <w:sz w:val="17"/>
              </w:rPr>
            </w:r>
            <w:r>
              <w:rPr>
                <w:sz w:val="17"/>
              </w:rPr>
              <w:t>I</w:t>
            </w:r>
          </w:p>
        </w:tc>
        <w:tc>
          <w:tcPr>
            <w:tcW w:type="dxa" w:w="1319"/>
          </w:tcPr>
          <w:p>
            <w:r>
              <w:rPr>
                <w:sz w:val="17"/>
              </w:rPr>
            </w:r>
            <w:r>
              <w:rPr>
                <w:sz w:val="17"/>
              </w:rPr>
              <w:t>A/​R</w:t>
            </w:r>
          </w:p>
        </w:tc>
        <w:tc>
          <w:tcPr>
            <w:tcW w:type="dxa" w:w="1151"/>
          </w:tcPr>
          <w:p>
            <w:r>
              <w:rPr>
                <w:sz w:val="17"/>
              </w:rPr>
            </w:r>
            <w:r>
              <w:rPr>
                <w:sz w:val="17"/>
              </w:rPr>
              <w:t>R</w:t>
            </w:r>
          </w:p>
        </w:tc>
        <w:tc>
          <w:tcPr>
            <w:tcW w:type="dxa" w:w="1181"/>
          </w:tcPr>
          <w:p>
            <w:r>
              <w:rPr>
                <w:sz w:val="17"/>
              </w:rPr>
            </w:r>
            <w:r>
              <w:rPr>
                <w:sz w:val="17"/>
              </w:rPr>
              <w:t>–</w:t>
            </w:r>
          </w:p>
        </w:tc>
        <w:tc>
          <w:tcPr>
            <w:tcW w:type="dxa" w:w="636"/>
          </w:tcPr>
          <w:p>
            <w:r>
              <w:rPr>
                <w:sz w:val="17"/>
              </w:rPr>
            </w:r>
            <w:r>
              <w:rPr>
                <w:sz w:val="17"/>
              </w:rPr>
              <w:t>–</w:t>
            </w:r>
          </w:p>
        </w:tc>
      </w:tr>
    </w:tbl>
    <w:p/>
    <w:p>
      <w:pPr>
        <w:pStyle w:val="Heading1"/>
      </w:pPr>
      <w:r>
        <w:t>10 Records, trackers and links</w:t>
      </w:r>
    </w:p>
    <w:p>
      <w:pPr/>
      <w:r>
        <w:t>Each instrument above has one office form (the record) and one tracker row (the index): the form is filed in the CDE with its evidence and the tracker row links to it (</w:t>
      </w:r>
      <w:r>
        <w:rPr>
          <w:color w:val="9A7B45"/>
          <w:u w:val="single"/>
        </w:rPr>
        <w:t>BBM-STD-99</w:t>
      </w:r>
      <w:r>
        <w:t xml:space="preserve"> §6). Links: QP-07 authority submissions, QP-09 site supervision and QP-10 document control (</w:t>
      </w:r>
      <w:r>
        <w:rPr>
          <w:color w:val="9A7B45"/>
          <w:u w:val="single"/>
        </w:rPr>
        <w:t>BBM-STD-97</w:t>
      </w:r>
      <w:r>
        <w:t xml:space="preserve">); authority detail </w:t>
      </w:r>
      <w:r>
        <w:rPr>
          <w:color w:val="9A7B45"/>
          <w:u w:val="single"/>
        </w:rPr>
        <w:t>BBM-STD-85</w:t>
      </w:r>
      <w:r>
        <w:t xml:space="preserve">; submission register </w:t>
      </w:r>
      <w:r>
        <w:rPr>
          <w:color w:val="9A7B45"/>
          <w:u w:val="single"/>
        </w:rPr>
        <w:t>BBM-STD-57</w:t>
      </w:r>
      <w:r>
        <w:t xml:space="preserve">; approvals and criteria </w:t>
      </w:r>
      <w:r>
        <w:rPr>
          <w:color w:val="9A7B45"/>
          <w:u w:val="single"/>
        </w:rPr>
        <w:t>BBM-STD-12</w:t>
      </w:r>
      <w:r>
        <w:t>; KPIs K-AU-01/02 and K-SV-01 to 04 (</w:t>
      </w:r>
      <w:r>
        <w:rPr>
          <w:color w:val="9A7B45"/>
          <w:u w:val="single"/>
        </w:rPr>
        <w:t>BBM-STD-98</w:t>
      </w:r>
      <w:r>
        <w:t xml:space="preserve">); handover </w:t>
      </w:r>
      <w:r>
        <w:rPr>
          <w:color w:val="9A7B45"/>
          <w:u w:val="single"/>
        </w:rPr>
        <w:t>BBM-STD-75</w:t>
      </w:r>
      <w:r>
        <w:t xml:space="preserve">; retention </w:t>
      </w:r>
      <w:r>
        <w:rPr>
          <w:color w:val="9A7B45"/>
          <w:u w:val="single"/>
        </w:rPr>
        <w:t>BBM-STD-90</w:t>
      </w:r>
      <w:r>
        <w:t>.</w:t>
      </w:r>
    </w:p>
    <w:p>
      <w:pPr>
        <w:pStyle w:val="Heading1"/>
      </w:pPr>
      <w:r>
        <w:t>11 Acceptance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071"/>
        <w:gridCol w:w="8395"/>
      </w:tblGrid>
      <w:tr>
        <w:trPr>
          <w:cantSplit/>
          <w:tblHeader/>
        </w:trPr>
        <w:tc>
          <w:tcPr>
            <w:tcW w:type="dxa" w:w="2071"/>
            <w:shd w:val="clear" w:color="auto" w:fill="111113"/>
          </w:tcPr>
          <w:p>
            <w:r>
              <w:rPr>
                <w:b/>
                <w:color w:val="FFFFFF"/>
                <w:sz w:val="17"/>
              </w:rPr>
            </w:r>
            <w:r>
              <w:rPr>
                <w:b/>
                <w:color w:val="FFFFFF"/>
                <w:sz w:val="17"/>
              </w:rPr>
              <w:t>Check</w:t>
            </w:r>
          </w:p>
        </w:tc>
        <w:tc>
          <w:tcPr>
            <w:tcW w:type="dxa" w:w="8395"/>
            <w:shd w:val="clear" w:color="auto" w:fill="111113"/>
          </w:tcPr>
          <w:p>
            <w:r>
              <w:rPr>
                <w:b/>
                <w:color w:val="FFFFFF"/>
                <w:sz w:val="17"/>
              </w:rPr>
            </w:r>
            <w:r>
              <w:rPr>
                <w:b/>
                <w:color w:val="FFFFFF"/>
                <w:sz w:val="17"/>
              </w:rPr>
              <w:t>Evidence</w:t>
            </w:r>
          </w:p>
        </w:tc>
      </w:tr>
      <w:tr>
        <w:trPr>
          <w:cantSplit/>
        </w:trPr>
        <w:tc>
          <w:tcPr>
            <w:tcW w:type="dxa" w:w="2071"/>
          </w:tcPr>
          <w:p>
            <w:r>
              <w:rPr>
                <w:sz w:val="17"/>
              </w:rPr>
            </w:r>
            <w:r>
              <w:rPr>
                <w:sz w:val="17"/>
              </w:rPr>
              <w:t>Model recorded</w:t>
            </w:r>
          </w:p>
        </w:tc>
        <w:tc>
          <w:tcPr>
            <w:tcW w:type="dxa" w:w="8395"/>
          </w:tcPr>
          <w:p>
            <w:r>
              <w:rPr>
                <w:sz w:val="17"/>
              </w:rPr>
            </w:r>
            <w:r>
              <w:rPr>
                <w:sz w:val="17"/>
              </w:rPr>
              <w:t>Contract review and BEP name the service model M1–M5</w:t>
            </w:r>
          </w:p>
        </w:tc>
      </w:tr>
      <w:tr>
        <w:trPr>
          <w:cantSplit/>
        </w:trPr>
        <w:tc>
          <w:tcPr>
            <w:tcW w:type="dxa" w:w="2071"/>
          </w:tcPr>
          <w:p>
            <w:r>
              <w:rPr>
                <w:sz w:val="17"/>
              </w:rPr>
            </w:r>
            <w:r>
              <w:rPr>
                <w:sz w:val="17"/>
              </w:rPr>
              <w:t>Registration valid</w:t>
            </w:r>
          </w:p>
        </w:tc>
        <w:tc>
          <w:tcPr>
            <w:tcW w:type="dxa" w:w="8395"/>
          </w:tcPr>
          <w:p>
            <w:r>
              <w:rPr>
                <w:sz w:val="17"/>
              </w:rPr>
            </w:r>
            <w:r>
              <w:rPr>
                <w:sz w:val="17"/>
              </w:rPr>
              <w:t>The Directory holds the firm registration, classification category and each signing engineer's card, valid on the submission date</w:t>
            </w:r>
          </w:p>
        </w:tc>
      </w:tr>
      <w:tr>
        <w:trPr>
          <w:cantSplit/>
        </w:trPr>
        <w:tc>
          <w:tcPr>
            <w:tcW w:type="dxa" w:w="2071"/>
          </w:tcPr>
          <w:p>
            <w:r>
              <w:rPr>
                <w:sz w:val="17"/>
              </w:rPr>
            </w:r>
            <w:r>
              <w:rPr>
                <w:sz w:val="17"/>
              </w:rPr>
              <w:t>Review before stamp</w:t>
            </w:r>
          </w:p>
        </w:tc>
        <w:tc>
          <w:tcPr>
            <w:tcW w:type="dxa" w:w="8395"/>
          </w:tcPr>
          <w:p>
            <w:r>
              <w:rPr>
                <w:sz w:val="17"/>
              </w:rPr>
            </w:r>
            <w:r>
              <w:rPr>
                <w:sz w:val="17"/>
              </w:rPr>
              <w:t>Every stamped container has a TRK-CMT record with no open Level 0/​1 comment</w:t>
            </w:r>
          </w:p>
        </w:tc>
      </w:tr>
      <w:tr>
        <w:trPr>
          <w:cantSplit/>
        </w:trPr>
        <w:tc>
          <w:tcPr>
            <w:tcW w:type="dxa" w:w="2071"/>
          </w:tcPr>
          <w:p>
            <w:r>
              <w:rPr>
                <w:sz w:val="17"/>
              </w:rPr>
            </w:r>
            <w:r>
              <w:rPr>
                <w:sz w:val="17"/>
              </w:rPr>
              <w:t>One authority record</w:t>
            </w:r>
          </w:p>
        </w:tc>
        <w:tc>
          <w:tcPr>
            <w:tcW w:type="dxa" w:w="8395"/>
          </w:tcPr>
          <w:p>
            <w:r>
              <w:rPr>
                <w:sz w:val="17"/>
              </w:rPr>
            </w:r>
            <w:r>
              <w:rPr>
                <w:sz w:val="17"/>
              </w:rPr>
              <w:t>Every authority submission is one TRK-NOC row with receipt number, decision and conditions</w:t>
            </w:r>
          </w:p>
        </w:tc>
      </w:tr>
      <w:tr>
        <w:trPr>
          <w:cantSplit/>
        </w:trPr>
        <w:tc>
          <w:tcPr>
            <w:tcW w:type="dxa" w:w="2071"/>
          </w:tcPr>
          <w:p>
            <w:r>
              <w:rPr>
                <w:sz w:val="17"/>
              </w:rPr>
            </w:r>
            <w:r>
              <w:rPr>
                <w:sz w:val="17"/>
              </w:rPr>
              <w:t>Written administration</w:t>
            </w:r>
          </w:p>
        </w:tc>
        <w:tc>
          <w:tcPr>
            <w:tcW w:type="dxa" w:w="8395"/>
          </w:tcPr>
          <w:p>
            <w:r>
              <w:rPr>
                <w:sz w:val="17"/>
              </w:rPr>
            </w:r>
            <w:r>
              <w:rPr>
                <w:sz w:val="17"/>
              </w:rPr>
              <w:t>Every instruction, variation and completion approval is a signed form with a tracker row</w:t>
            </w:r>
          </w:p>
        </w:tc>
      </w:tr>
    </w:tbl>
    <w:p/>
    <w:p>
      <w:pPr>
        <w:pStyle w:val="Heading1"/>
      </w:pPr>
      <w:r>
        <w:t>References</w:t>
      </w:r>
    </w:p>
    <w:p>
      <w:pPr/>
      <w:r>
        <w:t>All checked 2026-11-05.</w:t>
      </w:r>
    </w:p>
    <w:p>
      <w:pPr>
        <w:pStyle w:val="ListParagraph"/>
        <w:spacing w:after="40"/>
        <w:ind w:left="360" w:hanging="240"/>
      </w:pPr>
      <w:r>
        <w:t xml:space="preserve">•  </w:t>
      </w:r>
      <w:r>
        <w:t>Federal Decree-Law No. 25 of 2025 promulgating the Civil Transactions Law, Art. 821 (issued 1 Oct 2025, Official Gazette 809, in force 1 June 2026): https://uaelegislation.gov.ae/en/legislations/4011?keyword=Article%20(821)</w:t>
      </w:r>
    </w:p>
    <w:p>
      <w:pPr>
        <w:pStyle w:val="ListParagraph"/>
        <w:spacing w:after="40"/>
        <w:ind w:left="360" w:hanging="240"/>
      </w:pPr>
      <w:r>
        <w:t xml:space="preserve">•  </w:t>
      </w:r>
      <w:r>
        <w:t>Mayer Brown, Examining the New UAE Civil Code, Part 2: Muqawala Contracts (Arts. 821–824; old Arts. 880–883), 3 June 2026: https://www.mayerbrown.com/en/insights/publications/2026/06/examining-the-new-uae-civil-code-part-2-muqawala-contracts</w:t>
      </w:r>
    </w:p>
    <w:p>
      <w:pPr>
        <w:pStyle w:val="ListParagraph"/>
        <w:spacing w:after="40"/>
        <w:ind w:left="360" w:hanging="240"/>
      </w:pPr>
      <w:r>
        <w:t xml:space="preserve">•  </w:t>
      </w:r>
      <w:r>
        <w:t>Dubai Law No. 14 of 2025 Regulating the Practice of Engineering Consultancy Activities (issued 18 Sep 2025, Official Gazette 741; repeals Local Order 89 of 1994): https://slc.dubai.gov.ae/en/legislation-portal/detail?id=0900000a80471caa</w:t>
      </w:r>
    </w:p>
    <w:p>
      <w:pPr>
        <w:pStyle w:val="ListParagraph"/>
        <w:spacing w:after="40"/>
        <w:ind w:left="360" w:hanging="240"/>
      </w:pPr>
      <w:r>
        <w:t xml:space="preserve">•  </w:t>
      </w:r>
      <w:r>
        <w:t>Government of Dubai Media Office, Law No. 14 of 2025, 5 Oct 2025: https://www.mediaoffice.ae/en/news/2025/october/05-10/mohammed-bin-rashid</w:t>
      </w:r>
    </w:p>
    <w:p>
      <w:pPr>
        <w:pStyle w:val="ListParagraph"/>
        <w:spacing w:after="40"/>
        <w:ind w:left="360" w:hanging="240"/>
      </w:pPr>
      <w:r>
        <w:t xml:space="preserve">•  </w:t>
      </w:r>
      <w:r>
        <w:t>DM Administrative Resolution No. 275 of 2024, replacing engineering firms and contractors and issuing completion certificates (Art. 16 repeals Resolution 10 of 2019): https://dlp.dubai.gov.ae/Legislation%20Reference/2024/Administrative%20Resolution%20No.%20(275)%20of%202024%20Replacing%20Engineering%20Firms%20and%20Contracting%20Companies.html</w:t>
      </w:r>
    </w:p>
    <w:p>
      <w:pPr>
        <w:pStyle w:val="ListParagraph"/>
        <w:spacing w:after="40"/>
        <w:ind w:left="360" w:hanging="240"/>
      </w:pPr>
      <w:r>
        <w:t xml:space="preserve">•  </w:t>
      </w:r>
      <w:r>
        <w:t>DM Administrative Resolution No. 255 of 2021 amending Resolution 51 of 1998 (classification categories): https://dlp.dubai.gov.ae/Legislation%20Reference/2021/Administrative%20Resolution%20No.%20%28255%29%20of%202021%20Amending%20Administrative%20Resolution%20No.%20%2851%29%20of%201998.html</w:t>
      </w:r>
    </w:p>
    <w:p>
      <w:pPr>
        <w:pStyle w:val="ListParagraph"/>
        <w:spacing w:after="40"/>
        <w:ind w:left="360" w:hanging="240"/>
      </w:pPr>
      <w:r>
        <w:t xml:space="preserve">•  </w:t>
      </w:r>
      <w:r>
        <w:t>Local Order No. 3 of 1999 Regulating Construction Works in Dubai: https://dlp.dubai.gov.ae/Legislation%20Reference/1999/Local%20Order%20No.%20(3)%20of%201999%20Regulating%20Construction%20Works.pdf</w:t>
      </w:r>
    </w:p>
    <w:p>
      <w:pPr>
        <w:pStyle w:val="ListParagraph"/>
        <w:spacing w:after="40"/>
        <w:ind w:left="360" w:hanging="240"/>
      </w:pPr>
      <w:r>
        <w:t xml:space="preserve">•  </w:t>
      </w:r>
      <w:r>
        <w:t>Dubai Law No. 3 of 2026 Concerning the Quality and Safety of Buildings: https://dlp.dubai.gov.ae/Legislation%20Reference/2026/Law%20No.%20%283%29%20of%202026%20Concerning%20the%20Quality%20and%20Safety%20of%20Buildings.html</w:t>
      </w:r>
    </w:p>
    <w:p>
      <w:pPr>
        <w:pStyle w:val="ListParagraph"/>
        <w:spacing w:after="40"/>
        <w:ind w:left="360" w:hanging="240"/>
      </w:pPr>
      <w:r>
        <w:t xml:space="preserve">•  </w:t>
      </w:r>
      <w:r>
        <w:t>Project, UPPC Circular No. 9 of 2026 on supervision consultant and contractor roles, 14 Oct 2026: https://www.Project.ae/en/article/c2qm3pn-uppc-issues-circular-streamline-construction</w:t>
      </w:r>
    </w:p>
    <w:p>
      <w:pPr>
        <w:pStyle w:val="ListParagraph"/>
        <w:spacing w:after="40"/>
        <w:ind w:left="360" w:hanging="240"/>
      </w:pPr>
      <w:r>
        <w:t xml:space="preserve">•  </w:t>
      </w:r>
      <w:r>
        <w:t>DMT classification requirements and classified firms: https://pages.dmt.gov.ae/en/Classification-Category and https://pages.dmt.gov.ae/en/engineering-firms; DMT and ADGM unified classification and Administrative Decision 113/2025 engineer grades, 25 Mar 2026: https://www.dmt.gov.ae/en/Media-Centre/News/DMT-ADGM-Launch-Unified-Engineering-Classification-System-for-Abu-Dhabi</w:t>
      </w:r>
    </w:p>
    <w:p>
      <w:pPr>
        <w:pStyle w:val="ListParagraph"/>
        <w:spacing w:after="40"/>
        <w:ind w:left="360" w:hanging="240"/>
      </w:pPr>
      <w:r>
        <w:t xml:space="preserve">•  </w:t>
      </w:r>
      <w:r>
        <w:t>FIDIC 2017 Rainbow Suite (Sub-Clauses 3.5, 3.7, 5.2, 10.1, 13.3): https://fidic.org/sites/default/files/press%20release_rainbow%20suite_2018_03_1.pdf; Fenwick Elliott, The role of the Engineer in FIDIC 2017 contracts (21-day review, written instructions): https://www.fenwickelliott.com/sites/default/files/the_role_of_the_engineer_in_fidic_contracts_-_fenwick_elliott.pdf</w:t>
      </w:r>
    </w:p>
    <w:p>
      <w:pPr>
        <w:pStyle w:val="ListParagraph"/>
        <w:spacing w:after="40"/>
        <w:ind w:left="360" w:hanging="240"/>
      </w:pPr>
      <w:r>
        <w:t xml:space="preserve">•  </w:t>
      </w:r>
      <w:r>
        <w:t>FIDIC Client/Consultant Model Services Agreement, 5th edition 2017 (White Book): https://fidic.org/books/clientconsultant-model-services-agreement-5th-ed-2017-white-book</w:t>
      </w:r>
    </w:p>
    <w:p>
      <w:pPr>
        <w:pStyle w:val="ListParagraph"/>
        <w:spacing w:after="40"/>
        <w:ind w:left="360" w:hanging="240"/>
      </w:pPr>
      <w:r>
        <w:t xml:space="preserve">•  </w:t>
      </w:r>
      <w:r>
        <w:t>AIA contract administration forms G710–2017 Architect's Supplemental Instructions, G714–2017 Construction Change Directive, G716–2004 Request for Information (prior art): https://learn.aiacontracts.com/contract-doc-pages/27516-contract-administration-and-project-management-forms</w:t>
      </w:r>
    </w:p>
    <w:p>
      <w:pPr>
        <w:pStyle w:val="ListParagraph"/>
        <w:spacing w:after="40"/>
        <w:ind w:left="360" w:hanging="240"/>
      </w:pPr>
      <w:r>
        <w:t xml:space="preserve">•  </w:t>
      </w:r>
      <w:r>
        <w:t>RIBA Plan of Work 2020: https://www.riba.org/work/insights-and-resources/riba-plan-of-work</w:t>
      </w:r>
    </w:p>
    <w:p>
      <w:pPr>
        <w:pStyle w:val="ListParagraph"/>
        <w:spacing w:after="40"/>
        <w:ind w:left="360" w:hanging="240"/>
      </w:pPr>
      <w:r>
        <w:t xml:space="preserve">•  </w:t>
      </w:r>
      <w:r>
        <w:t xml:space="preserve">Office: BBM-STD-12, 55, 57, 85, 90, 93, 96, 97, 98, 99; office supervision forms in </w:t>
      </w:r>
      <w:r>
        <w:rPr>
          <w:rFonts w:ascii="Consolas" w:hAnsi="Consolas"/>
        </w:rPr>
        <w:t>BABOOM-BIM-STANDARD\01-TEMPLATES\04-DOCUMENT-CONTROL</w:t>
      </w:r>
      <w:r>
        <w:t>.</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70200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702000">
                        <a14:useLocalDpi xmlns:a14="http://schemas.microsoft.com/office/drawing/2010/main" val="0"/>
                      </a:ext>
                    </a:extLst>
                  </a:blip>
                  <a:srcRect/>
                  <a:stretch>
                    <a:fillRect/>
                  </a:stretch>
                </pic:blipFill>
                <pic:spPr bwMode="auto">
                  <a:xfrm>
                    <a:off x="0" y="0"/>
                    <a:ext cx="900000" cy="702000"/>
                  </a:xfrm>
                  <a:prstGeom prst="rect">
                    <a:avLst/>
                  </a:prstGeom>
                  <a:noFill/>
                  <a:ln>
                    <a:noFill/>
                  </a:ln>
                </pic:spPr>
              </pic:pic>
            </a:graphicData>
          </a:graphic>
        </wp:anchor>
      </w:drawing>
    </w:r>
    <w:r w:rsidR="0089320F" w:rsidRPr="0089320F">
      <w:rPr>
        <w:b/>
        <w:bCs/>
      </w:rPr>
      <w:t>BBM-BIM | BBM-STD-13-ARCHITECT_OF_RECORD_SERVICES-V0.1</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70200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702000">
                        <a14:useLocalDpi xmlns:a14="http://schemas.microsoft.com/office/drawing/2010/main" val="0"/>
                      </a:ext>
                    </a:extLst>
                  </a:blip>
                  <a:srcRect/>
                  <a:stretch>
                    <a:fillRect/>
                  </a:stretch>
                </pic:blipFill>
                <pic:spPr bwMode="auto">
                  <a:xfrm>
                    <a:off x="0" y="0"/>
                    <a:ext cx="900000" cy="7020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