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50 · Office clash matrix and coordination test register</w:t>
      </w:r>
    </w:p>
    <w:p>
      <w:pPr/>
      <w:r>
        <w:t xml:space="preserve">Linked copies: ID STD-50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Office BIM Standard · Revision V0.4 · 5 November 2026 · Controlled office method / project-population template · Owner: BIM Manager</w:t>
      </w:r>
    </w:p>
    <w:p>
      <w:pPr>
        <w:pStyle w:val="Heading2"/>
      </w:pPr>
      <w:r>
        <w:t>Revision history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75"/>
        <w:gridCol w:w="1033"/>
        <w:gridCol w:w="8659"/>
      </w:tblGrid>
      <w:tr>
        <w:trPr>
          <w:cantSplit/>
          <w:tblHeader/>
        </w:trPr>
        <w:tc>
          <w:tcPr>
            <w:tcW w:type="dxa" w:w="775"/>
            <w:shd w:val="clear" w:color="auto" w:fill="111113"/>
          </w:tcPr>
          <w:p>
            <w:r>
              <w:rPr>
                <w:b/>
                <w:color w:val="FFFFFF"/>
                <w:sz w:val="17"/>
              </w:rPr>
            </w:r>
            <w:r>
              <w:rPr>
                <w:b/>
                <w:color w:val="FFFFFF"/>
                <w:sz w:val="17"/>
              </w:rPr>
              <w:t>Version</w:t>
            </w:r>
          </w:p>
        </w:tc>
        <w:tc>
          <w:tcPr>
            <w:tcW w:type="dxa" w:w="1033"/>
            <w:shd w:val="clear" w:color="auto" w:fill="111113"/>
          </w:tcPr>
          <w:p>
            <w:r>
              <w:rPr>
                <w:b/>
                <w:color w:val="FFFFFF"/>
                <w:sz w:val="17"/>
              </w:rPr>
            </w:r>
            <w:r>
              <w:rPr>
                <w:b/>
                <w:color w:val="FFFFFF"/>
                <w:sz w:val="17"/>
              </w:rPr>
              <w:t>Date</w:t>
            </w:r>
          </w:p>
        </w:tc>
        <w:tc>
          <w:tcPr>
            <w:tcW w:type="dxa" w:w="8659"/>
            <w:shd w:val="clear" w:color="auto" w:fill="111113"/>
          </w:tcPr>
          <w:p>
            <w:r>
              <w:rPr>
                <w:b/>
                <w:color w:val="FFFFFF"/>
                <w:sz w:val="17"/>
              </w:rPr>
            </w:r>
            <w:r>
              <w:rPr>
                <w:b/>
                <w:color w:val="FFFFFF"/>
                <w:sz w:val="17"/>
              </w:rPr>
              <w:t>Change</w:t>
            </w:r>
          </w:p>
        </w:tc>
      </w:tr>
      <w:tr>
        <w:trPr>
          <w:cantSplit/>
        </w:trPr>
        <w:tc>
          <w:tcPr>
            <w:tcW w:type="dxa" w:w="775"/>
          </w:tcPr>
          <w:p>
            <w:r>
              <w:rPr>
                <w:sz w:val="17"/>
              </w:rPr>
            </w:r>
            <w:r>
              <w:rPr>
                <w:sz w:val="17"/>
              </w:rPr>
              <w:t>V0.1</w:t>
            </w:r>
          </w:p>
        </w:tc>
        <w:tc>
          <w:tcPr>
            <w:tcW w:type="dxa" w:w="1033"/>
          </w:tcPr>
          <w:p>
            <w:r>
              <w:rPr>
                <w:sz w:val="17"/>
              </w:rPr>
            </w:r>
            <w:r>
              <w:rPr>
                <w:sz w:val="17"/>
              </w:rPr>
              <w:t>2026-10-14</w:t>
            </w:r>
          </w:p>
        </w:tc>
        <w:tc>
          <w:tcPr>
            <w:tcW w:type="dxa" w:w="8659"/>
          </w:tcPr>
          <w:p>
            <w:r>
              <w:rPr>
                <w:sz w:val="17"/>
              </w:rPr>
            </w:r>
            <w:r>
              <w:rPr>
                <w:sz w:val="17"/>
              </w:rPr>
              <w:t>First controlled markdown revision of the legacy spreadsheet</w:t>
            </w:r>
          </w:p>
        </w:tc>
      </w:tr>
      <w:tr>
        <w:trPr>
          <w:cantSplit/>
        </w:trPr>
        <w:tc>
          <w:tcPr>
            <w:tcW w:type="dxa" w:w="775"/>
          </w:tcPr>
          <w:p>
            <w:r>
              <w:rPr>
                <w:sz w:val="17"/>
              </w:rPr>
            </w:r>
            <w:r>
              <w:rPr>
                <w:sz w:val="17"/>
              </w:rPr>
              <w:t>V0.2</w:t>
            </w:r>
          </w:p>
        </w:tc>
        <w:tc>
          <w:tcPr>
            <w:tcW w:type="dxa" w:w="1033"/>
          </w:tcPr>
          <w:p>
            <w:r>
              <w:rPr>
                <w:sz w:val="17"/>
              </w:rPr>
            </w:r>
            <w:r>
              <w:rPr>
                <w:sz w:val="17"/>
              </w:rPr>
              <w:t>2026-10-14</w:t>
            </w:r>
          </w:p>
        </w:tc>
        <w:tc>
          <w:tcPr>
            <w:tcW w:type="dxa" w:w="8659"/>
          </w:tcPr>
          <w:p>
            <w:r>
              <w:rPr>
                <w:sz w:val="17"/>
              </w:rPr>
            </w:r>
            <w:r>
              <w:rPr>
                <w:sz w:val="17"/>
              </w:rPr>
              <w:t>Filename revision used by Manual/​BEP links; header text not updated</w:t>
            </w:r>
          </w:p>
        </w:tc>
      </w:tr>
      <w:tr>
        <w:trPr>
          <w:cantSplit/>
        </w:trPr>
        <w:tc>
          <w:tcPr>
            <w:tcW w:type="dxa" w:w="775"/>
          </w:tcPr>
          <w:p>
            <w:r>
              <w:rPr>
                <w:sz w:val="17"/>
              </w:rPr>
            </w:r>
            <w:r>
              <w:rPr>
                <w:sz w:val="17"/>
              </w:rPr>
              <w:t>V0.3</w:t>
            </w:r>
          </w:p>
        </w:tc>
        <w:tc>
          <w:tcPr>
            <w:tcW w:type="dxa" w:w="1033"/>
          </w:tcPr>
          <w:p>
            <w:r>
              <w:rPr>
                <w:sz w:val="17"/>
              </w:rPr>
            </w:r>
            <w:r>
              <w:rPr>
                <w:sz w:val="17"/>
              </w:rPr>
              <w:t>2026-11-04</w:t>
            </w:r>
          </w:p>
        </w:tc>
        <w:tc>
          <w:tcPr>
            <w:tcW w:type="dxa" w:w="8659"/>
          </w:tcPr>
          <w:p>
            <w:r>
              <w:rPr>
                <w:sz w:val="17"/>
              </w:rPr>
            </w:r>
            <w:r>
              <w:rPr>
                <w:sz w:val="17"/>
              </w:rPr>
              <w:t>Audit res-026 closure: G135 header = filename version (O-DEC-115); G136 IFC schema/​MVD/​validation before rules; G137 trade alias → ROLE map via BBM-STD-93 (O-DEC-103); G138 BCF 3.0 (2021) with 2.1 fallback; G139 DM permit route and CRS via BBM-STD-85/​86; gate outcomes letters A/​B/​C (O-DEC-107); IMI Framework naming; references re-checked + cross-doc pointer pass</w:t>
            </w:r>
          </w:p>
        </w:tc>
      </w:tr>
      <w:tr>
        <w:trPr>
          <w:cantSplit/>
        </w:trPr>
        <w:tc>
          <w:tcPr>
            <w:tcW w:type="dxa" w:w="775"/>
          </w:tcPr>
          <w:p>
            <w:r>
              <w:rPr>
                <w:sz w:val="17"/>
              </w:rPr>
            </w:r>
            <w:r>
              <w:rPr>
                <w:sz w:val="17"/>
              </w:rPr>
              <w:t>V0.4</w:t>
            </w:r>
          </w:p>
        </w:tc>
        <w:tc>
          <w:tcPr>
            <w:tcW w:type="dxa" w:w="1033"/>
          </w:tcPr>
          <w:p>
            <w:r>
              <w:rPr>
                <w:sz w:val="17"/>
              </w:rPr>
            </w:r>
            <w:r>
              <w:rPr>
                <w:sz w:val="17"/>
              </w:rPr>
              <w:t>2026-11-05</w:t>
            </w:r>
          </w:p>
        </w:tc>
        <w:tc>
          <w:tcPr>
            <w:tcW w:type="dxa" w:w="8659"/>
          </w:tcPr>
          <w:p>
            <w:r>
              <w:rPr>
                <w:sz w:val="17"/>
              </w:rPr>
            </w:r>
            <w:r>
              <w:rPr>
                <w:sz w:val="17"/>
              </w:rPr>
              <w:t>§4.1 the full 91-pair office matrix: the 63 pairs outside the §4 illustration decided, no U left in the office baseline (</w:t>
            </w:r>
            <w:r>
              <w:rPr>
                <w:color w:val="9A7B45"/>
                <w:sz w:val="17"/>
                <w:u w:val="single"/>
              </w:rPr>
              <w:t>O-DEC-168</w:t>
            </w:r>
            <w:r>
              <w:rPr>
                <w:sz w:val="17"/>
              </w:rPr>
              <w:t>); rule owner by routing precedence and the C/​A requirement rule (</w:t>
            </w:r>
            <w:r>
              <w:rPr>
                <w:color w:val="9A7B45"/>
                <w:sz w:val="17"/>
                <w:u w:val="single"/>
              </w:rPr>
              <w:t>O-DEC-169</w:t>
            </w:r>
            <w:r>
              <w:rPr>
                <w:sz w:val="17"/>
              </w:rPr>
              <w:t>)</w:t>
            </w:r>
          </w:p>
        </w:tc>
      </w:tr>
    </w:tbl>
    <w:p/>
    <w:p>
      <w:pPr>
        <w:pStyle w:val="Heading1"/>
      </w:pPr>
      <w:r>
        <w:t>1. Purpose, scope and document control</w:t>
      </w:r>
    </w:p>
    <w:p>
      <w:pPr/>
      <w:r>
        <w:t>Use this register to plan, run and evidence model coordination across the office delivery team and its supply chain. It covers physical intersections, installation clearances, operational access and model duplicates. A model test supports competent design review; it does not establish structural adequacy, accessibility, fire compliance or construction approval by itself.</w:t>
      </w:r>
    </w:p>
    <w:p>
      <w:pPr/>
      <w:r>
        <w:t>This revision replaces the spreadsheet's ambiguous matrix cells with explicit test rules, a federation manifest and linked issue records. Keep the original export unchanged as private provenance. The September 2025 control label “Version: 00” is treated as the unversioned legacy baseline; the first controlled markdown revision was V0.1; this revision is V0.3 (see Revision history). It fixes the broken control formula by storing typed metadata, not a calculated banner.</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710"/>
        <w:gridCol w:w="7756"/>
      </w:tblGrid>
      <w:tr>
        <w:trPr>
          <w:cantSplit/>
          <w:tblHeader/>
        </w:trPr>
        <w:tc>
          <w:tcPr>
            <w:tcW w:type="dxa" w:w="2710"/>
            <w:shd w:val="clear" w:color="auto" w:fill="111113"/>
          </w:tcPr>
          <w:p>
            <w:r>
              <w:rPr>
                <w:b/>
                <w:color w:val="FFFFFF"/>
                <w:sz w:val="17"/>
              </w:rPr>
            </w:r>
            <w:r>
              <w:rPr>
                <w:b/>
                <w:color w:val="FFFFFF"/>
                <w:sz w:val="17"/>
              </w:rPr>
              <w:t>Control field</w:t>
            </w:r>
          </w:p>
        </w:tc>
        <w:tc>
          <w:tcPr>
            <w:tcW w:type="dxa" w:w="7756"/>
            <w:shd w:val="clear" w:color="auto" w:fill="111113"/>
          </w:tcPr>
          <w:p>
            <w:r>
              <w:rPr>
                <w:b/>
                <w:color w:val="FFFFFF"/>
                <w:sz w:val="17"/>
              </w:rPr>
            </w:r>
            <w:r>
              <w:rPr>
                <w:b/>
                <w:color w:val="FFFFFF"/>
                <w:sz w:val="17"/>
              </w:rPr>
              <w:t>Value /​ entry required</w:t>
            </w:r>
          </w:p>
        </w:tc>
      </w:tr>
      <w:tr>
        <w:trPr>
          <w:cantSplit/>
        </w:trPr>
        <w:tc>
          <w:tcPr>
            <w:tcW w:type="dxa" w:w="2710"/>
          </w:tcPr>
          <w:p>
            <w:r>
              <w:rPr>
                <w:sz w:val="17"/>
              </w:rPr>
            </w:r>
            <w:r>
              <w:rPr>
                <w:sz w:val="17"/>
              </w:rPr>
              <w:t>Document ID /​ revision /​ effective date</w:t>
            </w:r>
          </w:p>
        </w:tc>
        <w:tc>
          <w:tcPr>
            <w:tcW w:type="dxa" w:w="7756"/>
          </w:tcPr>
          <w:p>
            <w:r>
              <w:rPr>
                <w:sz w:val="17"/>
              </w:rPr>
            </w:r>
            <w:r>
              <w:rPr>
                <w:sz w:val="17"/>
              </w:rPr>
              <w:t>BBM-STD-50-CLASH_MATRIX /​ V0.3 /​ 2026-11-04</w:t>
            </w:r>
          </w:p>
        </w:tc>
      </w:tr>
      <w:tr>
        <w:trPr>
          <w:cantSplit/>
        </w:trPr>
        <w:tc>
          <w:tcPr>
            <w:tcW w:type="dxa" w:w="2710"/>
          </w:tcPr>
          <w:p>
            <w:r>
              <w:rPr>
                <w:sz w:val="17"/>
              </w:rPr>
            </w:r>
            <w:r>
              <w:rPr>
                <w:sz w:val="17"/>
              </w:rPr>
              <w:t>Prepared /​ checked /​ verified /​ approved</w:t>
            </w:r>
          </w:p>
        </w:tc>
        <w:tc>
          <w:tcPr>
            <w:tcW w:type="dxa" w:w="7756"/>
          </w:tcPr>
          <w:p>
            <w:r>
              <w:rPr>
                <w:sz w:val="17"/>
              </w:rPr>
            </w:r>
            <w:r>
              <w:rPr>
                <w:sz w:val="17"/>
              </w:rPr>
              <w:t>BIM Coordinator /​ independent coordination checker /​ discipline leads /​ BIM Manager; enter identifiable IDs and dates in the project copy</w:t>
            </w:r>
          </w:p>
        </w:tc>
      </w:tr>
      <w:tr>
        <w:trPr>
          <w:cantSplit/>
        </w:trPr>
        <w:tc>
          <w:tcPr>
            <w:tcW w:type="dxa" w:w="2710"/>
          </w:tcPr>
          <w:p>
            <w:r>
              <w:rPr>
                <w:sz w:val="17"/>
              </w:rPr>
            </w:r>
            <w:r>
              <w:rPr>
                <w:sz w:val="17"/>
              </w:rPr>
              <w:t>Appointment and intended use</w:t>
            </w:r>
          </w:p>
        </w:tc>
        <w:tc>
          <w:tcPr>
            <w:tcW w:type="dxa" w:w="7756"/>
          </w:tcPr>
          <w:p>
            <w:r>
              <w:rPr>
                <w:sz w:val="17"/>
              </w:rPr>
            </w:r>
            <w:r>
              <w:rPr>
                <w:sz w:val="17"/>
              </w:rPr>
              <w:t>[appointment ID; delivery team; in-scope exchange and permitted use]</w:t>
            </w:r>
          </w:p>
        </w:tc>
      </w:tr>
      <w:tr>
        <w:trPr>
          <w:cantSplit/>
        </w:trPr>
        <w:tc>
          <w:tcPr>
            <w:tcW w:type="dxa" w:w="2710"/>
          </w:tcPr>
          <w:p>
            <w:r>
              <w:rPr>
                <w:sz w:val="17"/>
              </w:rPr>
            </w:r>
            <w:r>
              <w:rPr>
                <w:sz w:val="17"/>
              </w:rPr>
              <w:t>Requirements baseline</w:t>
            </w:r>
          </w:p>
        </w:tc>
        <w:tc>
          <w:tcPr>
            <w:tcW w:type="dxa" w:w="7756"/>
          </w:tcPr>
          <w:p>
            <w:r>
              <w:rPr>
                <w:sz w:val="17"/>
              </w:rPr>
            </w:r>
            <w:r>
              <w:rPr>
                <w:sz w:val="17"/>
              </w:rPr>
              <w:t>[EIR, BEP, LOIN, design basis, authority annex, manufacturer evidence: exact IDs/​revisions]</w:t>
            </w:r>
          </w:p>
        </w:tc>
      </w:tr>
      <w:tr>
        <w:trPr>
          <w:cantSplit/>
        </w:trPr>
        <w:tc>
          <w:tcPr>
            <w:tcW w:type="dxa" w:w="2710"/>
          </w:tcPr>
          <w:p>
            <w:r>
              <w:rPr>
                <w:sz w:val="17"/>
              </w:rPr>
            </w:r>
            <w:r>
              <w:rPr>
                <w:sz w:val="17"/>
              </w:rPr>
              <w:t>Matrix /​ rule-set baseline</w:t>
            </w:r>
          </w:p>
        </w:tc>
        <w:tc>
          <w:tcPr>
            <w:tcW w:type="dxa" w:w="7756"/>
          </w:tcPr>
          <w:p>
            <w:r>
              <w:rPr>
                <w:sz w:val="17"/>
              </w:rPr>
            </w:r>
            <w:r>
              <w:rPr>
                <w:sz w:val="17"/>
              </w:rPr>
              <w:t>[register ID, revision, rule-set hash, approval record, CDE location]</w:t>
            </w:r>
          </w:p>
        </w:tc>
      </w:tr>
      <w:tr>
        <w:trPr>
          <w:cantSplit/>
        </w:trPr>
        <w:tc>
          <w:tcPr>
            <w:tcW w:type="dxa" w:w="2710"/>
          </w:tcPr>
          <w:p>
            <w:r>
              <w:rPr>
                <w:sz w:val="17"/>
              </w:rPr>
            </w:r>
            <w:r>
              <w:rPr>
                <w:sz w:val="17"/>
              </w:rPr>
              <w:t>Tool baseline</w:t>
            </w:r>
          </w:p>
        </w:tc>
        <w:tc>
          <w:tcPr>
            <w:tcW w:type="dxa" w:w="7756"/>
          </w:tcPr>
          <w:p>
            <w:r>
              <w:rPr>
                <w:sz w:val="17"/>
              </w:rPr>
            </w:r>
            <w:r>
              <w:rPr>
                <w:sz w:val="17"/>
              </w:rPr>
              <w:t>[federator/​checker product, full build, exporter build, settings/​preset hash, known-result qualification]</w:t>
            </w:r>
          </w:p>
        </w:tc>
      </w:tr>
      <w:tr>
        <w:trPr>
          <w:cantSplit/>
        </w:trPr>
        <w:tc>
          <w:tcPr>
            <w:tcW w:type="dxa" w:w="2710"/>
          </w:tcPr>
          <w:p>
            <w:r>
              <w:rPr>
                <w:sz w:val="17"/>
              </w:rPr>
            </w:r>
            <w:r>
              <w:rPr>
                <w:sz w:val="17"/>
              </w:rPr>
              <w:t>Supersession and distribution</w:t>
            </w:r>
          </w:p>
        </w:tc>
        <w:tc>
          <w:tcPr>
            <w:tcW w:type="dxa" w:w="7756"/>
          </w:tcPr>
          <w:p>
            <w:r>
              <w:rPr>
                <w:sz w:val="17"/>
              </w:rPr>
            </w:r>
            <w:r>
              <w:rPr>
                <w:sz w:val="17"/>
              </w:rPr>
              <w:t>Prior export retained privately; approved rules distributed to every affected task team and supplier; historic issues keep their original identity</w:t>
            </w:r>
          </w:p>
        </w:tc>
      </w:tr>
    </w:tbl>
    <w:p/>
    <w:p>
      <w:pPr/>
      <w:r>
        <w:t>ISO 19650-1:2018 informs role terminology; ISO 19650-2:2018 informs delivery arrangements; ISO 19650-4:2022 informs exchange decisions. ISO 7817-1:2024 defines purpose-led information need. BCF 3.0 bcfXML (buildingSMART final, 18 Jun 2021) is the selected issue exchange profile (O-DEC-087); BCF-API 3.0 is used only after endpoint qualification, and receivers limited to BCF 2.1 (2017) use a recorded 3.0→2.1 field map and round-trip test. RIBA Plan of Work 2020 supplies stage names; none of these references sets a universal office clash tolerance. [S01, S02, S04, S07, S13, S21]</w:t>
      </w:r>
    </w:p>
    <w:p>
      <w:pPr/>
      <w:r>
        <w:t xml:space="preserve">Where BBM-STD-57 records a Dubai Municipality BIM permit route (circular 9-1-2 of 13 Oct 2023 or 9-1-3 of 15 Jan 2026, effective 1 Apr 2026; detail in </w:t>
      </w:r>
      <w:r>
        <w:rPr>
          <w:color w:val="9A7B45"/>
          <w:u w:val="single"/>
        </w:rPr>
        <w:t>BBM-STD-85</w:t>
      </w:r>
      <w:r>
        <w:t xml:space="preserve">), the federation manifest uses the same permit IFC export setup (the IFC schema and export setup stated in the current Dubai BIM Standard, checked at project start and recorded in the BEP) and the project shared frame from the CRS register in </w:t>
      </w:r>
      <w:r>
        <w:rPr>
          <w:color w:val="9A7B45"/>
          <w:u w:val="single"/>
        </w:rPr>
        <w:t>BBM-STD-86</w:t>
      </w:r>
      <w:r>
        <w:t xml:space="preserve"> (Dubai: DLTM, EPSG:3997; vertical datum DMD). Clash evidence for the permit model is retained with the submission record. [S22, S23, S24]</w:t>
      </w:r>
    </w:p>
    <w:p>
      <w:pPr/>
      <w:r>
        <w:t>The lead appointed party coordinates the delivery-team rule register. The appointing party defines its exchange/acceptance requirements. Task teams produce and check their information; competent discipline designers decide changes to their design. “Lead Appointing Party” is retired. A coordinator cannot unilaterally instruct another discipline to cut structure or waive safety requirements.</w:t>
      </w:r>
    </w:p>
    <w:p>
      <w:pPr>
        <w:pStyle w:val="Heading1"/>
      </w:pPr>
      <w:r>
        <w:t>2. One office decision baseline</w:t>
      </w:r>
    </w:p>
    <w:p>
      <w:pPr/>
      <w:r>
        <w:rPr>
          <w:b/>
        </w:rPr>
        <w:t>Decision (BIM Manager, 2026-10-14):</w:t>
      </w:r>
      <w:r>
        <w:t xml:space="preserve"> Retire all blanket RIBA-stage tolerances, including the conflicting Stage 5 15 mm and 5 mm settings; apply the single test-type table in section 3 at every stage. Basis: Purpose, pair, zone and clearance evidence determine the test; stage and LOD do not determine an allowable intersection S07.</w:t>
      </w:r>
    </w:p>
    <w:p>
      <w:pPr/>
      <w:r>
        <w:rPr>
          <w:b/>
        </w:rPr>
        <w:t>Decision (BIM Manager, 2026-10-14; re-affirmed O-DEC-102):</w:t>
      </w:r>
      <w:r>
        <w:t xml:space="preserve"> Use CLIENT-ORG-PROJ-VOLUME-LEVEL-TYPE-ROLE-NUMBER.ext when an appointment supplies no grammar; retain internal Rnn revisions and the suitability list below. Basis: Adopts the Manual/BEP external candidate and existing Rnn convention consistently; appointment requirements take precedence through one recorded mapping G-C.</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21"/>
        <w:gridCol w:w="4108"/>
        <w:gridCol w:w="5138"/>
      </w:tblGrid>
      <w:tr>
        <w:trPr>
          <w:cantSplit/>
          <w:tblHeader/>
        </w:trPr>
        <w:tc>
          <w:tcPr>
            <w:tcW w:type="dxa" w:w="1221"/>
            <w:shd w:val="clear" w:color="auto" w:fill="111113"/>
          </w:tcPr>
          <w:p>
            <w:r>
              <w:rPr>
                <w:b/>
                <w:color w:val="FFFFFF"/>
                <w:sz w:val="17"/>
              </w:rPr>
            </w:r>
            <w:r>
              <w:rPr>
                <w:b/>
                <w:color w:val="FFFFFF"/>
                <w:sz w:val="17"/>
              </w:rPr>
              <w:t>Shared O3 policy field</w:t>
            </w:r>
          </w:p>
        </w:tc>
        <w:tc>
          <w:tcPr>
            <w:tcW w:type="dxa" w:w="4108"/>
            <w:shd w:val="clear" w:color="auto" w:fill="111113"/>
          </w:tcPr>
          <w:p>
            <w:r>
              <w:rPr>
                <w:b/>
                <w:color w:val="FFFFFF"/>
                <w:sz w:val="17"/>
              </w:rPr>
            </w:r>
            <w:r>
              <w:rPr>
                <w:b/>
                <w:color w:val="FFFFFF"/>
                <w:sz w:val="17"/>
              </w:rPr>
              <w:t>Controlled office value</w:t>
            </w:r>
          </w:p>
        </w:tc>
        <w:tc>
          <w:tcPr>
            <w:tcW w:type="dxa" w:w="5138"/>
            <w:shd w:val="clear" w:color="auto" w:fill="111113"/>
          </w:tcPr>
          <w:p>
            <w:r>
              <w:rPr>
                <w:b/>
                <w:color w:val="FFFFFF"/>
                <w:sz w:val="17"/>
              </w:rPr>
            </w:r>
            <w:r>
              <w:rPr>
                <w:b/>
                <w:color w:val="FFFFFF"/>
                <w:sz w:val="17"/>
              </w:rPr>
              <w:t>Check /​ migration rule</w:t>
            </w:r>
          </w:p>
        </w:tc>
      </w:tr>
      <w:tr>
        <w:trPr>
          <w:cantSplit/>
        </w:trPr>
        <w:tc>
          <w:tcPr>
            <w:tcW w:type="dxa" w:w="1221"/>
          </w:tcPr>
          <w:p>
            <w:r>
              <w:rPr>
                <w:sz w:val="17"/>
              </w:rPr>
            </w:r>
            <w:r>
              <w:rPr>
                <w:sz w:val="17"/>
              </w:rPr>
              <w:t>Container identity</w:t>
            </w:r>
          </w:p>
        </w:tc>
        <w:tc>
          <w:tcPr>
            <w:tcW w:type="dxa" w:w="4108"/>
          </w:tcPr>
          <w:p>
            <w:r>
              <w:rPr>
                <w:sz w:val="17"/>
              </w:rPr>
            </w:r>
            <w:r>
              <w:rPr>
                <w:sz w:val="17"/>
              </w:rPr>
              <w:t>Eight uppercase hyphen-separated tokens; NUMBER is four digits; lowercase approved extension</w:t>
            </w:r>
          </w:p>
        </w:tc>
        <w:tc>
          <w:tcPr>
            <w:tcW w:type="dxa" w:w="5138"/>
          </w:tcPr>
          <w:p>
            <w:r>
              <w:rPr>
                <w:sz w:val="17"/>
              </w:rPr>
            </w:r>
            <w:r>
              <w:rPr>
                <w:sz w:val="17"/>
              </w:rPr>
              <w:t>Example CLI-OFF-P001-Z01-L01-M3-A-0001.ifc; ZZ means whole scope; validate every token against project code lists</w:t>
            </w:r>
          </w:p>
        </w:tc>
      </w:tr>
      <w:tr>
        <w:trPr>
          <w:cantSplit/>
        </w:trPr>
        <w:tc>
          <w:tcPr>
            <w:tcW w:type="dxa" w:w="1221"/>
          </w:tcPr>
          <w:p>
            <w:r>
              <w:rPr>
                <w:sz w:val="17"/>
              </w:rPr>
            </w:r>
            <w:r>
              <w:rPr>
                <w:sz w:val="17"/>
              </w:rPr>
              <w:t>Revision</w:t>
            </w:r>
          </w:p>
        </w:tc>
        <w:tc>
          <w:tcPr>
            <w:tcW w:type="dxa" w:w="4108"/>
          </w:tcPr>
          <w:p>
            <w:r>
              <w:rPr>
                <w:sz w:val="17"/>
              </w:rPr>
            </w:r>
            <w:r>
              <w:rPr>
                <w:sz w:val="17"/>
              </w:rPr>
              <w:t>R00 initial WIP, then R01, R02…; expand digits beyond R99; never recycle</w:t>
            </w:r>
          </w:p>
        </w:tc>
        <w:tc>
          <w:tcPr>
            <w:tcW w:type="dxa" w:w="5138"/>
          </w:tcPr>
          <w:p>
            <w:r>
              <w:rPr>
                <w:sz w:val="17"/>
              </w:rPr>
            </w:r>
            <w:r>
              <w:rPr>
                <w:sz w:val="17"/>
              </w:rPr>
              <w:t>Same identity for changed content; revision is metadata, not part of the identity; unchanged containers retain their actual revision</w:t>
            </w:r>
          </w:p>
        </w:tc>
      </w:tr>
      <w:tr>
        <w:trPr>
          <w:cantSplit/>
        </w:trPr>
        <w:tc>
          <w:tcPr>
            <w:tcW w:type="dxa" w:w="1221"/>
          </w:tcPr>
          <w:p>
            <w:r>
              <w:rPr>
                <w:sz w:val="17"/>
              </w:rPr>
            </w:r>
            <w:r>
              <w:rPr>
                <w:sz w:val="17"/>
              </w:rPr>
              <w:t>Suitability</w:t>
            </w:r>
          </w:p>
        </w:tc>
        <w:tc>
          <w:tcPr>
            <w:tcW w:type="dxa" w:w="4108"/>
          </w:tcPr>
          <w:p>
            <w:r>
              <w:rPr>
                <w:sz w:val="17"/>
              </w:rPr>
            </w:r>
            <w:r>
              <w:rPr>
                <w:sz w:val="17"/>
              </w:rPr>
              <w:t>SU-WIP: team work only; SU-COORD: coordination; SU-INFO: reference information; SU-REVIEW: formal review; SU-ISSUE: authorised defined use</w:t>
            </w:r>
          </w:p>
        </w:tc>
        <w:tc>
          <w:tcPr>
            <w:tcW w:type="dxa" w:w="5138"/>
          </w:tcPr>
          <w:p>
            <w:r>
              <w:rPr>
                <w:sz w:val="17"/>
              </w:rPr>
            </w:r>
            <w:r>
              <w:rPr>
                <w:sz w:val="17"/>
              </w:rPr>
              <w:t>Local codes, not ISO or UK national-annex codes; store permitted use and actual acceptance decision separately</w:t>
            </w:r>
          </w:p>
        </w:tc>
      </w:tr>
      <w:tr>
        <w:trPr>
          <w:cantSplit/>
        </w:trPr>
        <w:tc>
          <w:tcPr>
            <w:tcW w:type="dxa" w:w="1221"/>
          </w:tcPr>
          <w:p>
            <w:r>
              <w:rPr>
                <w:sz w:val="17"/>
              </w:rPr>
            </w:r>
            <w:r>
              <w:rPr>
                <w:sz w:val="17"/>
              </w:rPr>
              <w:t>CDE state</w:t>
            </w:r>
          </w:p>
        </w:tc>
        <w:tc>
          <w:tcPr>
            <w:tcW w:type="dxa" w:w="4108"/>
          </w:tcPr>
          <w:p>
            <w:r>
              <w:rPr>
                <w:sz w:val="17"/>
              </w:rPr>
            </w:r>
            <w:r>
              <w:rPr>
                <w:sz w:val="17"/>
              </w:rPr>
              <w:t>WIP /​ Shared /​ Published /​ Archive</w:t>
            </w:r>
          </w:p>
        </w:tc>
        <w:tc>
          <w:tcPr>
            <w:tcW w:type="dxa" w:w="5138"/>
          </w:tcPr>
          <w:p>
            <w:r>
              <w:rPr>
                <w:sz w:val="17"/>
              </w:rPr>
            </w:r>
            <w:r>
              <w:rPr>
                <w:sz w:val="17"/>
              </w:rPr>
              <w:t>SU-ISSUE does not itself prove appointing-party acceptance; Published has the explicit authorised-use/​release record; preserve rejected and superseded evidence</w:t>
            </w:r>
          </w:p>
        </w:tc>
      </w:tr>
      <w:tr>
        <w:trPr>
          <w:cantSplit/>
        </w:trPr>
        <w:tc>
          <w:tcPr>
            <w:tcW w:type="dxa" w:w="1221"/>
          </w:tcPr>
          <w:p>
            <w:r>
              <w:rPr>
                <w:sz w:val="17"/>
              </w:rPr>
            </w:r>
            <w:r>
              <w:rPr>
                <w:sz w:val="17"/>
              </w:rPr>
              <w:t>Office drawing/​model aliases</w:t>
            </w:r>
          </w:p>
        </w:tc>
        <w:tc>
          <w:tcPr>
            <w:tcW w:type="dxa" w:w="4108"/>
          </w:tcPr>
          <w:p>
            <w:r>
              <w:rPr>
                <w:sz w:val="17"/>
              </w:rPr>
            </w:r>
            <w:r>
              <w:rPr>
                <w:sz w:val="17"/>
              </w:rPr>
              <w:t>Preserve existing internal names with an ID-to-container mapping</w:t>
            </w:r>
          </w:p>
        </w:tc>
        <w:tc>
          <w:tcPr>
            <w:tcW w:type="dxa" w:w="5138"/>
          </w:tcPr>
          <w:p>
            <w:r>
              <w:rPr>
                <w:sz w:val="17"/>
              </w:rPr>
            </w:r>
            <w:r>
              <w:rPr>
                <w:sz w:val="17"/>
              </w:rPr>
              <w:t xml:space="preserve">Trade codes are selection aliases; ROLE codes come only from the one code dictionary </w:t>
            </w:r>
            <w:r>
              <w:rPr>
                <w:color w:val="9A7B45"/>
                <w:sz w:val="17"/>
                <w:u w:val="single"/>
              </w:rPr>
              <w:t>BBM-STD-93</w:t>
            </w:r>
            <w:r>
              <w:rPr>
                <w:sz w:val="17"/>
              </w:rPr>
              <w:t xml:space="preserve"> (O-DEC-103). Each trade alias maps to exactly one ROLE in section 4. Do not equate trade code with role code</w:t>
            </w:r>
          </w:p>
        </w:tc>
      </w:tr>
      <w:tr>
        <w:trPr>
          <w:cantSplit/>
        </w:trPr>
        <w:tc>
          <w:tcPr>
            <w:tcW w:type="dxa" w:w="1221"/>
          </w:tcPr>
          <w:p>
            <w:r>
              <w:rPr>
                <w:sz w:val="17"/>
              </w:rPr>
            </w:r>
            <w:r>
              <w:rPr>
                <w:sz w:val="17"/>
              </w:rPr>
              <w:t>Appointment override</w:t>
            </w:r>
          </w:p>
        </w:tc>
        <w:tc>
          <w:tcPr>
            <w:tcW w:type="dxa" w:w="4108"/>
          </w:tcPr>
          <w:p>
            <w:r>
              <w:rPr>
                <w:sz w:val="17"/>
              </w:rPr>
            </w:r>
            <w:r>
              <w:rPr>
                <w:sz w:val="17"/>
              </w:rPr>
              <w:t>One project register maps client grammar, revisions and suitability to these meanings</w:t>
            </w:r>
          </w:p>
        </w:tc>
        <w:tc>
          <w:tcPr>
            <w:tcW w:type="dxa" w:w="5138"/>
          </w:tcPr>
          <w:p>
            <w:r>
              <w:rPr>
                <w:sz w:val="17"/>
              </w:rPr>
            </w:r>
            <w:r>
              <w:rPr>
                <w:sz w:val="17"/>
              </w:rPr>
              <w:t>Preserve past issued identities; apply authorised mapping to future issues; no parallel active naming lists</w:t>
            </w:r>
          </w:p>
        </w:tc>
      </w:tr>
    </w:tbl>
    <w:p/>
    <w:p>
      <w:pPr/>
      <w:r>
        <w:t>The following table is the authoritative O3 tolerance table. MIDP and TIDP reference it by O3-POL-01 and rule revision, rather than restating different numbers. It supersedes legacy stage thresholds and candidate 20/25 mm pair settings for this method. Other office documents' historical candidate tables require this project rule register at use; their unrelated recommendations are outside O3.</w:t>
      </w:r>
    </w:p>
    <w:p>
      <w:pPr>
        <w:pStyle w:val="Heading1"/>
      </w:pPr>
      <w:r>
        <w:t>3. Test semantics, tolerances and release thresholds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11"/>
        <w:gridCol w:w="2551"/>
        <w:gridCol w:w="3967"/>
        <w:gridCol w:w="2737"/>
      </w:tblGrid>
      <w:tr>
        <w:trPr>
          <w:cantSplit/>
          <w:tblHeader/>
        </w:trPr>
        <w:tc>
          <w:tcPr>
            <w:tcW w:type="dxa" w:w="1211"/>
            <w:shd w:val="clear" w:color="auto" w:fill="111113"/>
          </w:tcPr>
          <w:p>
            <w:r>
              <w:rPr>
                <w:b/>
                <w:color w:val="FFFFFF"/>
                <w:sz w:val="17"/>
              </w:rPr>
            </w:r>
            <w:r>
              <w:rPr>
                <w:b/>
                <w:color w:val="FFFFFF"/>
                <w:sz w:val="17"/>
              </w:rPr>
              <w:t>Rule type</w:t>
            </w:r>
          </w:p>
        </w:tc>
        <w:tc>
          <w:tcPr>
            <w:tcW w:type="dxa" w:w="2551"/>
            <w:shd w:val="clear" w:color="auto" w:fill="111113"/>
          </w:tcPr>
          <w:p>
            <w:r>
              <w:rPr>
                <w:b/>
                <w:color w:val="FFFFFF"/>
                <w:sz w:val="17"/>
              </w:rPr>
            </w:r>
            <w:r>
              <w:rPr>
                <w:b/>
                <w:color w:val="FFFFFF"/>
                <w:sz w:val="17"/>
              </w:rPr>
              <w:t>Office detection setting</w:t>
            </w:r>
          </w:p>
        </w:tc>
        <w:tc>
          <w:tcPr>
            <w:tcW w:type="dxa" w:w="3967"/>
            <w:shd w:val="clear" w:color="auto" w:fill="111113"/>
          </w:tcPr>
          <w:p>
            <w:r>
              <w:rPr>
                <w:b/>
                <w:color w:val="FFFFFF"/>
                <w:sz w:val="17"/>
              </w:rPr>
            </w:r>
            <w:r>
              <w:rPr>
                <w:b/>
                <w:color w:val="FFFFFF"/>
                <w:sz w:val="17"/>
              </w:rPr>
              <w:t>Required evidence and pass condition</w:t>
            </w:r>
          </w:p>
        </w:tc>
        <w:tc>
          <w:tcPr>
            <w:tcW w:type="dxa" w:w="2737"/>
            <w:shd w:val="clear" w:color="auto" w:fill="111113"/>
          </w:tcPr>
          <w:p>
            <w:r>
              <w:rPr>
                <w:b/>
                <w:color w:val="FFFFFF"/>
                <w:sz w:val="17"/>
              </w:rPr>
            </w:r>
            <w:r>
              <w:rPr>
                <w:b/>
                <w:color w:val="FFFFFF"/>
                <w:sz w:val="17"/>
              </w:rPr>
              <w:t>Change control</w:t>
            </w:r>
          </w:p>
        </w:tc>
      </w:tr>
      <w:tr>
        <w:trPr>
          <w:cantSplit/>
        </w:trPr>
        <w:tc>
          <w:tcPr>
            <w:tcW w:type="dxa" w:w="1211"/>
          </w:tcPr>
          <w:p>
            <w:r>
              <w:rPr>
                <w:sz w:val="17"/>
              </w:rPr>
            </w:r>
            <w:r>
              <w:rPr>
                <w:sz w:val="17"/>
              </w:rPr>
              <w:t>H: hard intersection</w:t>
            </w:r>
          </w:p>
        </w:tc>
        <w:tc>
          <w:tcPr>
            <w:tcW w:type="dxa" w:w="2551"/>
          </w:tcPr>
          <w:p>
            <w:r>
              <w:rPr>
                <w:sz w:val="17"/>
              </w:rPr>
            </w:r>
            <w:r>
              <w:rPr>
                <w:sz w:val="17"/>
              </w:rPr>
              <w:t>0 mm deliberate penetration allowance; tool contact/​precision behavior recorded</w:t>
            </w:r>
          </w:p>
        </w:tc>
        <w:tc>
          <w:tcPr>
            <w:tcW w:type="dxa" w:w="3967"/>
          </w:tcPr>
          <w:p>
            <w:r>
              <w:rPr>
                <w:sz w:val="17"/>
              </w:rPr>
            </w:r>
            <w:r>
              <w:rPr>
                <w:sz w:val="17"/>
              </w:rPr>
              <w:t>No unresolved unintended physical overlap in required scope. Include insulation, fittings and relevant supports. Mere touching is reviewed against tool behavior; numeric noise is dispositioned, never silently dropped</w:t>
            </w:r>
          </w:p>
        </w:tc>
        <w:tc>
          <w:tcPr>
            <w:tcW w:type="dxa" w:w="2737"/>
          </w:tcPr>
          <w:p>
            <w:r>
              <w:rPr>
                <w:sz w:val="17"/>
              </w:rPr>
            </w:r>
            <w:r>
              <w:rPr>
                <w:sz w:val="17"/>
              </w:rPr>
              <w:t>Qualified precision fixture; any numerical epsilon is documented by tool/​units and independently checked; it cannot authorise a physical conflict</w:t>
            </w:r>
          </w:p>
        </w:tc>
      </w:tr>
      <w:tr>
        <w:trPr>
          <w:cantSplit/>
        </w:trPr>
        <w:tc>
          <w:tcPr>
            <w:tcW w:type="dxa" w:w="1211"/>
          </w:tcPr>
          <w:p>
            <w:r>
              <w:rPr>
                <w:sz w:val="17"/>
              </w:rPr>
            </w:r>
            <w:r>
              <w:rPr>
                <w:sz w:val="17"/>
              </w:rPr>
              <w:t>C: installation clearance</w:t>
            </w:r>
          </w:p>
        </w:tc>
        <w:tc>
          <w:tcPr>
            <w:tcW w:type="dxa" w:w="2551"/>
          </w:tcPr>
          <w:p>
            <w:r>
              <w:rPr>
                <w:sz w:val="17"/>
              </w:rPr>
            </w:r>
            <w:r>
              <w:rPr>
                <w:sz w:val="17"/>
              </w:rPr>
              <w:t>Required separation/​envelope from design, installation sequence and manufacturer requirement; no blanket 150 mm</w:t>
            </w:r>
          </w:p>
        </w:tc>
        <w:tc>
          <w:tcPr>
            <w:tcW w:type="dxa" w:w="3967"/>
          </w:tcPr>
          <w:p>
            <w:r>
              <w:rPr>
                <w:sz w:val="17"/>
              </w:rPr>
            </w:r>
            <w:r>
              <w:rPr>
                <w:sz w:val="17"/>
              </w:rPr>
              <w:t>Measured minimum distance ≥ recorded requirement or no obstruction of the explicit envelope; installation and removal sequence checked</w:t>
            </w:r>
          </w:p>
        </w:tc>
        <w:tc>
          <w:tcPr>
            <w:tcW w:type="dxa" w:w="2737"/>
          </w:tcPr>
          <w:p>
            <w:r>
              <w:rPr>
                <w:sz w:val="17"/>
              </w:rPr>
            </w:r>
            <w:r>
              <w:rPr>
                <w:sz w:val="17"/>
              </w:rPr>
              <w:t>Requirement ID, actual millimetres/​envelope and competent designer required before enabling rule; missing value blocks rule activation</w:t>
            </w:r>
          </w:p>
        </w:tc>
      </w:tr>
      <w:tr>
        <w:trPr>
          <w:cantSplit/>
        </w:trPr>
        <w:tc>
          <w:tcPr>
            <w:tcW w:type="dxa" w:w="1211"/>
          </w:tcPr>
          <w:p>
            <w:r>
              <w:rPr>
                <w:sz w:val="17"/>
              </w:rPr>
            </w:r>
            <w:r>
              <w:rPr>
                <w:sz w:val="17"/>
              </w:rPr>
              <w:t>A: access /​ maintenance /​ safety</w:t>
            </w:r>
          </w:p>
        </w:tc>
        <w:tc>
          <w:tcPr>
            <w:tcW w:type="dxa" w:w="2551"/>
          </w:tcPr>
          <w:p>
            <w:r>
              <w:rPr>
                <w:sz w:val="17"/>
              </w:rPr>
            </w:r>
            <w:r>
              <w:rPr>
                <w:sz w:val="17"/>
              </w:rPr>
              <w:t>Exact access, swing, withdrawal and route envelope from applicable code/​design/​manufacturer; no blanket 500 mm</w:t>
            </w:r>
          </w:p>
        </w:tc>
        <w:tc>
          <w:tcPr>
            <w:tcW w:type="dxa" w:w="3967"/>
          </w:tcPr>
          <w:p>
            <w:r>
              <w:rPr>
                <w:sz w:val="17"/>
              </w:rPr>
            </w:r>
            <w:r>
              <w:rPr>
                <w:sz w:val="17"/>
              </w:rPr>
              <w:t>Required envelope free; route and activity usable in designer review; retain dimensions and source revision</w:t>
            </w:r>
          </w:p>
        </w:tc>
        <w:tc>
          <w:tcPr>
            <w:tcW w:type="dxa" w:w="2737"/>
          </w:tcPr>
          <w:p>
            <w:r>
              <w:rPr>
                <w:sz w:val="17"/>
              </w:rPr>
            </w:r>
            <w:r>
              <w:rPr>
                <w:sz w:val="17"/>
              </w:rPr>
              <w:t>Safety/​access requirements cannot be waived by BIM Manager or model tolerance</w:t>
            </w:r>
          </w:p>
        </w:tc>
      </w:tr>
      <w:tr>
        <w:trPr>
          <w:cantSplit/>
        </w:trPr>
        <w:tc>
          <w:tcPr>
            <w:tcW w:type="dxa" w:w="1211"/>
          </w:tcPr>
          <w:p>
            <w:r>
              <w:rPr>
                <w:sz w:val="17"/>
              </w:rPr>
            </w:r>
            <w:r>
              <w:rPr>
                <w:sz w:val="17"/>
              </w:rPr>
              <w:t>D: duplicates</w:t>
            </w:r>
          </w:p>
        </w:tc>
        <w:tc>
          <w:tcPr>
            <w:tcW w:type="dxa" w:w="2551"/>
          </w:tcPr>
          <w:p>
            <w:r>
              <w:rPr>
                <w:sz w:val="17"/>
              </w:rPr>
            </w:r>
            <w:r>
              <w:rPr>
                <w:sz w:val="17"/>
              </w:rPr>
              <w:t>Exact coincident geometry/​identity investigation; no general 10 mm merge rule</w:t>
            </w:r>
          </w:p>
        </w:tc>
        <w:tc>
          <w:tcPr>
            <w:tcW w:type="dxa" w:w="3967"/>
          </w:tcPr>
          <w:p>
            <w:r>
              <w:rPr>
                <w:sz w:val="17"/>
              </w:rPr>
            </w:r>
            <w:r>
              <w:rPr>
                <w:sz w:val="17"/>
              </w:rPr>
              <w:t>No unintended duplicate in selected population. Separate repeated elements, joins and deliberate shared-reference geometry explicitly</w:t>
            </w:r>
          </w:p>
        </w:tc>
        <w:tc>
          <w:tcPr>
            <w:tcW w:type="dxa" w:w="2737"/>
          </w:tcPr>
          <w:p>
            <w:r>
              <w:rPr>
                <w:sz w:val="17"/>
              </w:rPr>
            </w:r>
            <w:r>
              <w:rPr>
                <w:sz w:val="17"/>
              </w:rPr>
              <w:t>Never delete by proximity alone; producer corrects with before/​after evidence</w:t>
            </w:r>
          </w:p>
        </w:tc>
      </w:tr>
      <w:tr>
        <w:trPr>
          <w:cantSplit/>
        </w:trPr>
        <w:tc>
          <w:tcPr>
            <w:tcW w:type="dxa" w:w="1211"/>
          </w:tcPr>
          <w:p>
            <w:r>
              <w:rPr>
                <w:sz w:val="17"/>
              </w:rPr>
            </w:r>
            <w:r>
              <w:rPr>
                <w:sz w:val="17"/>
              </w:rPr>
              <w:t>V: verified existing condition</w:t>
            </w:r>
          </w:p>
        </w:tc>
        <w:tc>
          <w:tcPr>
            <w:tcW w:type="dxa" w:w="2551"/>
          </w:tcPr>
          <w:p>
            <w:r>
              <w:rPr>
                <w:sz w:val="17"/>
              </w:rPr>
            </w:r>
            <w:r>
              <w:rPr>
                <w:sz w:val="17"/>
              </w:rPr>
              <w:t>Survey/​design acceptance method and accuracy from approved evidence</w:t>
            </w:r>
          </w:p>
        </w:tc>
        <w:tc>
          <w:tcPr>
            <w:tcW w:type="dxa" w:w="3967"/>
          </w:tcPr>
          <w:p>
            <w:r>
              <w:rPr>
                <w:sz w:val="17"/>
              </w:rPr>
            </w:r>
            <w:r>
              <w:rPr>
                <w:sz w:val="17"/>
              </w:rPr>
              <w:t>Reconcile observed and modelled state with source uncertainty, deviations and owner decision</w:t>
            </w:r>
          </w:p>
        </w:tc>
        <w:tc>
          <w:tcPr>
            <w:tcW w:type="dxa" w:w="2737"/>
          </w:tcPr>
          <w:p>
            <w:r>
              <w:rPr>
                <w:sz w:val="17"/>
              </w:rPr>
            </w:r>
            <w:r>
              <w:rPr>
                <w:sz w:val="17"/>
              </w:rPr>
              <w:t>A 0 mm clash setting does not assert zero survey uncertainty or as-built accuracy</w:t>
            </w:r>
          </w:p>
        </w:tc>
      </w:tr>
    </w:tbl>
    <w:p/>
    <w:p>
      <w:pPr/>
      <w:r>
        <w:rPr>
          <w:b/>
        </w:rPr>
        <w:t>Decision (BIM Manager, 2026-10-14):</w:t>
      </w:r>
      <w:r>
        <w:t xml:space="preserve"> Require 100% valid applicable mandatory geometry, data and documentation and zero unresolved required hard-intersection or mandatory access/safety failures in the issued scope. Basis: An issue count or optional-data percentage cannot average away a mandatory exchange failure S04.</w:t>
      </w:r>
    </w:p>
    <w:p>
      <w:pPr/>
      <w:r>
        <w:t>Non-mandatory information may use the Manual's 95% progress target only with a defined numerator, denominator and scope; it is not acceptance. Cosmetic/minor issues can remain only with a recorded permissible disposition, recipient notice, owner and due date. Pending required inputs or tests block affected release. Do not claim “zero clashes” for untested or excluded scope.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189"/>
        <w:gridCol w:w="2858"/>
        <w:gridCol w:w="6419"/>
      </w:tblGrid>
      <w:tr>
        <w:trPr>
          <w:cantSplit/>
          <w:tblHeader/>
        </w:trPr>
        <w:tc>
          <w:tcPr>
            <w:tcW w:type="dxa" w:w="1189"/>
            <w:shd w:val="clear" w:color="auto" w:fill="111113"/>
          </w:tcPr>
          <w:p>
            <w:r>
              <w:rPr>
                <w:b/>
                <w:color w:val="FFFFFF"/>
                <w:sz w:val="17"/>
              </w:rPr>
            </w:r>
            <w:r>
              <w:rPr>
                <w:b/>
                <w:color w:val="FFFFFF"/>
                <w:sz w:val="17"/>
              </w:rPr>
              <w:t>Project stage</w:t>
            </w:r>
          </w:p>
        </w:tc>
        <w:tc>
          <w:tcPr>
            <w:tcW w:type="dxa" w:w="2858"/>
            <w:shd w:val="clear" w:color="auto" w:fill="111113"/>
          </w:tcPr>
          <w:p>
            <w:r>
              <w:rPr>
                <w:b/>
                <w:color w:val="FFFFFF"/>
                <w:sz w:val="17"/>
              </w:rPr>
            </w:r>
            <w:r>
              <w:rPr>
                <w:b/>
                <w:color w:val="FFFFFF"/>
                <w:sz w:val="17"/>
              </w:rPr>
              <w:t>Correct RIBA 2020 term</w:t>
            </w:r>
          </w:p>
        </w:tc>
        <w:tc>
          <w:tcPr>
            <w:tcW w:type="dxa" w:w="6419"/>
            <w:shd w:val="clear" w:color="auto" w:fill="111113"/>
          </w:tcPr>
          <w:p>
            <w:r>
              <w:rPr>
                <w:b/>
                <w:color w:val="FFFFFF"/>
                <w:sz w:val="17"/>
              </w:rPr>
            </w:r>
            <w:r>
              <w:rPr>
                <w:b/>
                <w:color w:val="FFFFFF"/>
                <w:sz w:val="17"/>
              </w:rPr>
              <w:t>Coordination focus /​ information need</w:t>
            </w:r>
          </w:p>
        </w:tc>
      </w:tr>
      <w:tr>
        <w:trPr>
          <w:cantSplit/>
        </w:trPr>
        <w:tc>
          <w:tcPr>
            <w:tcW w:type="dxa" w:w="1189"/>
          </w:tcPr>
          <w:p>
            <w:r>
              <w:rPr>
                <w:sz w:val="17"/>
              </w:rPr>
            </w:r>
            <w:r>
              <w:rPr>
                <w:sz w:val="17"/>
              </w:rPr>
              <w:t>0 /​ 1</w:t>
            </w:r>
          </w:p>
        </w:tc>
        <w:tc>
          <w:tcPr>
            <w:tcW w:type="dxa" w:w="2858"/>
          </w:tcPr>
          <w:p>
            <w:r>
              <w:rPr>
                <w:sz w:val="17"/>
              </w:rPr>
            </w:r>
            <w:r>
              <w:rPr>
                <w:sz w:val="17"/>
              </w:rPr>
              <w:t>Strategic Definition /​ Preparation and Briefing</w:t>
            </w:r>
          </w:p>
        </w:tc>
        <w:tc>
          <w:tcPr>
            <w:tcW w:type="dxa" w:w="6419"/>
          </w:tcPr>
          <w:p>
            <w:r>
              <w:rPr>
                <w:sz w:val="17"/>
              </w:rPr>
            </w:r>
            <w:r>
              <w:rPr>
                <w:sz w:val="17"/>
              </w:rPr>
              <w:t>Requirements, existing-condition reliability, responsibilities and test scope</w:t>
            </w:r>
          </w:p>
        </w:tc>
      </w:tr>
      <w:tr>
        <w:trPr>
          <w:cantSplit/>
        </w:trPr>
        <w:tc>
          <w:tcPr>
            <w:tcW w:type="dxa" w:w="1189"/>
          </w:tcPr>
          <w:p>
            <w:r>
              <w:rPr>
                <w:sz w:val="17"/>
              </w:rPr>
            </w:r>
            <w:r>
              <w:rPr>
                <w:sz w:val="17"/>
              </w:rPr>
              <w:t>2</w:t>
            </w:r>
          </w:p>
        </w:tc>
        <w:tc>
          <w:tcPr>
            <w:tcW w:type="dxa" w:w="2858"/>
          </w:tcPr>
          <w:p>
            <w:r>
              <w:rPr>
                <w:sz w:val="17"/>
              </w:rPr>
            </w:r>
            <w:r>
              <w:rPr>
                <w:sz w:val="17"/>
              </w:rPr>
              <w:t>Concept Design</w:t>
            </w:r>
          </w:p>
        </w:tc>
        <w:tc>
          <w:tcPr>
            <w:tcW w:type="dxa" w:w="6419"/>
          </w:tcPr>
          <w:p>
            <w:r>
              <w:rPr>
                <w:sz w:val="17"/>
              </w:rPr>
            </w:r>
            <w:r>
              <w:rPr>
                <w:sz w:val="17"/>
              </w:rPr>
              <w:t>Primary routes, space reservations and provisional interface evidence</w:t>
            </w:r>
          </w:p>
        </w:tc>
      </w:tr>
      <w:tr>
        <w:trPr>
          <w:cantSplit/>
        </w:trPr>
        <w:tc>
          <w:tcPr>
            <w:tcW w:type="dxa" w:w="1189"/>
          </w:tcPr>
          <w:p>
            <w:r>
              <w:rPr>
                <w:sz w:val="17"/>
              </w:rPr>
            </w:r>
            <w:r>
              <w:rPr>
                <w:sz w:val="17"/>
              </w:rPr>
              <w:t>3</w:t>
            </w:r>
          </w:p>
        </w:tc>
        <w:tc>
          <w:tcPr>
            <w:tcW w:type="dxa" w:w="2858"/>
          </w:tcPr>
          <w:p>
            <w:r>
              <w:rPr>
                <w:sz w:val="17"/>
              </w:rPr>
            </w:r>
            <w:r>
              <w:rPr>
                <w:sz w:val="17"/>
              </w:rPr>
              <w:t>Spatial Coordination</w:t>
            </w:r>
          </w:p>
        </w:tc>
        <w:tc>
          <w:tcPr>
            <w:tcW w:type="dxa" w:w="6419"/>
          </w:tcPr>
          <w:p>
            <w:r>
              <w:rPr>
                <w:sz w:val="17"/>
              </w:rPr>
            </w:r>
            <w:r>
              <w:rPr>
                <w:sz w:val="17"/>
              </w:rPr>
              <w:t>Coordinated object locations, interfaces, clearance/​access requirements</w:t>
            </w:r>
          </w:p>
        </w:tc>
      </w:tr>
      <w:tr>
        <w:trPr>
          <w:cantSplit/>
        </w:trPr>
        <w:tc>
          <w:tcPr>
            <w:tcW w:type="dxa" w:w="1189"/>
          </w:tcPr>
          <w:p>
            <w:r>
              <w:rPr>
                <w:sz w:val="17"/>
              </w:rPr>
            </w:r>
            <w:r>
              <w:rPr>
                <w:sz w:val="17"/>
              </w:rPr>
              <w:t>4</w:t>
            </w:r>
          </w:p>
        </w:tc>
        <w:tc>
          <w:tcPr>
            <w:tcW w:type="dxa" w:w="2858"/>
          </w:tcPr>
          <w:p>
            <w:r>
              <w:rPr>
                <w:sz w:val="17"/>
              </w:rPr>
            </w:r>
            <w:r>
              <w:rPr>
                <w:sz w:val="17"/>
              </w:rPr>
              <w:t>Technical Design</w:t>
            </w:r>
          </w:p>
        </w:tc>
        <w:tc>
          <w:tcPr>
            <w:tcW w:type="dxa" w:w="6419"/>
          </w:tcPr>
          <w:p>
            <w:r>
              <w:rPr>
                <w:sz w:val="17"/>
              </w:rPr>
            </w:r>
            <w:r>
              <w:rPr>
                <w:sz w:val="17"/>
              </w:rPr>
              <w:t>Defined openings, sizes, installation/​support detail and approved design checks</w:t>
            </w:r>
          </w:p>
        </w:tc>
      </w:tr>
      <w:tr>
        <w:trPr>
          <w:cantSplit/>
        </w:trPr>
        <w:tc>
          <w:tcPr>
            <w:tcW w:type="dxa" w:w="1189"/>
          </w:tcPr>
          <w:p>
            <w:r>
              <w:rPr>
                <w:sz w:val="17"/>
              </w:rPr>
            </w:r>
            <w:r>
              <w:rPr>
                <w:sz w:val="17"/>
              </w:rPr>
              <w:t>5</w:t>
            </w:r>
          </w:p>
        </w:tc>
        <w:tc>
          <w:tcPr>
            <w:tcW w:type="dxa" w:w="2858"/>
          </w:tcPr>
          <w:p>
            <w:r>
              <w:rPr>
                <w:sz w:val="17"/>
              </w:rPr>
            </w:r>
            <w:r>
              <w:rPr>
                <w:sz w:val="17"/>
              </w:rPr>
              <w:t>Manufacturing and Construction</w:t>
            </w:r>
          </w:p>
        </w:tc>
        <w:tc>
          <w:tcPr>
            <w:tcW w:type="dxa" w:w="6419"/>
          </w:tcPr>
          <w:p>
            <w:r>
              <w:rPr>
                <w:sz w:val="17"/>
              </w:rPr>
            </w:r>
            <w:r>
              <w:rPr>
                <w:sz w:val="17"/>
              </w:rPr>
              <w:t>Fabrication/​install interfaces, temporary works and sequence information where appointed</w:t>
            </w:r>
          </w:p>
        </w:tc>
      </w:tr>
      <w:tr>
        <w:trPr>
          <w:cantSplit/>
        </w:trPr>
        <w:tc>
          <w:tcPr>
            <w:tcW w:type="dxa" w:w="1189"/>
          </w:tcPr>
          <w:p>
            <w:r>
              <w:rPr>
                <w:sz w:val="17"/>
              </w:rPr>
            </w:r>
            <w:r>
              <w:rPr>
                <w:sz w:val="17"/>
              </w:rPr>
              <w:t>6 /​ 7</w:t>
            </w:r>
          </w:p>
        </w:tc>
        <w:tc>
          <w:tcPr>
            <w:tcW w:type="dxa" w:w="2858"/>
          </w:tcPr>
          <w:p>
            <w:r>
              <w:rPr>
                <w:sz w:val="17"/>
              </w:rPr>
            </w:r>
            <w:r>
              <w:rPr>
                <w:sz w:val="17"/>
              </w:rPr>
              <w:t>Handover /​ Use</w:t>
            </w:r>
          </w:p>
        </w:tc>
        <w:tc>
          <w:tcPr>
            <w:tcW w:type="dxa" w:w="6419"/>
          </w:tcPr>
          <w:p>
            <w:r>
              <w:rPr>
                <w:sz w:val="17"/>
              </w:rPr>
            </w:r>
            <w:r>
              <w:rPr>
                <w:sz w:val="17"/>
              </w:rPr>
              <w:t>Verified delivered condition, service access, residual risks and operational triggers</w:t>
            </w:r>
          </w:p>
        </w:tc>
      </w:tr>
    </w:tbl>
    <w:p/>
    <w:p>
      <w:pPr/>
      <w:r>
        <w:t>Stage 4/5 overlap can be planned by procurement package. LOD labels may be retained as descriptive legacy aliases only alongside explicit geometry, data and documentation requirements. No automatic Stage→LOD→tolerance rule remains.</w:t>
      </w:r>
    </w:p>
    <w:p>
      <w:pPr>
        <w:pStyle w:val="Heading1"/>
      </w:pPr>
      <w:r>
        <w:t>4. Trades, selections and generated pair matrix</w:t>
      </w:r>
    </w:p>
    <w:p>
      <w:pPr/>
      <w:r>
        <w:t>Retain the office trade codes as stable selection aliases; the project annex records actual native categories, IFC classes and property filters. Every selection set includes a count, model/zone coverage, exclusions and checker evidence. A zero-element set requires an explained scope decision; it must not silently produce a passing test.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651"/>
        <w:gridCol w:w="7333"/>
        <w:gridCol w:w="1493"/>
        <w:gridCol w:w="989"/>
      </w:tblGrid>
      <w:tr>
        <w:trPr>
          <w:cantSplit/>
          <w:tblHeader/>
        </w:trPr>
        <w:tc>
          <w:tcPr>
            <w:tcW w:type="dxa" w:w="651"/>
            <w:shd w:val="clear" w:color="auto" w:fill="111113"/>
          </w:tcPr>
          <w:p>
            <w:r>
              <w:rPr>
                <w:b/>
                <w:color w:val="FFFFFF"/>
                <w:sz w:val="17"/>
              </w:rPr>
            </w:r>
            <w:r>
              <w:rPr>
                <w:b/>
                <w:color w:val="FFFFFF"/>
                <w:sz w:val="17"/>
              </w:rPr>
              <w:t>Office trade</w:t>
            </w:r>
          </w:p>
        </w:tc>
        <w:tc>
          <w:tcPr>
            <w:tcW w:type="dxa" w:w="7333"/>
            <w:shd w:val="clear" w:color="auto" w:fill="111113"/>
          </w:tcPr>
          <w:p>
            <w:r>
              <w:rPr>
                <w:b/>
                <w:color w:val="FFFFFF"/>
                <w:sz w:val="17"/>
              </w:rPr>
            </w:r>
            <w:r>
              <w:rPr>
                <w:b/>
                <w:color w:val="FFFFFF"/>
                <w:sz w:val="17"/>
              </w:rPr>
              <w:t>Selection scope to define in the project copy</w:t>
            </w:r>
          </w:p>
        </w:tc>
        <w:tc>
          <w:tcPr>
            <w:tcW w:type="dxa" w:w="1493"/>
            <w:shd w:val="clear" w:color="auto" w:fill="111113"/>
          </w:tcPr>
          <w:p>
            <w:r>
              <w:rPr>
                <w:b/>
                <w:color w:val="FFFFFF"/>
                <w:sz w:val="17"/>
              </w:rPr>
            </w:r>
            <w:r>
              <w:rPr>
                <w:b/>
                <w:color w:val="FFFFFF"/>
                <w:sz w:val="17"/>
              </w:rPr>
              <w:t>ROLE (BBM-STD-93, O-DEC-103)</w:t>
            </w:r>
          </w:p>
        </w:tc>
        <w:tc>
          <w:tcPr>
            <w:tcW w:type="dxa" w:w="989"/>
            <w:shd w:val="clear" w:color="auto" w:fill="111113"/>
          </w:tcPr>
          <w:p>
            <w:r>
              <w:rPr>
                <w:b/>
                <w:color w:val="FFFFFF"/>
                <w:sz w:val="17"/>
              </w:rPr>
            </w:r>
            <w:r>
              <w:rPr>
                <w:b/>
                <w:color w:val="FFFFFF"/>
                <w:sz w:val="17"/>
              </w:rPr>
              <w:t>Discipline code</w:t>
            </w:r>
          </w:p>
        </w:tc>
      </w:tr>
      <w:tr>
        <w:trPr>
          <w:cantSplit/>
        </w:trPr>
        <w:tc>
          <w:tcPr>
            <w:tcW w:type="dxa" w:w="651"/>
          </w:tcPr>
          <w:p>
            <w:r>
              <w:rPr>
                <w:sz w:val="17"/>
              </w:rPr>
            </w:r>
            <w:r>
              <w:rPr>
                <w:sz w:val="17"/>
              </w:rPr>
              <w:t>AR</w:t>
            </w:r>
          </w:p>
        </w:tc>
        <w:tc>
          <w:tcPr>
            <w:tcW w:type="dxa" w:w="7333"/>
          </w:tcPr>
          <w:p>
            <w:r>
              <w:rPr>
                <w:sz w:val="17"/>
              </w:rPr>
            </w:r>
            <w:r>
              <w:rPr>
                <w:sz w:val="17"/>
              </w:rPr>
              <w:t>Envelope, walls, doors/​windows, floors/​roofs, vertical circulation and architectural equipment</w:t>
            </w:r>
          </w:p>
        </w:tc>
        <w:tc>
          <w:tcPr>
            <w:tcW w:type="dxa" w:w="1493"/>
          </w:tcPr>
          <w:p>
            <w:r>
              <w:rPr>
                <w:sz w:val="17"/>
              </w:rPr>
            </w:r>
            <w:r>
              <w:rPr>
                <w:sz w:val="17"/>
              </w:rPr>
              <w:t>A</w:t>
            </w:r>
          </w:p>
        </w:tc>
        <w:tc>
          <w:tcPr>
            <w:tcW w:type="dxa" w:w="989"/>
          </w:tcPr>
          <w:p>
            <w:r>
              <w:rPr>
                <w:sz w:val="17"/>
              </w:rPr>
            </w:r>
            <w:r>
              <w:rPr>
                <w:sz w:val="17"/>
              </w:rPr>
              <w:t>ARC</w:t>
            </w:r>
          </w:p>
        </w:tc>
      </w:tr>
      <w:tr>
        <w:trPr>
          <w:cantSplit/>
        </w:trPr>
        <w:tc>
          <w:tcPr>
            <w:tcW w:type="dxa" w:w="651"/>
          </w:tcPr>
          <w:p>
            <w:r>
              <w:rPr>
                <w:sz w:val="17"/>
              </w:rPr>
            </w:r>
            <w:r>
              <w:rPr>
                <w:sz w:val="17"/>
              </w:rPr>
              <w:t>ID</w:t>
            </w:r>
          </w:p>
        </w:tc>
        <w:tc>
          <w:tcPr>
            <w:tcW w:type="dxa" w:w="7333"/>
          </w:tcPr>
          <w:p>
            <w:r>
              <w:rPr>
                <w:sz w:val="17"/>
              </w:rPr>
            </w:r>
            <w:r>
              <w:rPr>
                <w:sz w:val="17"/>
              </w:rPr>
              <w:t>Interior partitions, ceilings, finishes, interior doors and furniture</w:t>
            </w:r>
          </w:p>
        </w:tc>
        <w:tc>
          <w:tcPr>
            <w:tcW w:type="dxa" w:w="1493"/>
          </w:tcPr>
          <w:p>
            <w:r>
              <w:rPr>
                <w:sz w:val="17"/>
              </w:rPr>
            </w:r>
            <w:r>
              <w:rPr>
                <w:sz w:val="17"/>
              </w:rPr>
              <w:t>I</w:t>
            </w:r>
          </w:p>
        </w:tc>
        <w:tc>
          <w:tcPr>
            <w:tcW w:type="dxa" w:w="989"/>
          </w:tcPr>
          <w:p>
            <w:r>
              <w:rPr>
                <w:sz w:val="17"/>
              </w:rPr>
            </w:r>
            <w:r>
              <w:rPr>
                <w:sz w:val="17"/>
              </w:rPr>
              <w:t>INT</w:t>
            </w:r>
          </w:p>
        </w:tc>
      </w:tr>
      <w:tr>
        <w:trPr>
          <w:cantSplit/>
        </w:trPr>
        <w:tc>
          <w:tcPr>
            <w:tcW w:type="dxa" w:w="651"/>
          </w:tcPr>
          <w:p>
            <w:r>
              <w:rPr>
                <w:sz w:val="17"/>
              </w:rPr>
            </w:r>
            <w:r>
              <w:rPr>
                <w:sz w:val="17"/>
              </w:rPr>
              <w:t>ST</w:t>
            </w:r>
          </w:p>
        </w:tc>
        <w:tc>
          <w:tcPr>
            <w:tcW w:type="dxa" w:w="7333"/>
          </w:tcPr>
          <w:p>
            <w:r>
              <w:rPr>
                <w:sz w:val="17"/>
              </w:rPr>
            </w:r>
            <w:r>
              <w:rPr>
                <w:sz w:val="17"/>
              </w:rPr>
              <w:t>Primary structure, foundations, slabs, framing and structural circulation</w:t>
            </w:r>
          </w:p>
        </w:tc>
        <w:tc>
          <w:tcPr>
            <w:tcW w:type="dxa" w:w="1493"/>
          </w:tcPr>
          <w:p>
            <w:r>
              <w:rPr>
                <w:sz w:val="17"/>
              </w:rPr>
            </w:r>
            <w:r>
              <w:rPr>
                <w:sz w:val="17"/>
              </w:rPr>
              <w:t>S</w:t>
            </w:r>
          </w:p>
        </w:tc>
        <w:tc>
          <w:tcPr>
            <w:tcW w:type="dxa" w:w="989"/>
          </w:tcPr>
          <w:p>
            <w:r>
              <w:rPr>
                <w:sz w:val="17"/>
              </w:rPr>
            </w:r>
            <w:r>
              <w:rPr>
                <w:sz w:val="17"/>
              </w:rPr>
              <w:t>STR</w:t>
            </w:r>
          </w:p>
        </w:tc>
      </w:tr>
      <w:tr>
        <w:trPr>
          <w:cantSplit/>
        </w:trPr>
        <w:tc>
          <w:tcPr>
            <w:tcW w:type="dxa" w:w="651"/>
          </w:tcPr>
          <w:p>
            <w:r>
              <w:rPr>
                <w:sz w:val="17"/>
              </w:rPr>
            </w:r>
            <w:r>
              <w:rPr>
                <w:sz w:val="17"/>
              </w:rPr>
              <w:t>ME</w:t>
            </w:r>
          </w:p>
        </w:tc>
        <w:tc>
          <w:tcPr>
            <w:tcW w:type="dxa" w:w="7333"/>
          </w:tcPr>
          <w:p>
            <w:r>
              <w:rPr>
                <w:sz w:val="17"/>
              </w:rPr>
            </w:r>
            <w:r>
              <w:rPr>
                <w:sz w:val="17"/>
              </w:rPr>
              <w:t>Air systems, mechanical equipment, pipework, insulation, valves and supports</w:t>
            </w:r>
          </w:p>
        </w:tc>
        <w:tc>
          <w:tcPr>
            <w:tcW w:type="dxa" w:w="1493"/>
          </w:tcPr>
          <w:p>
            <w:r>
              <w:rPr>
                <w:sz w:val="17"/>
              </w:rPr>
            </w:r>
            <w:r>
              <w:rPr>
                <w:sz w:val="17"/>
              </w:rPr>
              <w:t>M</w:t>
            </w:r>
          </w:p>
        </w:tc>
        <w:tc>
          <w:tcPr>
            <w:tcW w:type="dxa" w:w="989"/>
          </w:tcPr>
          <w:p>
            <w:r>
              <w:rPr>
                <w:sz w:val="17"/>
              </w:rPr>
            </w:r>
            <w:r>
              <w:rPr>
                <w:sz w:val="17"/>
              </w:rPr>
              <w:t>MEC</w:t>
            </w:r>
          </w:p>
        </w:tc>
      </w:tr>
      <w:tr>
        <w:trPr>
          <w:cantSplit/>
        </w:trPr>
        <w:tc>
          <w:tcPr>
            <w:tcW w:type="dxa" w:w="651"/>
          </w:tcPr>
          <w:p>
            <w:r>
              <w:rPr>
                <w:sz w:val="17"/>
              </w:rPr>
            </w:r>
            <w:r>
              <w:rPr>
                <w:sz w:val="17"/>
              </w:rPr>
              <w:t>EL</w:t>
            </w:r>
          </w:p>
        </w:tc>
        <w:tc>
          <w:tcPr>
            <w:tcW w:type="dxa" w:w="7333"/>
          </w:tcPr>
          <w:p>
            <w:r>
              <w:rPr>
                <w:sz w:val="17"/>
              </w:rPr>
            </w:r>
            <w:r>
              <w:rPr>
                <w:sz w:val="17"/>
              </w:rPr>
              <w:t>Electrical containment, equipment, communications, security and alarm components</w:t>
            </w:r>
          </w:p>
        </w:tc>
        <w:tc>
          <w:tcPr>
            <w:tcW w:type="dxa" w:w="1493"/>
          </w:tcPr>
          <w:p>
            <w:r>
              <w:rPr>
                <w:sz w:val="17"/>
              </w:rPr>
            </w:r>
            <w:r>
              <w:rPr>
                <w:sz w:val="17"/>
              </w:rPr>
              <w:t>E</w:t>
            </w:r>
          </w:p>
        </w:tc>
        <w:tc>
          <w:tcPr>
            <w:tcW w:type="dxa" w:w="989"/>
          </w:tcPr>
          <w:p>
            <w:r>
              <w:rPr>
                <w:sz w:val="17"/>
              </w:rPr>
            </w:r>
            <w:r>
              <w:rPr>
                <w:sz w:val="17"/>
              </w:rPr>
              <w:t>ELE</w:t>
            </w:r>
          </w:p>
        </w:tc>
      </w:tr>
      <w:tr>
        <w:trPr>
          <w:cantSplit/>
        </w:trPr>
        <w:tc>
          <w:tcPr>
            <w:tcW w:type="dxa" w:w="651"/>
          </w:tcPr>
          <w:p>
            <w:r>
              <w:rPr>
                <w:sz w:val="17"/>
              </w:rPr>
            </w:r>
            <w:r>
              <w:rPr>
                <w:sz w:val="17"/>
              </w:rPr>
              <w:t>LI</w:t>
            </w:r>
          </w:p>
        </w:tc>
        <w:tc>
          <w:tcPr>
            <w:tcW w:type="dxa" w:w="7333"/>
          </w:tcPr>
          <w:p>
            <w:r>
              <w:rPr>
                <w:sz w:val="17"/>
              </w:rPr>
            </w:r>
            <w:r>
              <w:rPr>
                <w:sz w:val="17"/>
              </w:rPr>
              <w:t>Lighting devices and equipment; coordinate the EL/​LI boundary to avoid double ownership</w:t>
            </w:r>
          </w:p>
        </w:tc>
        <w:tc>
          <w:tcPr>
            <w:tcW w:type="dxa" w:w="1493"/>
          </w:tcPr>
          <w:p>
            <w:r>
              <w:rPr>
                <w:sz w:val="17"/>
              </w:rPr>
            </w:r>
            <w:r>
              <w:rPr>
                <w:sz w:val="17"/>
              </w:rPr>
              <w:t>E</w:t>
            </w:r>
          </w:p>
        </w:tc>
        <w:tc>
          <w:tcPr>
            <w:tcW w:type="dxa" w:w="989"/>
          </w:tcPr>
          <w:p>
            <w:r>
              <w:rPr>
                <w:sz w:val="17"/>
              </w:rPr>
            </w:r>
            <w:r>
              <w:rPr>
                <w:sz w:val="17"/>
              </w:rPr>
              <w:t>ELE</w:t>
            </w:r>
          </w:p>
        </w:tc>
      </w:tr>
      <w:tr>
        <w:trPr>
          <w:cantSplit/>
        </w:trPr>
        <w:tc>
          <w:tcPr>
            <w:tcW w:type="dxa" w:w="651"/>
          </w:tcPr>
          <w:p>
            <w:r>
              <w:rPr>
                <w:sz w:val="17"/>
              </w:rPr>
            </w:r>
            <w:r>
              <w:rPr>
                <w:sz w:val="17"/>
              </w:rPr>
              <w:t>WS</w:t>
            </w:r>
          </w:p>
        </w:tc>
        <w:tc>
          <w:tcPr>
            <w:tcW w:type="dxa" w:w="7333"/>
          </w:tcPr>
          <w:p>
            <w:r>
              <w:rPr>
                <w:sz w:val="17"/>
              </w:rPr>
            </w:r>
            <w:r>
              <w:rPr>
                <w:sz w:val="17"/>
              </w:rPr>
              <w:t>Water services, fittings, equipment and insulation</w:t>
            </w:r>
          </w:p>
        </w:tc>
        <w:tc>
          <w:tcPr>
            <w:tcW w:type="dxa" w:w="1493"/>
          </w:tcPr>
          <w:p>
            <w:r>
              <w:rPr>
                <w:sz w:val="17"/>
              </w:rPr>
            </w:r>
            <w:r>
              <w:rPr>
                <w:sz w:val="17"/>
              </w:rPr>
              <w:t>P</w:t>
            </w:r>
          </w:p>
        </w:tc>
        <w:tc>
          <w:tcPr>
            <w:tcW w:type="dxa" w:w="989"/>
          </w:tcPr>
          <w:p>
            <w:r>
              <w:rPr>
                <w:sz w:val="17"/>
              </w:rPr>
            </w:r>
            <w:r>
              <w:rPr>
                <w:sz w:val="17"/>
              </w:rPr>
              <w:t>PLU</w:t>
            </w:r>
          </w:p>
        </w:tc>
      </w:tr>
      <w:tr>
        <w:trPr>
          <w:cantSplit/>
        </w:trPr>
        <w:tc>
          <w:tcPr>
            <w:tcW w:type="dxa" w:w="651"/>
          </w:tcPr>
          <w:p>
            <w:r>
              <w:rPr>
                <w:sz w:val="17"/>
              </w:rPr>
            </w:r>
            <w:r>
              <w:rPr>
                <w:sz w:val="17"/>
              </w:rPr>
              <w:t>DR</w:t>
            </w:r>
          </w:p>
        </w:tc>
        <w:tc>
          <w:tcPr>
            <w:tcW w:type="dxa" w:w="7333"/>
          </w:tcPr>
          <w:p>
            <w:r>
              <w:rPr>
                <w:sz w:val="17"/>
              </w:rPr>
            </w:r>
            <w:r>
              <w:rPr>
                <w:sz w:val="17"/>
              </w:rPr>
              <w:t>Drainage, fixtures, fittings, falls and inspection requirements</w:t>
            </w:r>
          </w:p>
        </w:tc>
        <w:tc>
          <w:tcPr>
            <w:tcW w:type="dxa" w:w="1493"/>
          </w:tcPr>
          <w:p>
            <w:r>
              <w:rPr>
                <w:sz w:val="17"/>
              </w:rPr>
            </w:r>
            <w:r>
              <w:rPr>
                <w:sz w:val="17"/>
              </w:rPr>
              <w:t>P</w:t>
            </w:r>
          </w:p>
        </w:tc>
        <w:tc>
          <w:tcPr>
            <w:tcW w:type="dxa" w:w="989"/>
          </w:tcPr>
          <w:p>
            <w:r>
              <w:rPr>
                <w:sz w:val="17"/>
              </w:rPr>
            </w:r>
            <w:r>
              <w:rPr>
                <w:sz w:val="17"/>
              </w:rPr>
              <w:t>PLU</w:t>
            </w:r>
          </w:p>
        </w:tc>
      </w:tr>
      <w:tr>
        <w:trPr>
          <w:cantSplit/>
        </w:trPr>
        <w:tc>
          <w:tcPr>
            <w:tcW w:type="dxa" w:w="651"/>
          </w:tcPr>
          <w:p>
            <w:r>
              <w:rPr>
                <w:sz w:val="17"/>
              </w:rPr>
            </w:r>
            <w:r>
              <w:rPr>
                <w:sz w:val="17"/>
              </w:rPr>
              <w:t>FF</w:t>
            </w:r>
          </w:p>
        </w:tc>
        <w:tc>
          <w:tcPr>
            <w:tcW w:type="dxa" w:w="7333"/>
          </w:tcPr>
          <w:p>
            <w:r>
              <w:rPr>
                <w:sz w:val="17"/>
              </w:rPr>
            </w:r>
            <w:r>
              <w:rPr>
                <w:sz w:val="17"/>
              </w:rPr>
              <w:t>Fire protection pipework, equipment, controls and heads</w:t>
            </w:r>
          </w:p>
        </w:tc>
        <w:tc>
          <w:tcPr>
            <w:tcW w:type="dxa" w:w="1493"/>
          </w:tcPr>
          <w:p>
            <w:r>
              <w:rPr>
                <w:sz w:val="17"/>
              </w:rPr>
            </w:r>
            <w:r>
              <w:rPr>
                <w:sz w:val="17"/>
              </w:rPr>
              <w:t>F</w:t>
            </w:r>
          </w:p>
        </w:tc>
        <w:tc>
          <w:tcPr>
            <w:tcW w:type="dxa" w:w="989"/>
          </w:tcPr>
          <w:p>
            <w:r>
              <w:rPr>
                <w:sz w:val="17"/>
              </w:rPr>
            </w:r>
            <w:r>
              <w:rPr>
                <w:sz w:val="17"/>
              </w:rPr>
              <w:t>FLS</w:t>
            </w:r>
          </w:p>
        </w:tc>
      </w:tr>
      <w:tr>
        <w:trPr>
          <w:cantSplit/>
        </w:trPr>
        <w:tc>
          <w:tcPr>
            <w:tcW w:type="dxa" w:w="651"/>
          </w:tcPr>
          <w:p>
            <w:r>
              <w:rPr>
                <w:sz w:val="17"/>
              </w:rPr>
            </w:r>
            <w:r>
              <w:rPr>
                <w:sz w:val="17"/>
              </w:rPr>
              <w:t>LS</w:t>
            </w:r>
          </w:p>
        </w:tc>
        <w:tc>
          <w:tcPr>
            <w:tcW w:type="dxa" w:w="7333"/>
          </w:tcPr>
          <w:p>
            <w:r>
              <w:rPr>
                <w:sz w:val="17"/>
              </w:rPr>
            </w:r>
            <w:r>
              <w:rPr>
                <w:sz w:val="17"/>
              </w:rPr>
              <w:t>Landscape, soil zones, planting, irrigation interfaces and hard surfaces</w:t>
            </w:r>
          </w:p>
        </w:tc>
        <w:tc>
          <w:tcPr>
            <w:tcW w:type="dxa" w:w="1493"/>
          </w:tcPr>
          <w:p>
            <w:r>
              <w:rPr>
                <w:sz w:val="17"/>
              </w:rPr>
            </w:r>
            <w:r>
              <w:rPr>
                <w:sz w:val="17"/>
              </w:rPr>
              <w:t>L</w:t>
            </w:r>
          </w:p>
        </w:tc>
        <w:tc>
          <w:tcPr>
            <w:tcW w:type="dxa" w:w="989"/>
          </w:tcPr>
          <w:p>
            <w:r>
              <w:rPr>
                <w:sz w:val="17"/>
              </w:rPr>
            </w:r>
            <w:r>
              <w:rPr>
                <w:sz w:val="17"/>
              </w:rPr>
              <w:t>LSC</w:t>
            </w:r>
          </w:p>
        </w:tc>
      </w:tr>
      <w:tr>
        <w:trPr>
          <w:cantSplit/>
        </w:trPr>
        <w:tc>
          <w:tcPr>
            <w:tcW w:type="dxa" w:w="651"/>
          </w:tcPr>
          <w:p>
            <w:r>
              <w:rPr>
                <w:sz w:val="17"/>
              </w:rPr>
            </w:r>
            <w:r>
              <w:rPr>
                <w:sz w:val="17"/>
              </w:rPr>
              <w:t>CI</w:t>
            </w:r>
          </w:p>
        </w:tc>
        <w:tc>
          <w:tcPr>
            <w:tcW w:type="dxa" w:w="7333"/>
          </w:tcPr>
          <w:p>
            <w:r>
              <w:rPr>
                <w:sz w:val="17"/>
              </w:rPr>
            </w:r>
            <w:r>
              <w:rPr>
                <w:sz w:val="17"/>
              </w:rPr>
              <w:t>Civil routes, surfaces, drainage structures and external constructed interfaces</w:t>
            </w:r>
          </w:p>
        </w:tc>
        <w:tc>
          <w:tcPr>
            <w:tcW w:type="dxa" w:w="1493"/>
          </w:tcPr>
          <w:p>
            <w:r>
              <w:rPr>
                <w:sz w:val="17"/>
              </w:rPr>
            </w:r>
            <w:r>
              <w:rPr>
                <w:sz w:val="17"/>
              </w:rPr>
              <w:t>C</w:t>
            </w:r>
          </w:p>
        </w:tc>
        <w:tc>
          <w:tcPr>
            <w:tcW w:type="dxa" w:w="989"/>
          </w:tcPr>
          <w:p>
            <w:r>
              <w:rPr>
                <w:sz w:val="17"/>
              </w:rPr>
            </w:r>
            <w:r>
              <w:rPr>
                <w:sz w:val="17"/>
              </w:rPr>
              <w:t>CIV</w:t>
            </w:r>
          </w:p>
        </w:tc>
      </w:tr>
      <w:tr>
        <w:trPr>
          <w:cantSplit/>
        </w:trPr>
        <w:tc>
          <w:tcPr>
            <w:tcW w:type="dxa" w:w="651"/>
          </w:tcPr>
          <w:p>
            <w:r>
              <w:rPr>
                <w:sz w:val="17"/>
              </w:rPr>
            </w:r>
            <w:r>
              <w:rPr>
                <w:sz w:val="17"/>
              </w:rPr>
              <w:t>DU</w:t>
            </w:r>
          </w:p>
        </w:tc>
        <w:tc>
          <w:tcPr>
            <w:tcW w:type="dxa" w:w="7333"/>
          </w:tcPr>
          <w:p>
            <w:r>
              <w:rPr>
                <w:sz w:val="17"/>
              </w:rPr>
            </w:r>
            <w:r>
              <w:rPr>
                <w:sz w:val="17"/>
              </w:rPr>
              <w:t>Dry utilities, cabinets, ducts, containment and network interfaces</w:t>
            </w:r>
          </w:p>
        </w:tc>
        <w:tc>
          <w:tcPr>
            <w:tcW w:type="dxa" w:w="1493"/>
          </w:tcPr>
          <w:p>
            <w:r>
              <w:rPr>
                <w:sz w:val="17"/>
              </w:rPr>
            </w:r>
            <w:r>
              <w:rPr>
                <w:sz w:val="17"/>
              </w:rPr>
              <w:t>C</w:t>
            </w:r>
          </w:p>
        </w:tc>
        <w:tc>
          <w:tcPr>
            <w:tcW w:type="dxa" w:w="989"/>
          </w:tcPr>
          <w:p>
            <w:r>
              <w:rPr>
                <w:sz w:val="17"/>
              </w:rPr>
            </w:r>
            <w:r>
              <w:rPr>
                <w:sz w:val="17"/>
              </w:rPr>
              <w:t>CIV</w:t>
            </w:r>
          </w:p>
        </w:tc>
      </w:tr>
      <w:tr>
        <w:trPr>
          <w:cantSplit/>
        </w:trPr>
        <w:tc>
          <w:tcPr>
            <w:tcW w:type="dxa" w:w="651"/>
          </w:tcPr>
          <w:p>
            <w:r>
              <w:rPr>
                <w:sz w:val="17"/>
              </w:rPr>
            </w:r>
            <w:r>
              <w:rPr>
                <w:sz w:val="17"/>
              </w:rPr>
              <w:t>WU</w:t>
            </w:r>
          </w:p>
        </w:tc>
        <w:tc>
          <w:tcPr>
            <w:tcW w:type="dxa" w:w="7333"/>
          </w:tcPr>
          <w:p>
            <w:r>
              <w:rPr>
                <w:sz w:val="17"/>
              </w:rPr>
            </w:r>
            <w:r>
              <w:rPr>
                <w:sz w:val="17"/>
              </w:rPr>
              <w:t>Wet utilities, chambers, pipework and network interfaces</w:t>
            </w:r>
          </w:p>
        </w:tc>
        <w:tc>
          <w:tcPr>
            <w:tcW w:type="dxa" w:w="1493"/>
          </w:tcPr>
          <w:p>
            <w:r>
              <w:rPr>
                <w:sz w:val="17"/>
              </w:rPr>
            </w:r>
            <w:r>
              <w:rPr>
                <w:sz w:val="17"/>
              </w:rPr>
              <w:t>C</w:t>
            </w:r>
          </w:p>
        </w:tc>
        <w:tc>
          <w:tcPr>
            <w:tcW w:type="dxa" w:w="989"/>
          </w:tcPr>
          <w:p>
            <w:r>
              <w:rPr>
                <w:sz w:val="17"/>
              </w:rPr>
            </w:r>
            <w:r>
              <w:rPr>
                <w:sz w:val="17"/>
              </w:rPr>
              <w:t>CIV</w:t>
            </w:r>
          </w:p>
        </w:tc>
      </w:tr>
    </w:tbl>
    <w:p/>
    <w:p>
      <w:pPr/>
      <w:r>
        <w:t>DU and WU are external utility networks and take the civil role C (</w:t>
      </w:r>
      <w:r>
        <w:rPr>
          <w:color w:val="9A7B45"/>
          <w:u w:val="single"/>
        </w:rPr>
        <w:t>O-DEC-128</w:t>
      </w:r>
      <w:r>
        <w:t>). Where a building-services team produces a utility network, the project annex records the override against BBM-STD-93. A discipline not listed is added per project at the next free code in BBM-STD-93.</w:t>
      </w:r>
    </w:p>
    <w:p>
      <w:pPr/>
      <w:r>
        <w:t>The compact matrix below is a coverage index, generated from active register rows; it does not independently define an approved test. H indicates physical tests; CA indicates applicable clearance/access tests; D indicates in-team duplicate checks. U means applicability not yet determined and blocks baseline sign-off. NA requires a reason/approver; blank and “x” have no permitted meaning. One canonical unordered pair avoids A↔B double counting; directional access/sequence rules remain separate.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535"/>
        <w:gridCol w:w="895"/>
        <w:gridCol w:w="1024"/>
        <w:gridCol w:w="1202"/>
        <w:gridCol w:w="1202"/>
        <w:gridCol w:w="1202"/>
        <w:gridCol w:w="1202"/>
        <w:gridCol w:w="1202"/>
      </w:tblGrid>
      <w:tr>
        <w:trPr>
          <w:cantSplit/>
          <w:tblHeader/>
        </w:trPr>
        <w:tc>
          <w:tcPr>
            <w:tcW w:type="dxa" w:w="2535"/>
            <w:shd w:val="clear" w:color="auto" w:fill="111113"/>
          </w:tcPr>
          <w:p>
            <w:r>
              <w:rPr>
                <w:b/>
                <w:color w:val="FFFFFF"/>
                <w:sz w:val="17"/>
              </w:rPr>
            </w:r>
            <w:r>
              <w:rPr>
                <w:b/>
                <w:color w:val="FFFFFF"/>
                <w:sz w:val="17"/>
              </w:rPr>
              <w:t>Pair index (illustrative)</w:t>
            </w:r>
          </w:p>
        </w:tc>
        <w:tc>
          <w:tcPr>
            <w:tcW w:type="dxa" w:w="895"/>
            <w:shd w:val="clear" w:color="auto" w:fill="111113"/>
          </w:tcPr>
          <w:p>
            <w:r>
              <w:rPr>
                <w:b/>
                <w:color w:val="FFFFFF"/>
                <w:sz w:val="17"/>
              </w:rPr>
            </w:r>
            <w:r>
              <w:rPr>
                <w:b/>
                <w:color w:val="FFFFFF"/>
                <w:sz w:val="17"/>
              </w:rPr>
              <w:t>ST</w:t>
            </w:r>
          </w:p>
        </w:tc>
        <w:tc>
          <w:tcPr>
            <w:tcW w:type="dxa" w:w="1024"/>
            <w:shd w:val="clear" w:color="auto" w:fill="111113"/>
          </w:tcPr>
          <w:p>
            <w:r>
              <w:rPr>
                <w:b/>
                <w:color w:val="FFFFFF"/>
                <w:sz w:val="17"/>
              </w:rPr>
            </w:r>
            <w:r>
              <w:rPr>
                <w:b/>
                <w:color w:val="FFFFFF"/>
                <w:sz w:val="17"/>
              </w:rPr>
              <w:t>AR</w:t>
            </w:r>
          </w:p>
        </w:tc>
        <w:tc>
          <w:tcPr>
            <w:tcW w:type="dxa" w:w="1202"/>
            <w:shd w:val="clear" w:color="auto" w:fill="111113"/>
          </w:tcPr>
          <w:p>
            <w:r>
              <w:rPr>
                <w:b/>
                <w:color w:val="FFFFFF"/>
                <w:sz w:val="17"/>
              </w:rPr>
            </w:r>
            <w:r>
              <w:rPr>
                <w:b/>
                <w:color w:val="FFFFFF"/>
                <w:sz w:val="17"/>
              </w:rPr>
              <w:t>ME</w:t>
            </w:r>
          </w:p>
        </w:tc>
        <w:tc>
          <w:tcPr>
            <w:tcW w:type="dxa" w:w="1202"/>
            <w:shd w:val="clear" w:color="auto" w:fill="111113"/>
          </w:tcPr>
          <w:p>
            <w:r>
              <w:rPr>
                <w:b/>
                <w:color w:val="FFFFFF"/>
                <w:sz w:val="17"/>
              </w:rPr>
            </w:r>
            <w:r>
              <w:rPr>
                <w:b/>
                <w:color w:val="FFFFFF"/>
                <w:sz w:val="17"/>
              </w:rPr>
              <w:t>EL</w:t>
            </w:r>
          </w:p>
        </w:tc>
        <w:tc>
          <w:tcPr>
            <w:tcW w:type="dxa" w:w="1202"/>
            <w:shd w:val="clear" w:color="auto" w:fill="111113"/>
          </w:tcPr>
          <w:p>
            <w:r>
              <w:rPr>
                <w:b/>
                <w:color w:val="FFFFFF"/>
                <w:sz w:val="17"/>
              </w:rPr>
            </w:r>
            <w:r>
              <w:rPr>
                <w:b/>
                <w:color w:val="FFFFFF"/>
                <w:sz w:val="17"/>
              </w:rPr>
              <w:t>WS</w:t>
            </w:r>
          </w:p>
        </w:tc>
        <w:tc>
          <w:tcPr>
            <w:tcW w:type="dxa" w:w="1202"/>
            <w:shd w:val="clear" w:color="auto" w:fill="111113"/>
          </w:tcPr>
          <w:p>
            <w:r>
              <w:rPr>
                <w:b/>
                <w:color w:val="FFFFFF"/>
                <w:sz w:val="17"/>
              </w:rPr>
            </w:r>
            <w:r>
              <w:rPr>
                <w:b/>
                <w:color w:val="FFFFFF"/>
                <w:sz w:val="17"/>
              </w:rPr>
              <w:t>DR</w:t>
            </w:r>
          </w:p>
        </w:tc>
        <w:tc>
          <w:tcPr>
            <w:tcW w:type="dxa" w:w="1202"/>
            <w:shd w:val="clear" w:color="auto" w:fill="111113"/>
          </w:tcPr>
          <w:p>
            <w:r>
              <w:rPr>
                <w:b/>
                <w:color w:val="FFFFFF"/>
                <w:sz w:val="17"/>
              </w:rPr>
            </w:r>
            <w:r>
              <w:rPr>
                <w:b/>
                <w:color w:val="FFFFFF"/>
                <w:sz w:val="17"/>
              </w:rPr>
              <w:t>FF</w:t>
            </w:r>
          </w:p>
        </w:tc>
      </w:tr>
      <w:tr>
        <w:trPr>
          <w:cantSplit/>
        </w:trPr>
        <w:tc>
          <w:tcPr>
            <w:tcW w:type="dxa" w:w="2535"/>
          </w:tcPr>
          <w:p>
            <w:r>
              <w:rPr>
                <w:sz w:val="17"/>
              </w:rPr>
            </w:r>
            <w:r>
              <w:rPr>
                <w:sz w:val="17"/>
              </w:rPr>
              <w:t>ST</w:t>
            </w:r>
          </w:p>
        </w:tc>
        <w:tc>
          <w:tcPr>
            <w:tcW w:type="dxa" w:w="895"/>
          </w:tcPr>
          <w:p>
            <w:r>
              <w:rPr>
                <w:sz w:val="17"/>
              </w:rPr>
            </w:r>
            <w:r>
              <w:rPr>
                <w:sz w:val="17"/>
              </w:rPr>
              <w:t>H,D</w:t>
            </w:r>
          </w:p>
        </w:tc>
        <w:tc>
          <w:tcPr>
            <w:tcW w:type="dxa" w:w="1024"/>
          </w:tcPr>
          <w:p>
            <w:r>
              <w:rPr>
                <w:sz w:val="17"/>
              </w:rPr>
            </w:r>
            <w:r>
              <w:rPr>
                <w:sz w:val="17"/>
              </w:rPr>
              <w:t>H,CA</w:t>
            </w:r>
          </w:p>
        </w:tc>
        <w:tc>
          <w:tcPr>
            <w:tcW w:type="dxa" w:w="1202"/>
          </w:tcPr>
          <w:p>
            <w:r>
              <w:rPr>
                <w:sz w:val="17"/>
              </w:rPr>
            </w:r>
            <w:r>
              <w:rPr>
                <w:sz w:val="17"/>
              </w:rPr>
              <w:t>H,CA</w:t>
            </w:r>
          </w:p>
        </w:tc>
        <w:tc>
          <w:tcPr>
            <w:tcW w:type="dxa" w:w="1202"/>
          </w:tcPr>
          <w:p>
            <w:r>
              <w:rPr>
                <w:sz w:val="17"/>
              </w:rPr>
            </w:r>
            <w:r>
              <w:rPr>
                <w:sz w:val="17"/>
              </w:rPr>
              <w:t>H,CA</w:t>
            </w:r>
          </w:p>
        </w:tc>
        <w:tc>
          <w:tcPr>
            <w:tcW w:type="dxa" w:w="1202"/>
          </w:tcPr>
          <w:p>
            <w:r>
              <w:rPr>
                <w:sz w:val="17"/>
              </w:rPr>
            </w:r>
            <w:r>
              <w:rPr>
                <w:sz w:val="17"/>
              </w:rPr>
              <w:t>H,CA</w:t>
            </w:r>
          </w:p>
        </w:tc>
        <w:tc>
          <w:tcPr>
            <w:tcW w:type="dxa" w:w="1202"/>
          </w:tcPr>
          <w:p>
            <w:r>
              <w:rPr>
                <w:sz w:val="17"/>
              </w:rPr>
            </w:r>
            <w:r>
              <w:rPr>
                <w:sz w:val="17"/>
              </w:rPr>
              <w:t>H,CA</w:t>
            </w:r>
          </w:p>
        </w:tc>
        <w:tc>
          <w:tcPr>
            <w:tcW w:type="dxa" w:w="1202"/>
          </w:tcPr>
          <w:p>
            <w:r>
              <w:rPr>
                <w:sz w:val="17"/>
              </w:rPr>
            </w:r>
            <w:r>
              <w:rPr>
                <w:sz w:val="17"/>
              </w:rPr>
              <w:t>H,CA</w:t>
            </w:r>
          </w:p>
        </w:tc>
      </w:tr>
      <w:tr>
        <w:trPr>
          <w:cantSplit/>
        </w:trPr>
        <w:tc>
          <w:tcPr>
            <w:tcW w:type="dxa" w:w="2535"/>
          </w:tcPr>
          <w:p>
            <w:r>
              <w:rPr>
                <w:sz w:val="17"/>
              </w:rPr>
            </w:r>
            <w:r>
              <w:rPr>
                <w:sz w:val="17"/>
              </w:rPr>
              <w:t>AR</w:t>
            </w:r>
          </w:p>
        </w:tc>
        <w:tc>
          <w:tcPr>
            <w:tcW w:type="dxa" w:w="895"/>
          </w:tcPr>
          <w:p>
            <w:r>
              <w:rPr>
                <w:sz w:val="17"/>
              </w:rPr>
            </w:r>
            <w:r>
              <w:rPr>
                <w:sz w:val="17"/>
              </w:rPr>
              <w:t>—</w:t>
            </w:r>
          </w:p>
        </w:tc>
        <w:tc>
          <w:tcPr>
            <w:tcW w:type="dxa" w:w="1024"/>
          </w:tcPr>
          <w:p>
            <w:r>
              <w:rPr>
                <w:sz w:val="17"/>
              </w:rPr>
            </w:r>
            <w:r>
              <w:rPr>
                <w:sz w:val="17"/>
              </w:rPr>
              <w:t>H,D</w:t>
            </w:r>
          </w:p>
        </w:tc>
        <w:tc>
          <w:tcPr>
            <w:tcW w:type="dxa" w:w="1202"/>
          </w:tcPr>
          <w:p>
            <w:r>
              <w:rPr>
                <w:sz w:val="17"/>
              </w:rPr>
            </w:r>
            <w:r>
              <w:rPr>
                <w:sz w:val="17"/>
              </w:rPr>
              <w:t>H,CA</w:t>
            </w:r>
          </w:p>
        </w:tc>
        <w:tc>
          <w:tcPr>
            <w:tcW w:type="dxa" w:w="1202"/>
          </w:tcPr>
          <w:p>
            <w:r>
              <w:rPr>
                <w:sz w:val="17"/>
              </w:rPr>
            </w:r>
            <w:r>
              <w:rPr>
                <w:sz w:val="17"/>
              </w:rPr>
              <w:t>H,CA</w:t>
            </w:r>
          </w:p>
        </w:tc>
        <w:tc>
          <w:tcPr>
            <w:tcW w:type="dxa" w:w="1202"/>
          </w:tcPr>
          <w:p>
            <w:r>
              <w:rPr>
                <w:sz w:val="17"/>
              </w:rPr>
            </w:r>
            <w:r>
              <w:rPr>
                <w:sz w:val="17"/>
              </w:rPr>
              <w:t>H,CA</w:t>
            </w:r>
          </w:p>
        </w:tc>
        <w:tc>
          <w:tcPr>
            <w:tcW w:type="dxa" w:w="1202"/>
          </w:tcPr>
          <w:p>
            <w:r>
              <w:rPr>
                <w:sz w:val="17"/>
              </w:rPr>
            </w:r>
            <w:r>
              <w:rPr>
                <w:sz w:val="17"/>
              </w:rPr>
              <w:t>H,CA</w:t>
            </w:r>
          </w:p>
        </w:tc>
        <w:tc>
          <w:tcPr>
            <w:tcW w:type="dxa" w:w="1202"/>
          </w:tcPr>
          <w:p>
            <w:r>
              <w:rPr>
                <w:sz w:val="17"/>
              </w:rPr>
            </w:r>
            <w:r>
              <w:rPr>
                <w:sz w:val="17"/>
              </w:rPr>
              <w:t>H,CA</w:t>
            </w:r>
          </w:p>
        </w:tc>
      </w:tr>
      <w:tr>
        <w:trPr>
          <w:cantSplit/>
        </w:trPr>
        <w:tc>
          <w:tcPr>
            <w:tcW w:type="dxa" w:w="2535"/>
          </w:tcPr>
          <w:p>
            <w:r>
              <w:rPr>
                <w:sz w:val="17"/>
              </w:rPr>
            </w:r>
            <w:r>
              <w:rPr>
                <w:sz w:val="17"/>
              </w:rPr>
              <w:t>ME</w:t>
            </w:r>
          </w:p>
        </w:tc>
        <w:tc>
          <w:tcPr>
            <w:tcW w:type="dxa" w:w="895"/>
          </w:tcPr>
          <w:p>
            <w:r>
              <w:rPr>
                <w:sz w:val="17"/>
              </w:rPr>
            </w:r>
            <w:r>
              <w:rPr>
                <w:sz w:val="17"/>
              </w:rPr>
              <w:t>—</w:t>
            </w:r>
          </w:p>
        </w:tc>
        <w:tc>
          <w:tcPr>
            <w:tcW w:type="dxa" w:w="1024"/>
          </w:tcPr>
          <w:p>
            <w:r>
              <w:rPr>
                <w:sz w:val="17"/>
              </w:rPr>
            </w:r>
            <w:r>
              <w:rPr>
                <w:sz w:val="17"/>
              </w:rPr>
              <w:t>—</w:t>
            </w:r>
          </w:p>
        </w:tc>
        <w:tc>
          <w:tcPr>
            <w:tcW w:type="dxa" w:w="1202"/>
          </w:tcPr>
          <w:p>
            <w:r>
              <w:rPr>
                <w:sz w:val="17"/>
              </w:rPr>
            </w:r>
            <w:r>
              <w:rPr>
                <w:sz w:val="17"/>
              </w:rPr>
              <w:t>H,D,CA</w:t>
            </w:r>
          </w:p>
        </w:tc>
        <w:tc>
          <w:tcPr>
            <w:tcW w:type="dxa" w:w="1202"/>
          </w:tcPr>
          <w:p>
            <w:r>
              <w:rPr>
                <w:sz w:val="17"/>
              </w:rPr>
            </w:r>
            <w:r>
              <w:rPr>
                <w:sz w:val="17"/>
              </w:rPr>
              <w:t>H,CA</w:t>
            </w:r>
          </w:p>
        </w:tc>
        <w:tc>
          <w:tcPr>
            <w:tcW w:type="dxa" w:w="1202"/>
          </w:tcPr>
          <w:p>
            <w:r>
              <w:rPr>
                <w:sz w:val="17"/>
              </w:rPr>
            </w:r>
            <w:r>
              <w:rPr>
                <w:sz w:val="17"/>
              </w:rPr>
              <w:t>H,CA</w:t>
            </w:r>
          </w:p>
        </w:tc>
        <w:tc>
          <w:tcPr>
            <w:tcW w:type="dxa" w:w="1202"/>
          </w:tcPr>
          <w:p>
            <w:r>
              <w:rPr>
                <w:sz w:val="17"/>
              </w:rPr>
            </w:r>
            <w:r>
              <w:rPr>
                <w:sz w:val="17"/>
              </w:rPr>
              <w:t>H,CA</w:t>
            </w:r>
          </w:p>
        </w:tc>
        <w:tc>
          <w:tcPr>
            <w:tcW w:type="dxa" w:w="1202"/>
          </w:tcPr>
          <w:p>
            <w:r>
              <w:rPr>
                <w:sz w:val="17"/>
              </w:rPr>
            </w:r>
            <w:r>
              <w:rPr>
                <w:sz w:val="17"/>
              </w:rPr>
              <w:t>H,CA</w:t>
            </w:r>
          </w:p>
        </w:tc>
      </w:tr>
      <w:tr>
        <w:trPr>
          <w:cantSplit/>
        </w:trPr>
        <w:tc>
          <w:tcPr>
            <w:tcW w:type="dxa" w:w="2535"/>
          </w:tcPr>
          <w:p>
            <w:r>
              <w:rPr>
                <w:sz w:val="17"/>
              </w:rPr>
            </w:r>
            <w:r>
              <w:rPr>
                <w:sz w:val="17"/>
              </w:rPr>
              <w:t>EL</w:t>
            </w:r>
          </w:p>
        </w:tc>
        <w:tc>
          <w:tcPr>
            <w:tcW w:type="dxa" w:w="895"/>
          </w:tcPr>
          <w:p>
            <w:r>
              <w:rPr>
                <w:sz w:val="17"/>
              </w:rPr>
            </w:r>
            <w:r>
              <w:rPr>
                <w:sz w:val="17"/>
              </w:rPr>
              <w:t>—</w:t>
            </w:r>
          </w:p>
        </w:tc>
        <w:tc>
          <w:tcPr>
            <w:tcW w:type="dxa" w:w="1024"/>
          </w:tcPr>
          <w:p>
            <w:r>
              <w:rPr>
                <w:sz w:val="17"/>
              </w:rPr>
            </w:r>
            <w:r>
              <w:rPr>
                <w:sz w:val="17"/>
              </w:rPr>
              <w:t>—</w:t>
            </w:r>
          </w:p>
        </w:tc>
        <w:tc>
          <w:tcPr>
            <w:tcW w:type="dxa" w:w="1202"/>
          </w:tcPr>
          <w:p>
            <w:r>
              <w:rPr>
                <w:sz w:val="17"/>
              </w:rPr>
            </w:r>
            <w:r>
              <w:rPr>
                <w:sz w:val="17"/>
              </w:rPr>
              <w:t>—</w:t>
            </w:r>
          </w:p>
        </w:tc>
        <w:tc>
          <w:tcPr>
            <w:tcW w:type="dxa" w:w="1202"/>
          </w:tcPr>
          <w:p>
            <w:r>
              <w:rPr>
                <w:sz w:val="17"/>
              </w:rPr>
            </w:r>
            <w:r>
              <w:rPr>
                <w:sz w:val="17"/>
              </w:rPr>
              <w:t>H,D,CA</w:t>
            </w:r>
          </w:p>
        </w:tc>
        <w:tc>
          <w:tcPr>
            <w:tcW w:type="dxa" w:w="1202"/>
          </w:tcPr>
          <w:p>
            <w:r>
              <w:rPr>
                <w:sz w:val="17"/>
              </w:rPr>
            </w:r>
            <w:r>
              <w:rPr>
                <w:sz w:val="17"/>
              </w:rPr>
              <w:t>H,CA</w:t>
            </w:r>
          </w:p>
        </w:tc>
        <w:tc>
          <w:tcPr>
            <w:tcW w:type="dxa" w:w="1202"/>
          </w:tcPr>
          <w:p>
            <w:r>
              <w:rPr>
                <w:sz w:val="17"/>
              </w:rPr>
            </w:r>
            <w:r>
              <w:rPr>
                <w:sz w:val="17"/>
              </w:rPr>
              <w:t>H,CA</w:t>
            </w:r>
          </w:p>
        </w:tc>
        <w:tc>
          <w:tcPr>
            <w:tcW w:type="dxa" w:w="1202"/>
          </w:tcPr>
          <w:p>
            <w:r>
              <w:rPr>
                <w:sz w:val="17"/>
              </w:rPr>
            </w:r>
            <w:r>
              <w:rPr>
                <w:sz w:val="17"/>
              </w:rPr>
              <w:t>H,CA</w:t>
            </w:r>
          </w:p>
        </w:tc>
      </w:tr>
      <w:tr>
        <w:trPr>
          <w:cantSplit/>
        </w:trPr>
        <w:tc>
          <w:tcPr>
            <w:tcW w:type="dxa" w:w="2535"/>
          </w:tcPr>
          <w:p>
            <w:r>
              <w:rPr>
                <w:sz w:val="17"/>
              </w:rPr>
            </w:r>
            <w:r>
              <w:rPr>
                <w:sz w:val="17"/>
              </w:rPr>
              <w:t>WS</w:t>
            </w:r>
          </w:p>
        </w:tc>
        <w:tc>
          <w:tcPr>
            <w:tcW w:type="dxa" w:w="895"/>
          </w:tcPr>
          <w:p>
            <w:r>
              <w:rPr>
                <w:sz w:val="17"/>
              </w:rPr>
            </w:r>
            <w:r>
              <w:rPr>
                <w:sz w:val="17"/>
              </w:rPr>
              <w:t>—</w:t>
            </w:r>
          </w:p>
        </w:tc>
        <w:tc>
          <w:tcPr>
            <w:tcW w:type="dxa" w:w="1024"/>
          </w:tcPr>
          <w:p>
            <w:r>
              <w:rPr>
                <w:sz w:val="17"/>
              </w:rPr>
            </w:r>
            <w:r>
              <w:rPr>
                <w:sz w:val="17"/>
              </w:rPr>
              <w:t>—</w:t>
            </w:r>
          </w:p>
        </w:tc>
        <w:tc>
          <w:tcPr>
            <w:tcW w:type="dxa" w:w="1202"/>
          </w:tcPr>
          <w:p>
            <w:r>
              <w:rPr>
                <w:sz w:val="17"/>
              </w:rPr>
            </w:r>
            <w:r>
              <w:rPr>
                <w:sz w:val="17"/>
              </w:rPr>
              <w:t>—</w:t>
            </w:r>
          </w:p>
        </w:tc>
        <w:tc>
          <w:tcPr>
            <w:tcW w:type="dxa" w:w="1202"/>
          </w:tcPr>
          <w:p>
            <w:r>
              <w:rPr>
                <w:sz w:val="17"/>
              </w:rPr>
            </w:r>
            <w:r>
              <w:rPr>
                <w:sz w:val="17"/>
              </w:rPr>
              <w:t>—</w:t>
            </w:r>
          </w:p>
        </w:tc>
        <w:tc>
          <w:tcPr>
            <w:tcW w:type="dxa" w:w="1202"/>
          </w:tcPr>
          <w:p>
            <w:r>
              <w:rPr>
                <w:sz w:val="17"/>
              </w:rPr>
            </w:r>
            <w:r>
              <w:rPr>
                <w:sz w:val="17"/>
              </w:rPr>
              <w:t>H,D,CA</w:t>
            </w:r>
          </w:p>
        </w:tc>
        <w:tc>
          <w:tcPr>
            <w:tcW w:type="dxa" w:w="1202"/>
          </w:tcPr>
          <w:p>
            <w:r>
              <w:rPr>
                <w:sz w:val="17"/>
              </w:rPr>
            </w:r>
            <w:r>
              <w:rPr>
                <w:sz w:val="17"/>
              </w:rPr>
              <w:t>H,CA</w:t>
            </w:r>
          </w:p>
        </w:tc>
        <w:tc>
          <w:tcPr>
            <w:tcW w:type="dxa" w:w="1202"/>
          </w:tcPr>
          <w:p>
            <w:r>
              <w:rPr>
                <w:sz w:val="17"/>
              </w:rPr>
            </w:r>
            <w:r>
              <w:rPr>
                <w:sz w:val="17"/>
              </w:rPr>
              <w:t>H,CA</w:t>
            </w:r>
          </w:p>
        </w:tc>
      </w:tr>
      <w:tr>
        <w:trPr>
          <w:cantSplit/>
        </w:trPr>
        <w:tc>
          <w:tcPr>
            <w:tcW w:type="dxa" w:w="2535"/>
          </w:tcPr>
          <w:p>
            <w:r>
              <w:rPr>
                <w:sz w:val="17"/>
              </w:rPr>
            </w:r>
            <w:r>
              <w:rPr>
                <w:sz w:val="17"/>
              </w:rPr>
              <w:t>DR</w:t>
            </w:r>
          </w:p>
        </w:tc>
        <w:tc>
          <w:tcPr>
            <w:tcW w:type="dxa" w:w="895"/>
          </w:tcPr>
          <w:p>
            <w:r>
              <w:rPr>
                <w:sz w:val="17"/>
              </w:rPr>
            </w:r>
            <w:r>
              <w:rPr>
                <w:sz w:val="17"/>
              </w:rPr>
              <w:t>—</w:t>
            </w:r>
          </w:p>
        </w:tc>
        <w:tc>
          <w:tcPr>
            <w:tcW w:type="dxa" w:w="1024"/>
          </w:tcPr>
          <w:p>
            <w:r>
              <w:rPr>
                <w:sz w:val="17"/>
              </w:rPr>
            </w:r>
            <w:r>
              <w:rPr>
                <w:sz w:val="17"/>
              </w:rPr>
              <w:t>—</w:t>
            </w:r>
          </w:p>
        </w:tc>
        <w:tc>
          <w:tcPr>
            <w:tcW w:type="dxa" w:w="1202"/>
          </w:tcPr>
          <w:p>
            <w:r>
              <w:rPr>
                <w:sz w:val="17"/>
              </w:rPr>
            </w:r>
            <w:r>
              <w:rPr>
                <w:sz w:val="17"/>
              </w:rPr>
              <w:t>—</w:t>
            </w:r>
          </w:p>
        </w:tc>
        <w:tc>
          <w:tcPr>
            <w:tcW w:type="dxa" w:w="1202"/>
          </w:tcPr>
          <w:p>
            <w:r>
              <w:rPr>
                <w:sz w:val="17"/>
              </w:rPr>
            </w:r>
            <w:r>
              <w:rPr>
                <w:sz w:val="17"/>
              </w:rPr>
              <w:t>—</w:t>
            </w:r>
          </w:p>
        </w:tc>
        <w:tc>
          <w:tcPr>
            <w:tcW w:type="dxa" w:w="1202"/>
          </w:tcPr>
          <w:p>
            <w:r>
              <w:rPr>
                <w:sz w:val="17"/>
              </w:rPr>
            </w:r>
            <w:r>
              <w:rPr>
                <w:sz w:val="17"/>
              </w:rPr>
              <w:t>—</w:t>
            </w:r>
          </w:p>
        </w:tc>
        <w:tc>
          <w:tcPr>
            <w:tcW w:type="dxa" w:w="1202"/>
          </w:tcPr>
          <w:p>
            <w:r>
              <w:rPr>
                <w:sz w:val="17"/>
              </w:rPr>
            </w:r>
            <w:r>
              <w:rPr>
                <w:sz w:val="17"/>
              </w:rPr>
              <w:t>H,D,CA</w:t>
            </w:r>
          </w:p>
        </w:tc>
        <w:tc>
          <w:tcPr>
            <w:tcW w:type="dxa" w:w="1202"/>
          </w:tcPr>
          <w:p>
            <w:r>
              <w:rPr>
                <w:sz w:val="17"/>
              </w:rPr>
            </w:r>
            <w:r>
              <w:rPr>
                <w:sz w:val="17"/>
              </w:rPr>
              <w:t>H,CA</w:t>
            </w:r>
          </w:p>
        </w:tc>
      </w:tr>
      <w:tr>
        <w:trPr>
          <w:cantSplit/>
        </w:trPr>
        <w:tc>
          <w:tcPr>
            <w:tcW w:type="dxa" w:w="2535"/>
          </w:tcPr>
          <w:p>
            <w:r>
              <w:rPr>
                <w:sz w:val="17"/>
              </w:rPr>
            </w:r>
            <w:r>
              <w:rPr>
                <w:sz w:val="17"/>
              </w:rPr>
              <w:t>FF</w:t>
            </w:r>
          </w:p>
        </w:tc>
        <w:tc>
          <w:tcPr>
            <w:tcW w:type="dxa" w:w="895"/>
          </w:tcPr>
          <w:p>
            <w:r>
              <w:rPr>
                <w:sz w:val="17"/>
              </w:rPr>
            </w:r>
            <w:r>
              <w:rPr>
                <w:sz w:val="17"/>
              </w:rPr>
              <w:t>—</w:t>
            </w:r>
          </w:p>
        </w:tc>
        <w:tc>
          <w:tcPr>
            <w:tcW w:type="dxa" w:w="1024"/>
          </w:tcPr>
          <w:p>
            <w:r>
              <w:rPr>
                <w:sz w:val="17"/>
              </w:rPr>
            </w:r>
            <w:r>
              <w:rPr>
                <w:sz w:val="17"/>
              </w:rPr>
              <w:t>—</w:t>
            </w:r>
          </w:p>
        </w:tc>
        <w:tc>
          <w:tcPr>
            <w:tcW w:type="dxa" w:w="1202"/>
          </w:tcPr>
          <w:p>
            <w:r>
              <w:rPr>
                <w:sz w:val="17"/>
              </w:rPr>
            </w:r>
            <w:r>
              <w:rPr>
                <w:sz w:val="17"/>
              </w:rPr>
              <w:t>—</w:t>
            </w:r>
          </w:p>
        </w:tc>
        <w:tc>
          <w:tcPr>
            <w:tcW w:type="dxa" w:w="1202"/>
          </w:tcPr>
          <w:p>
            <w:r>
              <w:rPr>
                <w:sz w:val="17"/>
              </w:rPr>
            </w:r>
            <w:r>
              <w:rPr>
                <w:sz w:val="17"/>
              </w:rPr>
              <w:t>—</w:t>
            </w:r>
          </w:p>
        </w:tc>
        <w:tc>
          <w:tcPr>
            <w:tcW w:type="dxa" w:w="1202"/>
          </w:tcPr>
          <w:p>
            <w:r>
              <w:rPr>
                <w:sz w:val="17"/>
              </w:rPr>
            </w:r>
            <w:r>
              <w:rPr>
                <w:sz w:val="17"/>
              </w:rPr>
              <w:t>—</w:t>
            </w:r>
          </w:p>
        </w:tc>
        <w:tc>
          <w:tcPr>
            <w:tcW w:type="dxa" w:w="1202"/>
          </w:tcPr>
          <w:p>
            <w:r>
              <w:rPr>
                <w:sz w:val="17"/>
              </w:rPr>
            </w:r>
            <w:r>
              <w:rPr>
                <w:sz w:val="17"/>
              </w:rPr>
              <w:t>—</w:t>
            </w:r>
          </w:p>
        </w:tc>
        <w:tc>
          <w:tcPr>
            <w:tcW w:type="dxa" w:w="1202"/>
          </w:tcPr>
          <w:p>
            <w:r>
              <w:rPr>
                <w:sz w:val="17"/>
              </w:rPr>
            </w:r>
            <w:r>
              <w:rPr>
                <w:sz w:val="17"/>
              </w:rPr>
              <w:t>H,D,CA</w:t>
            </w:r>
          </w:p>
        </w:tc>
      </w:tr>
    </w:tbl>
    <w:p/>
    <w:p>
      <w:pPr/>
      <w:r>
        <w:t>For all 13 applicable trades, generate 91 unordered trade pairs including self-pairs (13×14/2). Account explicitly for ID, LI, LS, CI, DU and WU beyond this building-services illustration. At element level, create separate rules for each meaningful object population and envelope; the trade-level index does not replace those selections. Disabled or NA rows remain visible in the coverage report.</w:t>
      </w:r>
    </w:p>
    <w:p>
      <w:pPr>
        <w:pStyle w:val="Heading2"/>
      </w:pPr>
      <w:r>
        <w:t>4.1 Office baseline matrix, all 91 pairs (</w:t>
      </w:r>
      <w:r>
        <w:rPr>
          <w:color w:val="9A7B45"/>
          <w:u w:val="single"/>
        </w:rPr>
        <w:t>O-DEC-168</w:t>
      </w:r>
      <w:r>
        <w:t xml:space="preserve">, </w:t>
      </w:r>
      <w:r>
        <w:rPr>
          <w:color w:val="9A7B45"/>
          <w:u w:val="single"/>
        </w:rPr>
        <w:t>O-DEC-169</w:t>
      </w:r>
      <w:r>
        <w:t>)</w:t>
      </w:r>
    </w:p>
    <w:p>
      <w:pPr/>
      <w:r>
        <w:t>Every unordered pair of the 13 trades is decided; the office baseline has no U. H = hard test; CA = clearance and access tests; D = duplicate check (self-pairs, and the EL–LI boundary so each luminaire has one owner); NA = not tested, with the reason below. The 28 pairs of the §4 illustration are unchanged; the C and A rows of AR–AR and ST–ST are NA (in-model designer checks, not federated tests). A project copy may set a pair to NA only with a recorded reason and approver, and still defines the element-level selections of §4.</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539"/>
        <w:gridCol w:w="549"/>
        <w:gridCol w:w="677"/>
        <w:gridCol w:w="677"/>
        <w:gridCol w:w="856"/>
        <w:gridCol w:w="856"/>
        <w:gridCol w:w="677"/>
        <w:gridCol w:w="856"/>
        <w:gridCol w:w="856"/>
        <w:gridCol w:w="856"/>
        <w:gridCol w:w="677"/>
        <w:gridCol w:w="677"/>
        <w:gridCol w:w="856"/>
        <w:gridCol w:w="856"/>
      </w:tblGrid>
      <w:tr>
        <w:trPr>
          <w:cantSplit/>
          <w:tblHeader/>
        </w:trPr>
        <w:tc>
          <w:tcPr>
            <w:tcW w:type="dxa" w:w="539"/>
            <w:shd w:val="clear" w:color="auto" w:fill="111113"/>
          </w:tcPr>
          <w:p>
            <w:r>
              <w:rPr>
                <w:b/>
                <w:color w:val="FFFFFF"/>
                <w:sz w:val="17"/>
              </w:rPr>
            </w:r>
          </w:p>
        </w:tc>
        <w:tc>
          <w:tcPr>
            <w:tcW w:type="dxa" w:w="549"/>
            <w:shd w:val="clear" w:color="auto" w:fill="111113"/>
          </w:tcPr>
          <w:p>
            <w:r>
              <w:rPr>
                <w:b/>
                <w:color w:val="FFFFFF"/>
                <w:sz w:val="17"/>
              </w:rPr>
            </w:r>
            <w:r>
              <w:rPr>
                <w:b/>
                <w:color w:val="FFFFFF"/>
                <w:sz w:val="17"/>
              </w:rPr>
              <w:t>ST</w:t>
            </w:r>
          </w:p>
        </w:tc>
        <w:tc>
          <w:tcPr>
            <w:tcW w:type="dxa" w:w="677"/>
            <w:shd w:val="clear" w:color="auto" w:fill="111113"/>
          </w:tcPr>
          <w:p>
            <w:r>
              <w:rPr>
                <w:b/>
                <w:color w:val="FFFFFF"/>
                <w:sz w:val="17"/>
              </w:rPr>
            </w:r>
            <w:r>
              <w:rPr>
                <w:b/>
                <w:color w:val="FFFFFF"/>
                <w:sz w:val="17"/>
              </w:rPr>
              <w:t>AR</w:t>
            </w:r>
          </w:p>
        </w:tc>
        <w:tc>
          <w:tcPr>
            <w:tcW w:type="dxa" w:w="677"/>
            <w:shd w:val="clear" w:color="auto" w:fill="111113"/>
          </w:tcPr>
          <w:p>
            <w:r>
              <w:rPr>
                <w:b/>
                <w:color w:val="FFFFFF"/>
                <w:sz w:val="17"/>
              </w:rPr>
            </w:r>
            <w:r>
              <w:rPr>
                <w:b/>
                <w:color w:val="FFFFFF"/>
                <w:sz w:val="17"/>
              </w:rPr>
              <w:t>ID</w:t>
            </w:r>
          </w:p>
        </w:tc>
        <w:tc>
          <w:tcPr>
            <w:tcW w:type="dxa" w:w="856"/>
            <w:shd w:val="clear" w:color="auto" w:fill="111113"/>
          </w:tcPr>
          <w:p>
            <w:r>
              <w:rPr>
                <w:b/>
                <w:color w:val="FFFFFF"/>
                <w:sz w:val="17"/>
              </w:rPr>
            </w:r>
            <w:r>
              <w:rPr>
                <w:b/>
                <w:color w:val="FFFFFF"/>
                <w:sz w:val="17"/>
              </w:rPr>
              <w:t>ME</w:t>
            </w:r>
          </w:p>
        </w:tc>
        <w:tc>
          <w:tcPr>
            <w:tcW w:type="dxa" w:w="856"/>
            <w:shd w:val="clear" w:color="auto" w:fill="111113"/>
          </w:tcPr>
          <w:p>
            <w:r>
              <w:rPr>
                <w:b/>
                <w:color w:val="FFFFFF"/>
                <w:sz w:val="17"/>
              </w:rPr>
            </w:r>
            <w:r>
              <w:rPr>
                <w:b/>
                <w:color w:val="FFFFFF"/>
                <w:sz w:val="17"/>
              </w:rPr>
              <w:t>EL</w:t>
            </w:r>
          </w:p>
        </w:tc>
        <w:tc>
          <w:tcPr>
            <w:tcW w:type="dxa" w:w="677"/>
            <w:shd w:val="clear" w:color="auto" w:fill="111113"/>
          </w:tcPr>
          <w:p>
            <w:r>
              <w:rPr>
                <w:b/>
                <w:color w:val="FFFFFF"/>
                <w:sz w:val="17"/>
              </w:rPr>
            </w:r>
            <w:r>
              <w:rPr>
                <w:b/>
                <w:color w:val="FFFFFF"/>
                <w:sz w:val="17"/>
              </w:rPr>
              <w:t>LI</w:t>
            </w:r>
          </w:p>
        </w:tc>
        <w:tc>
          <w:tcPr>
            <w:tcW w:type="dxa" w:w="856"/>
            <w:shd w:val="clear" w:color="auto" w:fill="111113"/>
          </w:tcPr>
          <w:p>
            <w:r>
              <w:rPr>
                <w:b/>
                <w:color w:val="FFFFFF"/>
                <w:sz w:val="17"/>
              </w:rPr>
            </w:r>
            <w:r>
              <w:rPr>
                <w:b/>
                <w:color w:val="FFFFFF"/>
                <w:sz w:val="17"/>
              </w:rPr>
              <w:t>WS</w:t>
            </w:r>
          </w:p>
        </w:tc>
        <w:tc>
          <w:tcPr>
            <w:tcW w:type="dxa" w:w="856"/>
            <w:shd w:val="clear" w:color="auto" w:fill="111113"/>
          </w:tcPr>
          <w:p>
            <w:r>
              <w:rPr>
                <w:b/>
                <w:color w:val="FFFFFF"/>
                <w:sz w:val="17"/>
              </w:rPr>
            </w:r>
            <w:r>
              <w:rPr>
                <w:b/>
                <w:color w:val="FFFFFF"/>
                <w:sz w:val="17"/>
              </w:rPr>
              <w:t>DR</w:t>
            </w:r>
          </w:p>
        </w:tc>
        <w:tc>
          <w:tcPr>
            <w:tcW w:type="dxa" w:w="856"/>
            <w:shd w:val="clear" w:color="auto" w:fill="111113"/>
          </w:tcPr>
          <w:p>
            <w:r>
              <w:rPr>
                <w:b/>
                <w:color w:val="FFFFFF"/>
                <w:sz w:val="17"/>
              </w:rPr>
            </w:r>
            <w:r>
              <w:rPr>
                <w:b/>
                <w:color w:val="FFFFFF"/>
                <w:sz w:val="17"/>
              </w:rPr>
              <w:t>FF</w:t>
            </w:r>
          </w:p>
        </w:tc>
        <w:tc>
          <w:tcPr>
            <w:tcW w:type="dxa" w:w="677"/>
            <w:shd w:val="clear" w:color="auto" w:fill="111113"/>
          </w:tcPr>
          <w:p>
            <w:r>
              <w:rPr>
                <w:b/>
                <w:color w:val="FFFFFF"/>
                <w:sz w:val="17"/>
              </w:rPr>
            </w:r>
            <w:r>
              <w:rPr>
                <w:b/>
                <w:color w:val="FFFFFF"/>
                <w:sz w:val="17"/>
              </w:rPr>
              <w:t>LS</w:t>
            </w:r>
          </w:p>
        </w:tc>
        <w:tc>
          <w:tcPr>
            <w:tcW w:type="dxa" w:w="677"/>
            <w:shd w:val="clear" w:color="auto" w:fill="111113"/>
          </w:tcPr>
          <w:p>
            <w:r>
              <w:rPr>
                <w:b/>
                <w:color w:val="FFFFFF"/>
                <w:sz w:val="17"/>
              </w:rPr>
            </w:r>
            <w:r>
              <w:rPr>
                <w:b/>
                <w:color w:val="FFFFFF"/>
                <w:sz w:val="17"/>
              </w:rPr>
              <w:t>CI</w:t>
            </w:r>
          </w:p>
        </w:tc>
        <w:tc>
          <w:tcPr>
            <w:tcW w:type="dxa" w:w="856"/>
            <w:shd w:val="clear" w:color="auto" w:fill="111113"/>
          </w:tcPr>
          <w:p>
            <w:r>
              <w:rPr>
                <w:b/>
                <w:color w:val="FFFFFF"/>
                <w:sz w:val="17"/>
              </w:rPr>
            </w:r>
            <w:r>
              <w:rPr>
                <w:b/>
                <w:color w:val="FFFFFF"/>
                <w:sz w:val="17"/>
              </w:rPr>
              <w:t>DU</w:t>
            </w:r>
          </w:p>
        </w:tc>
        <w:tc>
          <w:tcPr>
            <w:tcW w:type="dxa" w:w="856"/>
            <w:shd w:val="clear" w:color="auto" w:fill="111113"/>
          </w:tcPr>
          <w:p>
            <w:r>
              <w:rPr>
                <w:b/>
                <w:color w:val="FFFFFF"/>
                <w:sz w:val="17"/>
              </w:rPr>
            </w:r>
            <w:r>
              <w:rPr>
                <w:b/>
                <w:color w:val="FFFFFF"/>
                <w:sz w:val="17"/>
              </w:rPr>
              <w:t>WU</w:t>
            </w:r>
          </w:p>
        </w:tc>
      </w:tr>
      <w:tr>
        <w:trPr>
          <w:cantSplit/>
        </w:trPr>
        <w:tc>
          <w:tcPr>
            <w:tcW w:type="dxa" w:w="539"/>
          </w:tcPr>
          <w:p>
            <w:r>
              <w:rPr>
                <w:sz w:val="17"/>
              </w:rPr>
            </w:r>
            <w:r>
              <w:rPr>
                <w:sz w:val="17"/>
              </w:rPr>
              <w:t>ST</w:t>
            </w:r>
          </w:p>
        </w:tc>
        <w:tc>
          <w:tcPr>
            <w:tcW w:type="dxa" w:w="549"/>
          </w:tcPr>
          <w:p>
            <w:r>
              <w:rPr>
                <w:sz w:val="17"/>
              </w:rPr>
            </w:r>
            <w:r>
              <w:rPr>
                <w:sz w:val="17"/>
              </w:rPr>
              <w:t>H,D</w:t>
            </w:r>
          </w:p>
        </w:tc>
        <w:tc>
          <w:tcPr>
            <w:tcW w:type="dxa" w:w="677"/>
          </w:tcPr>
          <w:p>
            <w:r>
              <w:rPr>
                <w:sz w:val="17"/>
              </w:rPr>
            </w:r>
            <w:r>
              <w:rPr>
                <w:sz w:val="17"/>
              </w:rPr>
              <w:t>H,CA</w:t>
            </w:r>
          </w:p>
        </w:tc>
        <w:tc>
          <w:tcPr>
            <w:tcW w:type="dxa" w:w="677"/>
          </w:tcPr>
          <w:p>
            <w:r>
              <w:rPr>
                <w:sz w:val="17"/>
              </w:rPr>
            </w:r>
            <w:r>
              <w:rPr>
                <w:sz w:val="17"/>
              </w:rPr>
              <w:t>H</w:t>
            </w:r>
          </w:p>
        </w:tc>
        <w:tc>
          <w:tcPr>
            <w:tcW w:type="dxa" w:w="856"/>
          </w:tcPr>
          <w:p>
            <w:r>
              <w:rPr>
                <w:sz w:val="17"/>
              </w:rPr>
            </w:r>
            <w:r>
              <w:rPr>
                <w:sz w:val="17"/>
              </w:rPr>
              <w:t>H,CA</w:t>
            </w:r>
          </w:p>
        </w:tc>
        <w:tc>
          <w:tcPr>
            <w:tcW w:type="dxa" w:w="856"/>
          </w:tcPr>
          <w:p>
            <w:r>
              <w:rPr>
                <w:sz w:val="17"/>
              </w:rPr>
            </w:r>
            <w:r>
              <w:rPr>
                <w:sz w:val="17"/>
              </w:rPr>
              <w:t>H,CA</w:t>
            </w:r>
          </w:p>
        </w:tc>
        <w:tc>
          <w:tcPr>
            <w:tcW w:type="dxa" w:w="677"/>
          </w:tcPr>
          <w:p>
            <w:r>
              <w:rPr>
                <w:sz w:val="17"/>
              </w:rPr>
            </w:r>
            <w:r>
              <w:rPr>
                <w:sz w:val="17"/>
              </w:rPr>
              <w:t>H</w:t>
            </w:r>
          </w:p>
        </w:tc>
        <w:tc>
          <w:tcPr>
            <w:tcW w:type="dxa" w:w="856"/>
          </w:tcPr>
          <w:p>
            <w:r>
              <w:rPr>
                <w:sz w:val="17"/>
              </w:rPr>
            </w:r>
            <w:r>
              <w:rPr>
                <w:sz w:val="17"/>
              </w:rPr>
              <w:t>H,CA</w:t>
            </w:r>
          </w:p>
        </w:tc>
        <w:tc>
          <w:tcPr>
            <w:tcW w:type="dxa" w:w="856"/>
          </w:tcPr>
          <w:p>
            <w:r>
              <w:rPr>
                <w:sz w:val="17"/>
              </w:rPr>
            </w:r>
            <w:r>
              <w:rPr>
                <w:sz w:val="17"/>
              </w:rPr>
              <w:t>H,CA</w:t>
            </w:r>
          </w:p>
        </w:tc>
        <w:tc>
          <w:tcPr>
            <w:tcW w:type="dxa" w:w="856"/>
          </w:tcPr>
          <w:p>
            <w:r>
              <w:rPr>
                <w:sz w:val="17"/>
              </w:rPr>
            </w:r>
            <w:r>
              <w:rPr>
                <w:sz w:val="17"/>
              </w:rPr>
              <w:t>H,CA</w:t>
            </w:r>
          </w:p>
        </w:tc>
        <w:tc>
          <w:tcPr>
            <w:tcW w:type="dxa" w:w="677"/>
          </w:tcPr>
          <w:p>
            <w:r>
              <w:rPr>
                <w:sz w:val="17"/>
              </w:rPr>
            </w:r>
            <w:r>
              <w:rPr>
                <w:sz w:val="17"/>
              </w:rPr>
              <w:t>H</w:t>
            </w:r>
          </w:p>
        </w:tc>
        <w:tc>
          <w:tcPr>
            <w:tcW w:type="dxa" w:w="677"/>
          </w:tcPr>
          <w:p>
            <w:r>
              <w:rPr>
                <w:sz w:val="17"/>
              </w:rPr>
            </w:r>
            <w:r>
              <w:rPr>
                <w:sz w:val="17"/>
              </w:rPr>
              <w:t>H</w:t>
            </w:r>
          </w:p>
        </w:tc>
        <w:tc>
          <w:tcPr>
            <w:tcW w:type="dxa" w:w="856"/>
          </w:tcPr>
          <w:p>
            <w:r>
              <w:rPr>
                <w:sz w:val="17"/>
              </w:rPr>
            </w:r>
            <w:r>
              <w:rPr>
                <w:sz w:val="17"/>
              </w:rPr>
              <w:t>H,CA</w:t>
            </w:r>
          </w:p>
        </w:tc>
        <w:tc>
          <w:tcPr>
            <w:tcW w:type="dxa" w:w="856"/>
          </w:tcPr>
          <w:p>
            <w:r>
              <w:rPr>
                <w:sz w:val="17"/>
              </w:rPr>
            </w:r>
            <w:r>
              <w:rPr>
                <w:sz w:val="17"/>
              </w:rPr>
              <w:t>H,CA</w:t>
            </w:r>
          </w:p>
        </w:tc>
      </w:tr>
      <w:tr>
        <w:trPr>
          <w:cantSplit/>
        </w:trPr>
        <w:tc>
          <w:tcPr>
            <w:tcW w:type="dxa" w:w="539"/>
          </w:tcPr>
          <w:p>
            <w:r>
              <w:rPr>
                <w:sz w:val="17"/>
              </w:rPr>
            </w:r>
            <w:r>
              <w:rPr>
                <w:sz w:val="17"/>
              </w:rPr>
              <w:t>AR</w:t>
            </w:r>
          </w:p>
        </w:tc>
        <w:tc>
          <w:tcPr>
            <w:tcW w:type="dxa" w:w="549"/>
          </w:tcPr>
          <w:p>
            <w:r>
              <w:rPr>
                <w:sz w:val="17"/>
              </w:rPr>
            </w:r>
            <w:r>
              <w:rPr>
                <w:sz w:val="17"/>
              </w:rPr>
              <w:t>—</w:t>
            </w:r>
          </w:p>
        </w:tc>
        <w:tc>
          <w:tcPr>
            <w:tcW w:type="dxa" w:w="677"/>
          </w:tcPr>
          <w:p>
            <w:r>
              <w:rPr>
                <w:sz w:val="17"/>
              </w:rPr>
            </w:r>
            <w:r>
              <w:rPr>
                <w:sz w:val="17"/>
              </w:rPr>
              <w:t>H,D</w:t>
            </w:r>
          </w:p>
        </w:tc>
        <w:tc>
          <w:tcPr>
            <w:tcW w:type="dxa" w:w="677"/>
          </w:tcPr>
          <w:p>
            <w:r>
              <w:rPr>
                <w:sz w:val="17"/>
              </w:rPr>
            </w:r>
            <w:r>
              <w:rPr>
                <w:sz w:val="17"/>
              </w:rPr>
              <w:t>H,CA</w:t>
            </w:r>
          </w:p>
        </w:tc>
        <w:tc>
          <w:tcPr>
            <w:tcW w:type="dxa" w:w="856"/>
          </w:tcPr>
          <w:p>
            <w:r>
              <w:rPr>
                <w:sz w:val="17"/>
              </w:rPr>
            </w:r>
            <w:r>
              <w:rPr>
                <w:sz w:val="17"/>
              </w:rPr>
              <w:t>H,CA</w:t>
            </w:r>
          </w:p>
        </w:tc>
        <w:tc>
          <w:tcPr>
            <w:tcW w:type="dxa" w:w="856"/>
          </w:tcPr>
          <w:p>
            <w:r>
              <w:rPr>
                <w:sz w:val="17"/>
              </w:rPr>
            </w:r>
            <w:r>
              <w:rPr>
                <w:sz w:val="17"/>
              </w:rPr>
              <w:t>H,CA</w:t>
            </w:r>
          </w:p>
        </w:tc>
        <w:tc>
          <w:tcPr>
            <w:tcW w:type="dxa" w:w="677"/>
          </w:tcPr>
          <w:p>
            <w:r>
              <w:rPr>
                <w:sz w:val="17"/>
              </w:rPr>
            </w:r>
            <w:r>
              <w:rPr>
                <w:sz w:val="17"/>
              </w:rPr>
              <w:t>H,CA</w:t>
            </w:r>
          </w:p>
        </w:tc>
        <w:tc>
          <w:tcPr>
            <w:tcW w:type="dxa" w:w="856"/>
          </w:tcPr>
          <w:p>
            <w:r>
              <w:rPr>
                <w:sz w:val="17"/>
              </w:rPr>
            </w:r>
            <w:r>
              <w:rPr>
                <w:sz w:val="17"/>
              </w:rPr>
              <w:t>H,CA</w:t>
            </w:r>
          </w:p>
        </w:tc>
        <w:tc>
          <w:tcPr>
            <w:tcW w:type="dxa" w:w="856"/>
          </w:tcPr>
          <w:p>
            <w:r>
              <w:rPr>
                <w:sz w:val="17"/>
              </w:rPr>
            </w:r>
            <w:r>
              <w:rPr>
                <w:sz w:val="17"/>
              </w:rPr>
              <w:t>H,CA</w:t>
            </w:r>
          </w:p>
        </w:tc>
        <w:tc>
          <w:tcPr>
            <w:tcW w:type="dxa" w:w="856"/>
          </w:tcPr>
          <w:p>
            <w:r>
              <w:rPr>
                <w:sz w:val="17"/>
              </w:rPr>
            </w:r>
            <w:r>
              <w:rPr>
                <w:sz w:val="17"/>
              </w:rPr>
              <w:t>H,CA</w:t>
            </w:r>
          </w:p>
        </w:tc>
        <w:tc>
          <w:tcPr>
            <w:tcW w:type="dxa" w:w="677"/>
          </w:tcPr>
          <w:p>
            <w:r>
              <w:rPr>
                <w:sz w:val="17"/>
              </w:rPr>
            </w:r>
            <w:r>
              <w:rPr>
                <w:sz w:val="17"/>
              </w:rPr>
              <w:t>H,CA</w:t>
            </w:r>
          </w:p>
        </w:tc>
        <w:tc>
          <w:tcPr>
            <w:tcW w:type="dxa" w:w="677"/>
          </w:tcPr>
          <w:p>
            <w:r>
              <w:rPr>
                <w:sz w:val="17"/>
              </w:rPr>
            </w:r>
            <w:r>
              <w:rPr>
                <w:sz w:val="17"/>
              </w:rPr>
              <w:t>H,CA</w:t>
            </w:r>
          </w:p>
        </w:tc>
        <w:tc>
          <w:tcPr>
            <w:tcW w:type="dxa" w:w="856"/>
          </w:tcPr>
          <w:p>
            <w:r>
              <w:rPr>
                <w:sz w:val="17"/>
              </w:rPr>
            </w:r>
            <w:r>
              <w:rPr>
                <w:sz w:val="17"/>
              </w:rPr>
              <w:t>H</w:t>
            </w:r>
          </w:p>
        </w:tc>
        <w:tc>
          <w:tcPr>
            <w:tcW w:type="dxa" w:w="856"/>
          </w:tcPr>
          <w:p>
            <w:r>
              <w:rPr>
                <w:sz w:val="17"/>
              </w:rPr>
            </w:r>
            <w:r>
              <w:rPr>
                <w:sz w:val="17"/>
              </w:rPr>
              <w:t>H</w:t>
            </w:r>
          </w:p>
        </w:tc>
      </w:tr>
      <w:tr>
        <w:trPr>
          <w:cantSplit/>
        </w:trPr>
        <w:tc>
          <w:tcPr>
            <w:tcW w:type="dxa" w:w="539"/>
          </w:tcPr>
          <w:p>
            <w:r>
              <w:rPr>
                <w:sz w:val="17"/>
              </w:rPr>
            </w:r>
            <w:r>
              <w:rPr>
                <w:sz w:val="17"/>
              </w:rPr>
              <w:t>ID</w:t>
            </w:r>
          </w:p>
        </w:tc>
        <w:tc>
          <w:tcPr>
            <w:tcW w:type="dxa" w:w="549"/>
          </w:tcPr>
          <w:p>
            <w:r>
              <w:rPr>
                <w:sz w:val="17"/>
              </w:rPr>
            </w:r>
            <w:r>
              <w:rPr>
                <w:sz w:val="17"/>
              </w:rPr>
              <w:t>—</w:t>
            </w:r>
          </w:p>
        </w:tc>
        <w:tc>
          <w:tcPr>
            <w:tcW w:type="dxa" w:w="677"/>
          </w:tcPr>
          <w:p>
            <w:r>
              <w:rPr>
                <w:sz w:val="17"/>
              </w:rPr>
            </w:r>
            <w:r>
              <w:rPr>
                <w:sz w:val="17"/>
              </w:rPr>
              <w:t>—</w:t>
            </w:r>
          </w:p>
        </w:tc>
        <w:tc>
          <w:tcPr>
            <w:tcW w:type="dxa" w:w="677"/>
          </w:tcPr>
          <w:p>
            <w:r>
              <w:rPr>
                <w:sz w:val="17"/>
              </w:rPr>
            </w:r>
            <w:r>
              <w:rPr>
                <w:sz w:val="17"/>
              </w:rPr>
              <w:t>H,D</w:t>
            </w:r>
          </w:p>
        </w:tc>
        <w:tc>
          <w:tcPr>
            <w:tcW w:type="dxa" w:w="856"/>
          </w:tcPr>
          <w:p>
            <w:r>
              <w:rPr>
                <w:sz w:val="17"/>
              </w:rPr>
            </w:r>
            <w:r>
              <w:rPr>
                <w:sz w:val="17"/>
              </w:rPr>
              <w:t>H,CA</w:t>
            </w:r>
          </w:p>
        </w:tc>
        <w:tc>
          <w:tcPr>
            <w:tcW w:type="dxa" w:w="856"/>
          </w:tcPr>
          <w:p>
            <w:r>
              <w:rPr>
                <w:sz w:val="17"/>
              </w:rPr>
            </w:r>
            <w:r>
              <w:rPr>
                <w:sz w:val="17"/>
              </w:rPr>
              <w:t>H,CA</w:t>
            </w:r>
          </w:p>
        </w:tc>
        <w:tc>
          <w:tcPr>
            <w:tcW w:type="dxa" w:w="677"/>
          </w:tcPr>
          <w:p>
            <w:r>
              <w:rPr>
                <w:sz w:val="17"/>
              </w:rPr>
            </w:r>
            <w:r>
              <w:rPr>
                <w:sz w:val="17"/>
              </w:rPr>
              <w:t>H,CA</w:t>
            </w:r>
          </w:p>
        </w:tc>
        <w:tc>
          <w:tcPr>
            <w:tcW w:type="dxa" w:w="856"/>
          </w:tcPr>
          <w:p>
            <w:r>
              <w:rPr>
                <w:sz w:val="17"/>
              </w:rPr>
            </w:r>
            <w:r>
              <w:rPr>
                <w:sz w:val="17"/>
              </w:rPr>
              <w:t>H,CA</w:t>
            </w:r>
          </w:p>
        </w:tc>
        <w:tc>
          <w:tcPr>
            <w:tcW w:type="dxa" w:w="856"/>
          </w:tcPr>
          <w:p>
            <w:r>
              <w:rPr>
                <w:sz w:val="17"/>
              </w:rPr>
            </w:r>
            <w:r>
              <w:rPr>
                <w:sz w:val="17"/>
              </w:rPr>
              <w:t>H,CA</w:t>
            </w:r>
          </w:p>
        </w:tc>
        <w:tc>
          <w:tcPr>
            <w:tcW w:type="dxa" w:w="856"/>
          </w:tcPr>
          <w:p>
            <w:r>
              <w:rPr>
                <w:sz w:val="17"/>
              </w:rPr>
            </w:r>
            <w:r>
              <w:rPr>
                <w:sz w:val="17"/>
              </w:rPr>
              <w:t>H,CA</w:t>
            </w:r>
          </w:p>
        </w:tc>
        <w:tc>
          <w:tcPr>
            <w:tcW w:type="dxa" w:w="677"/>
          </w:tcPr>
          <w:p>
            <w:r>
              <w:rPr>
                <w:sz w:val="17"/>
              </w:rPr>
            </w:r>
            <w:r>
              <w:rPr>
                <w:sz w:val="17"/>
              </w:rPr>
              <w:t>H</w:t>
            </w:r>
          </w:p>
        </w:tc>
        <w:tc>
          <w:tcPr>
            <w:tcW w:type="dxa" w:w="677"/>
          </w:tcPr>
          <w:p>
            <w:r>
              <w:rPr>
                <w:sz w:val="17"/>
              </w:rPr>
            </w:r>
            <w:r>
              <w:rPr>
                <w:sz w:val="17"/>
              </w:rPr>
              <w:t>NA</w:t>
            </w:r>
          </w:p>
        </w:tc>
        <w:tc>
          <w:tcPr>
            <w:tcW w:type="dxa" w:w="856"/>
          </w:tcPr>
          <w:p>
            <w:r>
              <w:rPr>
                <w:sz w:val="17"/>
              </w:rPr>
            </w:r>
            <w:r>
              <w:rPr>
                <w:sz w:val="17"/>
              </w:rPr>
              <w:t>NA</w:t>
            </w:r>
          </w:p>
        </w:tc>
        <w:tc>
          <w:tcPr>
            <w:tcW w:type="dxa" w:w="856"/>
          </w:tcPr>
          <w:p>
            <w:r>
              <w:rPr>
                <w:sz w:val="17"/>
              </w:rPr>
            </w:r>
            <w:r>
              <w:rPr>
                <w:sz w:val="17"/>
              </w:rPr>
              <w:t>NA</w:t>
            </w:r>
          </w:p>
        </w:tc>
      </w:tr>
      <w:tr>
        <w:trPr>
          <w:cantSplit/>
        </w:trPr>
        <w:tc>
          <w:tcPr>
            <w:tcW w:type="dxa" w:w="539"/>
          </w:tcPr>
          <w:p>
            <w:r>
              <w:rPr>
                <w:sz w:val="17"/>
              </w:rPr>
            </w:r>
            <w:r>
              <w:rPr>
                <w:sz w:val="17"/>
              </w:rPr>
              <w:t>ME</w:t>
            </w:r>
          </w:p>
        </w:tc>
        <w:tc>
          <w:tcPr>
            <w:tcW w:type="dxa" w:w="549"/>
          </w:tcPr>
          <w:p>
            <w:r>
              <w:rPr>
                <w:sz w:val="17"/>
              </w:rPr>
            </w:r>
            <w:r>
              <w:rPr>
                <w:sz w:val="17"/>
              </w:rPr>
              <w:t>—</w:t>
            </w:r>
          </w:p>
        </w:tc>
        <w:tc>
          <w:tcPr>
            <w:tcW w:type="dxa" w:w="677"/>
          </w:tcPr>
          <w:p>
            <w:r>
              <w:rPr>
                <w:sz w:val="17"/>
              </w:rPr>
            </w:r>
            <w:r>
              <w:rPr>
                <w:sz w:val="17"/>
              </w:rPr>
              <w:t>—</w:t>
            </w:r>
          </w:p>
        </w:tc>
        <w:tc>
          <w:tcPr>
            <w:tcW w:type="dxa" w:w="677"/>
          </w:tcPr>
          <w:p>
            <w:r>
              <w:rPr>
                <w:sz w:val="17"/>
              </w:rPr>
            </w:r>
            <w:r>
              <w:rPr>
                <w:sz w:val="17"/>
              </w:rPr>
              <w:t>—</w:t>
            </w:r>
          </w:p>
        </w:tc>
        <w:tc>
          <w:tcPr>
            <w:tcW w:type="dxa" w:w="856"/>
          </w:tcPr>
          <w:p>
            <w:r>
              <w:rPr>
                <w:sz w:val="17"/>
              </w:rPr>
            </w:r>
            <w:r>
              <w:rPr>
                <w:sz w:val="17"/>
              </w:rPr>
              <w:t>H,D,CA</w:t>
            </w:r>
          </w:p>
        </w:tc>
        <w:tc>
          <w:tcPr>
            <w:tcW w:type="dxa" w:w="856"/>
          </w:tcPr>
          <w:p>
            <w:r>
              <w:rPr>
                <w:sz w:val="17"/>
              </w:rPr>
            </w:r>
            <w:r>
              <w:rPr>
                <w:sz w:val="17"/>
              </w:rPr>
              <w:t>H,CA</w:t>
            </w:r>
          </w:p>
        </w:tc>
        <w:tc>
          <w:tcPr>
            <w:tcW w:type="dxa" w:w="677"/>
          </w:tcPr>
          <w:p>
            <w:r>
              <w:rPr>
                <w:sz w:val="17"/>
              </w:rPr>
            </w:r>
            <w:r>
              <w:rPr>
                <w:sz w:val="17"/>
              </w:rPr>
              <w:t>H,CA</w:t>
            </w:r>
          </w:p>
        </w:tc>
        <w:tc>
          <w:tcPr>
            <w:tcW w:type="dxa" w:w="856"/>
          </w:tcPr>
          <w:p>
            <w:r>
              <w:rPr>
                <w:sz w:val="17"/>
              </w:rPr>
            </w:r>
            <w:r>
              <w:rPr>
                <w:sz w:val="17"/>
              </w:rPr>
              <w:t>H,CA</w:t>
            </w:r>
          </w:p>
        </w:tc>
        <w:tc>
          <w:tcPr>
            <w:tcW w:type="dxa" w:w="856"/>
          </w:tcPr>
          <w:p>
            <w:r>
              <w:rPr>
                <w:sz w:val="17"/>
              </w:rPr>
            </w:r>
            <w:r>
              <w:rPr>
                <w:sz w:val="17"/>
              </w:rPr>
              <w:t>H,CA</w:t>
            </w:r>
          </w:p>
        </w:tc>
        <w:tc>
          <w:tcPr>
            <w:tcW w:type="dxa" w:w="856"/>
          </w:tcPr>
          <w:p>
            <w:r>
              <w:rPr>
                <w:sz w:val="17"/>
              </w:rPr>
            </w:r>
            <w:r>
              <w:rPr>
                <w:sz w:val="17"/>
              </w:rPr>
              <w:t>H,CA</w:t>
            </w:r>
          </w:p>
        </w:tc>
        <w:tc>
          <w:tcPr>
            <w:tcW w:type="dxa" w:w="677"/>
          </w:tcPr>
          <w:p>
            <w:r>
              <w:rPr>
                <w:sz w:val="17"/>
              </w:rPr>
            </w:r>
            <w:r>
              <w:rPr>
                <w:sz w:val="17"/>
              </w:rPr>
              <w:t>H,CA</w:t>
            </w:r>
          </w:p>
        </w:tc>
        <w:tc>
          <w:tcPr>
            <w:tcW w:type="dxa" w:w="677"/>
          </w:tcPr>
          <w:p>
            <w:r>
              <w:rPr>
                <w:sz w:val="17"/>
              </w:rPr>
            </w:r>
            <w:r>
              <w:rPr>
                <w:sz w:val="17"/>
              </w:rPr>
              <w:t>H,CA</w:t>
            </w:r>
          </w:p>
        </w:tc>
        <w:tc>
          <w:tcPr>
            <w:tcW w:type="dxa" w:w="856"/>
          </w:tcPr>
          <w:p>
            <w:r>
              <w:rPr>
                <w:sz w:val="17"/>
              </w:rPr>
            </w:r>
            <w:r>
              <w:rPr>
                <w:sz w:val="17"/>
              </w:rPr>
              <w:t>H,CA</w:t>
            </w:r>
          </w:p>
        </w:tc>
        <w:tc>
          <w:tcPr>
            <w:tcW w:type="dxa" w:w="856"/>
          </w:tcPr>
          <w:p>
            <w:r>
              <w:rPr>
                <w:sz w:val="17"/>
              </w:rPr>
            </w:r>
            <w:r>
              <w:rPr>
                <w:sz w:val="17"/>
              </w:rPr>
              <w:t>H,CA</w:t>
            </w:r>
          </w:p>
        </w:tc>
      </w:tr>
      <w:tr>
        <w:trPr>
          <w:cantSplit/>
        </w:trPr>
        <w:tc>
          <w:tcPr>
            <w:tcW w:type="dxa" w:w="539"/>
          </w:tcPr>
          <w:p>
            <w:r>
              <w:rPr>
                <w:sz w:val="17"/>
              </w:rPr>
            </w:r>
            <w:r>
              <w:rPr>
                <w:sz w:val="17"/>
              </w:rPr>
              <w:t>EL</w:t>
            </w:r>
          </w:p>
        </w:tc>
        <w:tc>
          <w:tcPr>
            <w:tcW w:type="dxa" w:w="549"/>
          </w:tcPr>
          <w:p>
            <w:r>
              <w:rPr>
                <w:sz w:val="17"/>
              </w:rPr>
            </w:r>
            <w:r>
              <w:rPr>
                <w:sz w:val="17"/>
              </w:rPr>
              <w:t>—</w:t>
            </w:r>
          </w:p>
        </w:tc>
        <w:tc>
          <w:tcPr>
            <w:tcW w:type="dxa" w:w="677"/>
          </w:tcPr>
          <w:p>
            <w:r>
              <w:rPr>
                <w:sz w:val="17"/>
              </w:rPr>
            </w:r>
            <w:r>
              <w:rPr>
                <w:sz w:val="17"/>
              </w:rPr>
              <w:t>—</w:t>
            </w:r>
          </w:p>
        </w:tc>
        <w:tc>
          <w:tcPr>
            <w:tcW w:type="dxa" w:w="677"/>
          </w:tcPr>
          <w:p>
            <w:r>
              <w:rPr>
                <w:sz w:val="17"/>
              </w:rPr>
            </w:r>
            <w:r>
              <w:rPr>
                <w:sz w:val="17"/>
              </w:rPr>
              <w:t>—</w:t>
            </w:r>
          </w:p>
        </w:tc>
        <w:tc>
          <w:tcPr>
            <w:tcW w:type="dxa" w:w="856"/>
          </w:tcPr>
          <w:p>
            <w:r>
              <w:rPr>
                <w:sz w:val="17"/>
              </w:rPr>
            </w:r>
            <w:r>
              <w:rPr>
                <w:sz w:val="17"/>
              </w:rPr>
              <w:t>—</w:t>
            </w:r>
          </w:p>
        </w:tc>
        <w:tc>
          <w:tcPr>
            <w:tcW w:type="dxa" w:w="856"/>
          </w:tcPr>
          <w:p>
            <w:r>
              <w:rPr>
                <w:sz w:val="17"/>
              </w:rPr>
            </w:r>
            <w:r>
              <w:rPr>
                <w:sz w:val="17"/>
              </w:rPr>
              <w:t>H,D,CA</w:t>
            </w:r>
          </w:p>
        </w:tc>
        <w:tc>
          <w:tcPr>
            <w:tcW w:type="dxa" w:w="677"/>
          </w:tcPr>
          <w:p>
            <w:r>
              <w:rPr>
                <w:sz w:val="17"/>
              </w:rPr>
            </w:r>
            <w:r>
              <w:rPr>
                <w:sz w:val="17"/>
              </w:rPr>
              <w:t>H,D</w:t>
            </w:r>
          </w:p>
        </w:tc>
        <w:tc>
          <w:tcPr>
            <w:tcW w:type="dxa" w:w="856"/>
          </w:tcPr>
          <w:p>
            <w:r>
              <w:rPr>
                <w:sz w:val="17"/>
              </w:rPr>
            </w:r>
            <w:r>
              <w:rPr>
                <w:sz w:val="17"/>
              </w:rPr>
              <w:t>H,CA</w:t>
            </w:r>
          </w:p>
        </w:tc>
        <w:tc>
          <w:tcPr>
            <w:tcW w:type="dxa" w:w="856"/>
          </w:tcPr>
          <w:p>
            <w:r>
              <w:rPr>
                <w:sz w:val="17"/>
              </w:rPr>
            </w:r>
            <w:r>
              <w:rPr>
                <w:sz w:val="17"/>
              </w:rPr>
              <w:t>H,CA</w:t>
            </w:r>
          </w:p>
        </w:tc>
        <w:tc>
          <w:tcPr>
            <w:tcW w:type="dxa" w:w="856"/>
          </w:tcPr>
          <w:p>
            <w:r>
              <w:rPr>
                <w:sz w:val="17"/>
              </w:rPr>
            </w:r>
            <w:r>
              <w:rPr>
                <w:sz w:val="17"/>
              </w:rPr>
              <w:t>H,CA</w:t>
            </w:r>
          </w:p>
        </w:tc>
        <w:tc>
          <w:tcPr>
            <w:tcW w:type="dxa" w:w="677"/>
          </w:tcPr>
          <w:p>
            <w:r>
              <w:rPr>
                <w:sz w:val="17"/>
              </w:rPr>
            </w:r>
            <w:r>
              <w:rPr>
                <w:sz w:val="17"/>
              </w:rPr>
              <w:t>H,CA</w:t>
            </w:r>
          </w:p>
        </w:tc>
        <w:tc>
          <w:tcPr>
            <w:tcW w:type="dxa" w:w="677"/>
          </w:tcPr>
          <w:p>
            <w:r>
              <w:rPr>
                <w:sz w:val="17"/>
              </w:rPr>
            </w:r>
            <w:r>
              <w:rPr>
                <w:sz w:val="17"/>
              </w:rPr>
              <w:t>H,CA</w:t>
            </w:r>
          </w:p>
        </w:tc>
        <w:tc>
          <w:tcPr>
            <w:tcW w:type="dxa" w:w="856"/>
          </w:tcPr>
          <w:p>
            <w:r>
              <w:rPr>
                <w:sz w:val="17"/>
              </w:rPr>
            </w:r>
            <w:r>
              <w:rPr>
                <w:sz w:val="17"/>
              </w:rPr>
              <w:t>H,CA</w:t>
            </w:r>
          </w:p>
        </w:tc>
        <w:tc>
          <w:tcPr>
            <w:tcW w:type="dxa" w:w="856"/>
          </w:tcPr>
          <w:p>
            <w:r>
              <w:rPr>
                <w:sz w:val="17"/>
              </w:rPr>
            </w:r>
            <w:r>
              <w:rPr>
                <w:sz w:val="17"/>
              </w:rPr>
              <w:t>H,CA</w:t>
            </w:r>
          </w:p>
        </w:tc>
      </w:tr>
      <w:tr>
        <w:trPr>
          <w:cantSplit/>
        </w:trPr>
        <w:tc>
          <w:tcPr>
            <w:tcW w:type="dxa" w:w="539"/>
          </w:tcPr>
          <w:p>
            <w:r>
              <w:rPr>
                <w:sz w:val="17"/>
              </w:rPr>
            </w:r>
            <w:r>
              <w:rPr>
                <w:sz w:val="17"/>
              </w:rPr>
              <w:t>LI</w:t>
            </w:r>
          </w:p>
        </w:tc>
        <w:tc>
          <w:tcPr>
            <w:tcW w:type="dxa" w:w="549"/>
          </w:tcPr>
          <w:p>
            <w:r>
              <w:rPr>
                <w:sz w:val="17"/>
              </w:rPr>
            </w:r>
            <w:r>
              <w:rPr>
                <w:sz w:val="17"/>
              </w:rPr>
              <w:t>—</w:t>
            </w:r>
          </w:p>
        </w:tc>
        <w:tc>
          <w:tcPr>
            <w:tcW w:type="dxa" w:w="677"/>
          </w:tcPr>
          <w:p>
            <w:r>
              <w:rPr>
                <w:sz w:val="17"/>
              </w:rPr>
            </w:r>
            <w:r>
              <w:rPr>
                <w:sz w:val="17"/>
              </w:rPr>
              <w:t>—</w:t>
            </w:r>
          </w:p>
        </w:tc>
        <w:tc>
          <w:tcPr>
            <w:tcW w:type="dxa" w:w="677"/>
          </w:tcPr>
          <w:p>
            <w:r>
              <w:rPr>
                <w:sz w:val="17"/>
              </w:rPr>
            </w:r>
            <w:r>
              <w:rPr>
                <w:sz w:val="17"/>
              </w:rPr>
              <w:t>—</w:t>
            </w:r>
          </w:p>
        </w:tc>
        <w:tc>
          <w:tcPr>
            <w:tcW w:type="dxa" w:w="856"/>
          </w:tcPr>
          <w:p>
            <w:r>
              <w:rPr>
                <w:sz w:val="17"/>
              </w:rPr>
            </w:r>
            <w:r>
              <w:rPr>
                <w:sz w:val="17"/>
              </w:rPr>
              <w:t>—</w:t>
            </w:r>
          </w:p>
        </w:tc>
        <w:tc>
          <w:tcPr>
            <w:tcW w:type="dxa" w:w="856"/>
          </w:tcPr>
          <w:p>
            <w:r>
              <w:rPr>
                <w:sz w:val="17"/>
              </w:rPr>
            </w:r>
            <w:r>
              <w:rPr>
                <w:sz w:val="17"/>
              </w:rPr>
              <w:t>—</w:t>
            </w:r>
          </w:p>
        </w:tc>
        <w:tc>
          <w:tcPr>
            <w:tcW w:type="dxa" w:w="677"/>
          </w:tcPr>
          <w:p>
            <w:r>
              <w:rPr>
                <w:sz w:val="17"/>
              </w:rPr>
            </w:r>
            <w:r>
              <w:rPr>
                <w:sz w:val="17"/>
              </w:rPr>
              <w:t>H,D</w:t>
            </w:r>
          </w:p>
        </w:tc>
        <w:tc>
          <w:tcPr>
            <w:tcW w:type="dxa" w:w="856"/>
          </w:tcPr>
          <w:p>
            <w:r>
              <w:rPr>
                <w:sz w:val="17"/>
              </w:rPr>
            </w:r>
            <w:r>
              <w:rPr>
                <w:sz w:val="17"/>
              </w:rPr>
              <w:t>H,CA</w:t>
            </w:r>
          </w:p>
        </w:tc>
        <w:tc>
          <w:tcPr>
            <w:tcW w:type="dxa" w:w="856"/>
          </w:tcPr>
          <w:p>
            <w:r>
              <w:rPr>
                <w:sz w:val="17"/>
              </w:rPr>
            </w:r>
            <w:r>
              <w:rPr>
                <w:sz w:val="17"/>
              </w:rPr>
              <w:t>H,CA</w:t>
            </w:r>
          </w:p>
        </w:tc>
        <w:tc>
          <w:tcPr>
            <w:tcW w:type="dxa" w:w="856"/>
          </w:tcPr>
          <w:p>
            <w:r>
              <w:rPr>
                <w:sz w:val="17"/>
              </w:rPr>
            </w:r>
            <w:r>
              <w:rPr>
                <w:sz w:val="17"/>
              </w:rPr>
              <w:t>H,CA</w:t>
            </w:r>
          </w:p>
        </w:tc>
        <w:tc>
          <w:tcPr>
            <w:tcW w:type="dxa" w:w="677"/>
          </w:tcPr>
          <w:p>
            <w:r>
              <w:rPr>
                <w:sz w:val="17"/>
              </w:rPr>
            </w:r>
            <w:r>
              <w:rPr>
                <w:sz w:val="17"/>
              </w:rPr>
              <w:t>H,CA</w:t>
            </w:r>
          </w:p>
        </w:tc>
        <w:tc>
          <w:tcPr>
            <w:tcW w:type="dxa" w:w="677"/>
          </w:tcPr>
          <w:p>
            <w:r>
              <w:rPr>
                <w:sz w:val="17"/>
              </w:rPr>
            </w:r>
            <w:r>
              <w:rPr>
                <w:sz w:val="17"/>
              </w:rPr>
              <w:t>H,CA</w:t>
            </w:r>
          </w:p>
        </w:tc>
        <w:tc>
          <w:tcPr>
            <w:tcW w:type="dxa" w:w="856"/>
          </w:tcPr>
          <w:p>
            <w:r>
              <w:rPr>
                <w:sz w:val="17"/>
              </w:rPr>
            </w:r>
            <w:r>
              <w:rPr>
                <w:sz w:val="17"/>
              </w:rPr>
              <w:t>H,CA</w:t>
            </w:r>
          </w:p>
        </w:tc>
        <w:tc>
          <w:tcPr>
            <w:tcW w:type="dxa" w:w="856"/>
          </w:tcPr>
          <w:p>
            <w:r>
              <w:rPr>
                <w:sz w:val="17"/>
              </w:rPr>
            </w:r>
            <w:r>
              <w:rPr>
                <w:sz w:val="17"/>
              </w:rPr>
              <w:t>H</w:t>
            </w:r>
          </w:p>
        </w:tc>
      </w:tr>
      <w:tr>
        <w:trPr>
          <w:cantSplit/>
        </w:trPr>
        <w:tc>
          <w:tcPr>
            <w:tcW w:type="dxa" w:w="539"/>
          </w:tcPr>
          <w:p>
            <w:r>
              <w:rPr>
                <w:sz w:val="17"/>
              </w:rPr>
            </w:r>
            <w:r>
              <w:rPr>
                <w:sz w:val="17"/>
              </w:rPr>
              <w:t>WS</w:t>
            </w:r>
          </w:p>
        </w:tc>
        <w:tc>
          <w:tcPr>
            <w:tcW w:type="dxa" w:w="549"/>
          </w:tcPr>
          <w:p>
            <w:r>
              <w:rPr>
                <w:sz w:val="17"/>
              </w:rPr>
            </w:r>
            <w:r>
              <w:rPr>
                <w:sz w:val="17"/>
              </w:rPr>
              <w:t>—</w:t>
            </w:r>
          </w:p>
        </w:tc>
        <w:tc>
          <w:tcPr>
            <w:tcW w:type="dxa" w:w="677"/>
          </w:tcPr>
          <w:p>
            <w:r>
              <w:rPr>
                <w:sz w:val="17"/>
              </w:rPr>
            </w:r>
            <w:r>
              <w:rPr>
                <w:sz w:val="17"/>
              </w:rPr>
              <w:t>—</w:t>
            </w:r>
          </w:p>
        </w:tc>
        <w:tc>
          <w:tcPr>
            <w:tcW w:type="dxa" w:w="677"/>
          </w:tcPr>
          <w:p>
            <w:r>
              <w:rPr>
                <w:sz w:val="17"/>
              </w:rPr>
            </w:r>
            <w:r>
              <w:rPr>
                <w:sz w:val="17"/>
              </w:rPr>
              <w:t>—</w:t>
            </w:r>
          </w:p>
        </w:tc>
        <w:tc>
          <w:tcPr>
            <w:tcW w:type="dxa" w:w="856"/>
          </w:tcPr>
          <w:p>
            <w:r>
              <w:rPr>
                <w:sz w:val="17"/>
              </w:rPr>
            </w:r>
            <w:r>
              <w:rPr>
                <w:sz w:val="17"/>
              </w:rPr>
              <w:t>—</w:t>
            </w:r>
          </w:p>
        </w:tc>
        <w:tc>
          <w:tcPr>
            <w:tcW w:type="dxa" w:w="856"/>
          </w:tcPr>
          <w:p>
            <w:r>
              <w:rPr>
                <w:sz w:val="17"/>
              </w:rPr>
            </w:r>
            <w:r>
              <w:rPr>
                <w:sz w:val="17"/>
              </w:rPr>
              <w:t>—</w:t>
            </w:r>
          </w:p>
        </w:tc>
        <w:tc>
          <w:tcPr>
            <w:tcW w:type="dxa" w:w="677"/>
          </w:tcPr>
          <w:p>
            <w:r>
              <w:rPr>
                <w:sz w:val="17"/>
              </w:rPr>
            </w:r>
            <w:r>
              <w:rPr>
                <w:sz w:val="17"/>
              </w:rPr>
              <w:t>—</w:t>
            </w:r>
          </w:p>
        </w:tc>
        <w:tc>
          <w:tcPr>
            <w:tcW w:type="dxa" w:w="856"/>
          </w:tcPr>
          <w:p>
            <w:r>
              <w:rPr>
                <w:sz w:val="17"/>
              </w:rPr>
            </w:r>
            <w:r>
              <w:rPr>
                <w:sz w:val="17"/>
              </w:rPr>
              <w:t>H,D,CA</w:t>
            </w:r>
          </w:p>
        </w:tc>
        <w:tc>
          <w:tcPr>
            <w:tcW w:type="dxa" w:w="856"/>
          </w:tcPr>
          <w:p>
            <w:r>
              <w:rPr>
                <w:sz w:val="17"/>
              </w:rPr>
            </w:r>
            <w:r>
              <w:rPr>
                <w:sz w:val="17"/>
              </w:rPr>
              <w:t>H,CA</w:t>
            </w:r>
          </w:p>
        </w:tc>
        <w:tc>
          <w:tcPr>
            <w:tcW w:type="dxa" w:w="856"/>
          </w:tcPr>
          <w:p>
            <w:r>
              <w:rPr>
                <w:sz w:val="17"/>
              </w:rPr>
            </w:r>
            <w:r>
              <w:rPr>
                <w:sz w:val="17"/>
              </w:rPr>
              <w:t>H,CA</w:t>
            </w:r>
          </w:p>
        </w:tc>
        <w:tc>
          <w:tcPr>
            <w:tcW w:type="dxa" w:w="677"/>
          </w:tcPr>
          <w:p>
            <w:r>
              <w:rPr>
                <w:sz w:val="17"/>
              </w:rPr>
            </w:r>
            <w:r>
              <w:rPr>
                <w:sz w:val="17"/>
              </w:rPr>
              <w:t>H,CA</w:t>
            </w:r>
          </w:p>
        </w:tc>
        <w:tc>
          <w:tcPr>
            <w:tcW w:type="dxa" w:w="677"/>
          </w:tcPr>
          <w:p>
            <w:r>
              <w:rPr>
                <w:sz w:val="17"/>
              </w:rPr>
            </w:r>
            <w:r>
              <w:rPr>
                <w:sz w:val="17"/>
              </w:rPr>
              <w:t>H,CA</w:t>
            </w:r>
          </w:p>
        </w:tc>
        <w:tc>
          <w:tcPr>
            <w:tcW w:type="dxa" w:w="856"/>
          </w:tcPr>
          <w:p>
            <w:r>
              <w:rPr>
                <w:sz w:val="17"/>
              </w:rPr>
            </w:r>
            <w:r>
              <w:rPr>
                <w:sz w:val="17"/>
              </w:rPr>
              <w:t>H,CA</w:t>
            </w:r>
          </w:p>
        </w:tc>
        <w:tc>
          <w:tcPr>
            <w:tcW w:type="dxa" w:w="856"/>
          </w:tcPr>
          <w:p>
            <w:r>
              <w:rPr>
                <w:sz w:val="17"/>
              </w:rPr>
            </w:r>
            <w:r>
              <w:rPr>
                <w:sz w:val="17"/>
              </w:rPr>
              <w:t>H,CA</w:t>
            </w:r>
          </w:p>
        </w:tc>
      </w:tr>
      <w:tr>
        <w:trPr>
          <w:cantSplit/>
        </w:trPr>
        <w:tc>
          <w:tcPr>
            <w:tcW w:type="dxa" w:w="539"/>
          </w:tcPr>
          <w:p>
            <w:r>
              <w:rPr>
                <w:sz w:val="17"/>
              </w:rPr>
            </w:r>
            <w:r>
              <w:rPr>
                <w:sz w:val="17"/>
              </w:rPr>
              <w:t>DR</w:t>
            </w:r>
          </w:p>
        </w:tc>
        <w:tc>
          <w:tcPr>
            <w:tcW w:type="dxa" w:w="549"/>
          </w:tcPr>
          <w:p>
            <w:r>
              <w:rPr>
                <w:sz w:val="17"/>
              </w:rPr>
            </w:r>
            <w:r>
              <w:rPr>
                <w:sz w:val="17"/>
              </w:rPr>
              <w:t>—</w:t>
            </w:r>
          </w:p>
        </w:tc>
        <w:tc>
          <w:tcPr>
            <w:tcW w:type="dxa" w:w="677"/>
          </w:tcPr>
          <w:p>
            <w:r>
              <w:rPr>
                <w:sz w:val="17"/>
              </w:rPr>
            </w:r>
            <w:r>
              <w:rPr>
                <w:sz w:val="17"/>
              </w:rPr>
              <w:t>—</w:t>
            </w:r>
          </w:p>
        </w:tc>
        <w:tc>
          <w:tcPr>
            <w:tcW w:type="dxa" w:w="677"/>
          </w:tcPr>
          <w:p>
            <w:r>
              <w:rPr>
                <w:sz w:val="17"/>
              </w:rPr>
            </w:r>
            <w:r>
              <w:rPr>
                <w:sz w:val="17"/>
              </w:rPr>
              <w:t>—</w:t>
            </w:r>
          </w:p>
        </w:tc>
        <w:tc>
          <w:tcPr>
            <w:tcW w:type="dxa" w:w="856"/>
          </w:tcPr>
          <w:p>
            <w:r>
              <w:rPr>
                <w:sz w:val="17"/>
              </w:rPr>
            </w:r>
            <w:r>
              <w:rPr>
                <w:sz w:val="17"/>
              </w:rPr>
              <w:t>—</w:t>
            </w:r>
          </w:p>
        </w:tc>
        <w:tc>
          <w:tcPr>
            <w:tcW w:type="dxa" w:w="856"/>
          </w:tcPr>
          <w:p>
            <w:r>
              <w:rPr>
                <w:sz w:val="17"/>
              </w:rPr>
            </w:r>
            <w:r>
              <w:rPr>
                <w:sz w:val="17"/>
              </w:rPr>
              <w:t>—</w:t>
            </w:r>
          </w:p>
        </w:tc>
        <w:tc>
          <w:tcPr>
            <w:tcW w:type="dxa" w:w="677"/>
          </w:tcPr>
          <w:p>
            <w:r>
              <w:rPr>
                <w:sz w:val="17"/>
              </w:rPr>
            </w:r>
            <w:r>
              <w:rPr>
                <w:sz w:val="17"/>
              </w:rPr>
              <w:t>—</w:t>
            </w:r>
          </w:p>
        </w:tc>
        <w:tc>
          <w:tcPr>
            <w:tcW w:type="dxa" w:w="856"/>
          </w:tcPr>
          <w:p>
            <w:r>
              <w:rPr>
                <w:sz w:val="17"/>
              </w:rPr>
            </w:r>
            <w:r>
              <w:rPr>
                <w:sz w:val="17"/>
              </w:rPr>
              <w:t>—</w:t>
            </w:r>
          </w:p>
        </w:tc>
        <w:tc>
          <w:tcPr>
            <w:tcW w:type="dxa" w:w="856"/>
          </w:tcPr>
          <w:p>
            <w:r>
              <w:rPr>
                <w:sz w:val="17"/>
              </w:rPr>
            </w:r>
            <w:r>
              <w:rPr>
                <w:sz w:val="17"/>
              </w:rPr>
              <w:t>H,D,CA</w:t>
            </w:r>
          </w:p>
        </w:tc>
        <w:tc>
          <w:tcPr>
            <w:tcW w:type="dxa" w:w="856"/>
          </w:tcPr>
          <w:p>
            <w:r>
              <w:rPr>
                <w:sz w:val="17"/>
              </w:rPr>
            </w:r>
            <w:r>
              <w:rPr>
                <w:sz w:val="17"/>
              </w:rPr>
              <w:t>H,CA</w:t>
            </w:r>
          </w:p>
        </w:tc>
        <w:tc>
          <w:tcPr>
            <w:tcW w:type="dxa" w:w="677"/>
          </w:tcPr>
          <w:p>
            <w:r>
              <w:rPr>
                <w:sz w:val="17"/>
              </w:rPr>
            </w:r>
            <w:r>
              <w:rPr>
                <w:sz w:val="17"/>
              </w:rPr>
              <w:t>H,CA</w:t>
            </w:r>
          </w:p>
        </w:tc>
        <w:tc>
          <w:tcPr>
            <w:tcW w:type="dxa" w:w="677"/>
          </w:tcPr>
          <w:p>
            <w:r>
              <w:rPr>
                <w:sz w:val="17"/>
              </w:rPr>
            </w:r>
            <w:r>
              <w:rPr>
                <w:sz w:val="17"/>
              </w:rPr>
              <w:t>H,CA</w:t>
            </w:r>
          </w:p>
        </w:tc>
        <w:tc>
          <w:tcPr>
            <w:tcW w:type="dxa" w:w="856"/>
          </w:tcPr>
          <w:p>
            <w:r>
              <w:rPr>
                <w:sz w:val="17"/>
              </w:rPr>
            </w:r>
            <w:r>
              <w:rPr>
                <w:sz w:val="17"/>
              </w:rPr>
              <w:t>H,CA</w:t>
            </w:r>
          </w:p>
        </w:tc>
        <w:tc>
          <w:tcPr>
            <w:tcW w:type="dxa" w:w="856"/>
          </w:tcPr>
          <w:p>
            <w:r>
              <w:rPr>
                <w:sz w:val="17"/>
              </w:rPr>
            </w:r>
            <w:r>
              <w:rPr>
                <w:sz w:val="17"/>
              </w:rPr>
              <w:t>H,CA</w:t>
            </w:r>
          </w:p>
        </w:tc>
      </w:tr>
      <w:tr>
        <w:trPr>
          <w:cantSplit/>
        </w:trPr>
        <w:tc>
          <w:tcPr>
            <w:tcW w:type="dxa" w:w="539"/>
          </w:tcPr>
          <w:p>
            <w:r>
              <w:rPr>
                <w:sz w:val="17"/>
              </w:rPr>
            </w:r>
            <w:r>
              <w:rPr>
                <w:sz w:val="17"/>
              </w:rPr>
              <w:t>FF</w:t>
            </w:r>
          </w:p>
        </w:tc>
        <w:tc>
          <w:tcPr>
            <w:tcW w:type="dxa" w:w="549"/>
          </w:tcPr>
          <w:p>
            <w:r>
              <w:rPr>
                <w:sz w:val="17"/>
              </w:rPr>
            </w:r>
            <w:r>
              <w:rPr>
                <w:sz w:val="17"/>
              </w:rPr>
              <w:t>—</w:t>
            </w:r>
          </w:p>
        </w:tc>
        <w:tc>
          <w:tcPr>
            <w:tcW w:type="dxa" w:w="677"/>
          </w:tcPr>
          <w:p>
            <w:r>
              <w:rPr>
                <w:sz w:val="17"/>
              </w:rPr>
            </w:r>
            <w:r>
              <w:rPr>
                <w:sz w:val="17"/>
              </w:rPr>
              <w:t>—</w:t>
            </w:r>
          </w:p>
        </w:tc>
        <w:tc>
          <w:tcPr>
            <w:tcW w:type="dxa" w:w="677"/>
          </w:tcPr>
          <w:p>
            <w:r>
              <w:rPr>
                <w:sz w:val="17"/>
              </w:rPr>
            </w:r>
            <w:r>
              <w:rPr>
                <w:sz w:val="17"/>
              </w:rPr>
              <w:t>—</w:t>
            </w:r>
          </w:p>
        </w:tc>
        <w:tc>
          <w:tcPr>
            <w:tcW w:type="dxa" w:w="856"/>
          </w:tcPr>
          <w:p>
            <w:r>
              <w:rPr>
                <w:sz w:val="17"/>
              </w:rPr>
            </w:r>
            <w:r>
              <w:rPr>
                <w:sz w:val="17"/>
              </w:rPr>
              <w:t>—</w:t>
            </w:r>
          </w:p>
        </w:tc>
        <w:tc>
          <w:tcPr>
            <w:tcW w:type="dxa" w:w="856"/>
          </w:tcPr>
          <w:p>
            <w:r>
              <w:rPr>
                <w:sz w:val="17"/>
              </w:rPr>
            </w:r>
            <w:r>
              <w:rPr>
                <w:sz w:val="17"/>
              </w:rPr>
              <w:t>—</w:t>
            </w:r>
          </w:p>
        </w:tc>
        <w:tc>
          <w:tcPr>
            <w:tcW w:type="dxa" w:w="677"/>
          </w:tcPr>
          <w:p>
            <w:r>
              <w:rPr>
                <w:sz w:val="17"/>
              </w:rPr>
            </w:r>
            <w:r>
              <w:rPr>
                <w:sz w:val="17"/>
              </w:rPr>
              <w:t>—</w:t>
            </w:r>
          </w:p>
        </w:tc>
        <w:tc>
          <w:tcPr>
            <w:tcW w:type="dxa" w:w="856"/>
          </w:tcPr>
          <w:p>
            <w:r>
              <w:rPr>
                <w:sz w:val="17"/>
              </w:rPr>
            </w:r>
            <w:r>
              <w:rPr>
                <w:sz w:val="17"/>
              </w:rPr>
              <w:t>—</w:t>
            </w:r>
          </w:p>
        </w:tc>
        <w:tc>
          <w:tcPr>
            <w:tcW w:type="dxa" w:w="856"/>
          </w:tcPr>
          <w:p>
            <w:r>
              <w:rPr>
                <w:sz w:val="17"/>
              </w:rPr>
            </w:r>
            <w:r>
              <w:rPr>
                <w:sz w:val="17"/>
              </w:rPr>
              <w:t>—</w:t>
            </w:r>
          </w:p>
        </w:tc>
        <w:tc>
          <w:tcPr>
            <w:tcW w:type="dxa" w:w="856"/>
          </w:tcPr>
          <w:p>
            <w:r>
              <w:rPr>
                <w:sz w:val="17"/>
              </w:rPr>
            </w:r>
            <w:r>
              <w:rPr>
                <w:sz w:val="17"/>
              </w:rPr>
              <w:t>H,D,CA</w:t>
            </w:r>
          </w:p>
        </w:tc>
        <w:tc>
          <w:tcPr>
            <w:tcW w:type="dxa" w:w="677"/>
          </w:tcPr>
          <w:p>
            <w:r>
              <w:rPr>
                <w:sz w:val="17"/>
              </w:rPr>
            </w:r>
            <w:r>
              <w:rPr>
                <w:sz w:val="17"/>
              </w:rPr>
              <w:t>H,CA</w:t>
            </w:r>
          </w:p>
        </w:tc>
        <w:tc>
          <w:tcPr>
            <w:tcW w:type="dxa" w:w="677"/>
          </w:tcPr>
          <w:p>
            <w:r>
              <w:rPr>
                <w:sz w:val="17"/>
              </w:rPr>
            </w:r>
            <w:r>
              <w:rPr>
                <w:sz w:val="17"/>
              </w:rPr>
              <w:t>H,CA</w:t>
            </w:r>
          </w:p>
        </w:tc>
        <w:tc>
          <w:tcPr>
            <w:tcW w:type="dxa" w:w="856"/>
          </w:tcPr>
          <w:p>
            <w:r>
              <w:rPr>
                <w:sz w:val="17"/>
              </w:rPr>
            </w:r>
            <w:r>
              <w:rPr>
                <w:sz w:val="17"/>
              </w:rPr>
              <w:t>H,CA</w:t>
            </w:r>
          </w:p>
        </w:tc>
        <w:tc>
          <w:tcPr>
            <w:tcW w:type="dxa" w:w="856"/>
          </w:tcPr>
          <w:p>
            <w:r>
              <w:rPr>
                <w:sz w:val="17"/>
              </w:rPr>
            </w:r>
            <w:r>
              <w:rPr>
                <w:sz w:val="17"/>
              </w:rPr>
              <w:t>H,CA</w:t>
            </w:r>
          </w:p>
        </w:tc>
      </w:tr>
      <w:tr>
        <w:trPr>
          <w:cantSplit/>
        </w:trPr>
        <w:tc>
          <w:tcPr>
            <w:tcW w:type="dxa" w:w="539"/>
          </w:tcPr>
          <w:p>
            <w:r>
              <w:rPr>
                <w:sz w:val="17"/>
              </w:rPr>
            </w:r>
            <w:r>
              <w:rPr>
                <w:sz w:val="17"/>
              </w:rPr>
              <w:t>LS</w:t>
            </w:r>
          </w:p>
        </w:tc>
        <w:tc>
          <w:tcPr>
            <w:tcW w:type="dxa" w:w="549"/>
          </w:tcPr>
          <w:p>
            <w:r>
              <w:rPr>
                <w:sz w:val="17"/>
              </w:rPr>
            </w:r>
            <w:r>
              <w:rPr>
                <w:sz w:val="17"/>
              </w:rPr>
              <w:t>—</w:t>
            </w:r>
          </w:p>
        </w:tc>
        <w:tc>
          <w:tcPr>
            <w:tcW w:type="dxa" w:w="677"/>
          </w:tcPr>
          <w:p>
            <w:r>
              <w:rPr>
                <w:sz w:val="17"/>
              </w:rPr>
            </w:r>
            <w:r>
              <w:rPr>
                <w:sz w:val="17"/>
              </w:rPr>
              <w:t>—</w:t>
            </w:r>
          </w:p>
        </w:tc>
        <w:tc>
          <w:tcPr>
            <w:tcW w:type="dxa" w:w="677"/>
          </w:tcPr>
          <w:p>
            <w:r>
              <w:rPr>
                <w:sz w:val="17"/>
              </w:rPr>
            </w:r>
            <w:r>
              <w:rPr>
                <w:sz w:val="17"/>
              </w:rPr>
              <w:t>—</w:t>
            </w:r>
          </w:p>
        </w:tc>
        <w:tc>
          <w:tcPr>
            <w:tcW w:type="dxa" w:w="856"/>
          </w:tcPr>
          <w:p>
            <w:r>
              <w:rPr>
                <w:sz w:val="17"/>
              </w:rPr>
            </w:r>
            <w:r>
              <w:rPr>
                <w:sz w:val="17"/>
              </w:rPr>
              <w:t>—</w:t>
            </w:r>
          </w:p>
        </w:tc>
        <w:tc>
          <w:tcPr>
            <w:tcW w:type="dxa" w:w="856"/>
          </w:tcPr>
          <w:p>
            <w:r>
              <w:rPr>
                <w:sz w:val="17"/>
              </w:rPr>
            </w:r>
            <w:r>
              <w:rPr>
                <w:sz w:val="17"/>
              </w:rPr>
              <w:t>—</w:t>
            </w:r>
          </w:p>
        </w:tc>
        <w:tc>
          <w:tcPr>
            <w:tcW w:type="dxa" w:w="677"/>
          </w:tcPr>
          <w:p>
            <w:r>
              <w:rPr>
                <w:sz w:val="17"/>
              </w:rPr>
            </w:r>
            <w:r>
              <w:rPr>
                <w:sz w:val="17"/>
              </w:rPr>
              <w:t>—</w:t>
            </w:r>
          </w:p>
        </w:tc>
        <w:tc>
          <w:tcPr>
            <w:tcW w:type="dxa" w:w="856"/>
          </w:tcPr>
          <w:p>
            <w:r>
              <w:rPr>
                <w:sz w:val="17"/>
              </w:rPr>
            </w:r>
            <w:r>
              <w:rPr>
                <w:sz w:val="17"/>
              </w:rPr>
              <w:t>—</w:t>
            </w:r>
          </w:p>
        </w:tc>
        <w:tc>
          <w:tcPr>
            <w:tcW w:type="dxa" w:w="856"/>
          </w:tcPr>
          <w:p>
            <w:r>
              <w:rPr>
                <w:sz w:val="17"/>
              </w:rPr>
            </w:r>
            <w:r>
              <w:rPr>
                <w:sz w:val="17"/>
              </w:rPr>
              <w:t>—</w:t>
            </w:r>
          </w:p>
        </w:tc>
        <w:tc>
          <w:tcPr>
            <w:tcW w:type="dxa" w:w="856"/>
          </w:tcPr>
          <w:p>
            <w:r>
              <w:rPr>
                <w:sz w:val="17"/>
              </w:rPr>
            </w:r>
            <w:r>
              <w:rPr>
                <w:sz w:val="17"/>
              </w:rPr>
              <w:t>—</w:t>
            </w:r>
          </w:p>
        </w:tc>
        <w:tc>
          <w:tcPr>
            <w:tcW w:type="dxa" w:w="677"/>
          </w:tcPr>
          <w:p>
            <w:r>
              <w:rPr>
                <w:sz w:val="17"/>
              </w:rPr>
            </w:r>
            <w:r>
              <w:rPr>
                <w:sz w:val="17"/>
              </w:rPr>
              <w:t>H,D</w:t>
            </w:r>
          </w:p>
        </w:tc>
        <w:tc>
          <w:tcPr>
            <w:tcW w:type="dxa" w:w="677"/>
          </w:tcPr>
          <w:p>
            <w:r>
              <w:rPr>
                <w:sz w:val="17"/>
              </w:rPr>
            </w:r>
            <w:r>
              <w:rPr>
                <w:sz w:val="17"/>
              </w:rPr>
              <w:t>H,CA</w:t>
            </w:r>
          </w:p>
        </w:tc>
        <w:tc>
          <w:tcPr>
            <w:tcW w:type="dxa" w:w="856"/>
          </w:tcPr>
          <w:p>
            <w:r>
              <w:rPr>
                <w:sz w:val="17"/>
              </w:rPr>
            </w:r>
            <w:r>
              <w:rPr>
                <w:sz w:val="17"/>
              </w:rPr>
              <w:t>H,CA</w:t>
            </w:r>
          </w:p>
        </w:tc>
        <w:tc>
          <w:tcPr>
            <w:tcW w:type="dxa" w:w="856"/>
          </w:tcPr>
          <w:p>
            <w:r>
              <w:rPr>
                <w:sz w:val="17"/>
              </w:rPr>
            </w:r>
            <w:r>
              <w:rPr>
                <w:sz w:val="17"/>
              </w:rPr>
              <w:t>H,CA</w:t>
            </w:r>
          </w:p>
        </w:tc>
      </w:tr>
      <w:tr>
        <w:trPr>
          <w:cantSplit/>
        </w:trPr>
        <w:tc>
          <w:tcPr>
            <w:tcW w:type="dxa" w:w="539"/>
          </w:tcPr>
          <w:p>
            <w:r>
              <w:rPr>
                <w:sz w:val="17"/>
              </w:rPr>
            </w:r>
            <w:r>
              <w:rPr>
                <w:sz w:val="17"/>
              </w:rPr>
              <w:t>CI</w:t>
            </w:r>
          </w:p>
        </w:tc>
        <w:tc>
          <w:tcPr>
            <w:tcW w:type="dxa" w:w="549"/>
          </w:tcPr>
          <w:p>
            <w:r>
              <w:rPr>
                <w:sz w:val="17"/>
              </w:rPr>
            </w:r>
            <w:r>
              <w:rPr>
                <w:sz w:val="17"/>
              </w:rPr>
              <w:t>—</w:t>
            </w:r>
          </w:p>
        </w:tc>
        <w:tc>
          <w:tcPr>
            <w:tcW w:type="dxa" w:w="677"/>
          </w:tcPr>
          <w:p>
            <w:r>
              <w:rPr>
                <w:sz w:val="17"/>
              </w:rPr>
            </w:r>
            <w:r>
              <w:rPr>
                <w:sz w:val="17"/>
              </w:rPr>
              <w:t>—</w:t>
            </w:r>
          </w:p>
        </w:tc>
        <w:tc>
          <w:tcPr>
            <w:tcW w:type="dxa" w:w="677"/>
          </w:tcPr>
          <w:p>
            <w:r>
              <w:rPr>
                <w:sz w:val="17"/>
              </w:rPr>
            </w:r>
            <w:r>
              <w:rPr>
                <w:sz w:val="17"/>
              </w:rPr>
              <w:t>—</w:t>
            </w:r>
          </w:p>
        </w:tc>
        <w:tc>
          <w:tcPr>
            <w:tcW w:type="dxa" w:w="856"/>
          </w:tcPr>
          <w:p>
            <w:r>
              <w:rPr>
                <w:sz w:val="17"/>
              </w:rPr>
            </w:r>
            <w:r>
              <w:rPr>
                <w:sz w:val="17"/>
              </w:rPr>
              <w:t>—</w:t>
            </w:r>
          </w:p>
        </w:tc>
        <w:tc>
          <w:tcPr>
            <w:tcW w:type="dxa" w:w="856"/>
          </w:tcPr>
          <w:p>
            <w:r>
              <w:rPr>
                <w:sz w:val="17"/>
              </w:rPr>
            </w:r>
            <w:r>
              <w:rPr>
                <w:sz w:val="17"/>
              </w:rPr>
              <w:t>—</w:t>
            </w:r>
          </w:p>
        </w:tc>
        <w:tc>
          <w:tcPr>
            <w:tcW w:type="dxa" w:w="677"/>
          </w:tcPr>
          <w:p>
            <w:r>
              <w:rPr>
                <w:sz w:val="17"/>
              </w:rPr>
            </w:r>
            <w:r>
              <w:rPr>
                <w:sz w:val="17"/>
              </w:rPr>
              <w:t>—</w:t>
            </w:r>
          </w:p>
        </w:tc>
        <w:tc>
          <w:tcPr>
            <w:tcW w:type="dxa" w:w="856"/>
          </w:tcPr>
          <w:p>
            <w:r>
              <w:rPr>
                <w:sz w:val="17"/>
              </w:rPr>
            </w:r>
            <w:r>
              <w:rPr>
                <w:sz w:val="17"/>
              </w:rPr>
              <w:t>—</w:t>
            </w:r>
          </w:p>
        </w:tc>
        <w:tc>
          <w:tcPr>
            <w:tcW w:type="dxa" w:w="856"/>
          </w:tcPr>
          <w:p>
            <w:r>
              <w:rPr>
                <w:sz w:val="17"/>
              </w:rPr>
            </w:r>
            <w:r>
              <w:rPr>
                <w:sz w:val="17"/>
              </w:rPr>
              <w:t>—</w:t>
            </w:r>
          </w:p>
        </w:tc>
        <w:tc>
          <w:tcPr>
            <w:tcW w:type="dxa" w:w="856"/>
          </w:tcPr>
          <w:p>
            <w:r>
              <w:rPr>
                <w:sz w:val="17"/>
              </w:rPr>
            </w:r>
            <w:r>
              <w:rPr>
                <w:sz w:val="17"/>
              </w:rPr>
              <w:t>—</w:t>
            </w:r>
          </w:p>
        </w:tc>
        <w:tc>
          <w:tcPr>
            <w:tcW w:type="dxa" w:w="677"/>
          </w:tcPr>
          <w:p>
            <w:r>
              <w:rPr>
                <w:sz w:val="17"/>
              </w:rPr>
            </w:r>
            <w:r>
              <w:rPr>
                <w:sz w:val="17"/>
              </w:rPr>
              <w:t>—</w:t>
            </w:r>
          </w:p>
        </w:tc>
        <w:tc>
          <w:tcPr>
            <w:tcW w:type="dxa" w:w="677"/>
          </w:tcPr>
          <w:p>
            <w:r>
              <w:rPr>
                <w:sz w:val="17"/>
              </w:rPr>
            </w:r>
            <w:r>
              <w:rPr>
                <w:sz w:val="17"/>
              </w:rPr>
              <w:t>H,D</w:t>
            </w:r>
          </w:p>
        </w:tc>
        <w:tc>
          <w:tcPr>
            <w:tcW w:type="dxa" w:w="856"/>
          </w:tcPr>
          <w:p>
            <w:r>
              <w:rPr>
                <w:sz w:val="17"/>
              </w:rPr>
            </w:r>
            <w:r>
              <w:rPr>
                <w:sz w:val="17"/>
              </w:rPr>
              <w:t>H,CA</w:t>
            </w:r>
          </w:p>
        </w:tc>
        <w:tc>
          <w:tcPr>
            <w:tcW w:type="dxa" w:w="856"/>
          </w:tcPr>
          <w:p>
            <w:r>
              <w:rPr>
                <w:sz w:val="17"/>
              </w:rPr>
            </w:r>
            <w:r>
              <w:rPr>
                <w:sz w:val="17"/>
              </w:rPr>
              <w:t>H,CA</w:t>
            </w:r>
          </w:p>
        </w:tc>
      </w:tr>
      <w:tr>
        <w:trPr>
          <w:cantSplit/>
        </w:trPr>
        <w:tc>
          <w:tcPr>
            <w:tcW w:type="dxa" w:w="539"/>
          </w:tcPr>
          <w:p>
            <w:r>
              <w:rPr>
                <w:sz w:val="17"/>
              </w:rPr>
            </w:r>
            <w:r>
              <w:rPr>
                <w:sz w:val="17"/>
              </w:rPr>
              <w:t>DU</w:t>
            </w:r>
          </w:p>
        </w:tc>
        <w:tc>
          <w:tcPr>
            <w:tcW w:type="dxa" w:w="549"/>
          </w:tcPr>
          <w:p>
            <w:r>
              <w:rPr>
                <w:sz w:val="17"/>
              </w:rPr>
            </w:r>
            <w:r>
              <w:rPr>
                <w:sz w:val="17"/>
              </w:rPr>
              <w:t>—</w:t>
            </w:r>
          </w:p>
        </w:tc>
        <w:tc>
          <w:tcPr>
            <w:tcW w:type="dxa" w:w="677"/>
          </w:tcPr>
          <w:p>
            <w:r>
              <w:rPr>
                <w:sz w:val="17"/>
              </w:rPr>
            </w:r>
            <w:r>
              <w:rPr>
                <w:sz w:val="17"/>
              </w:rPr>
              <w:t>—</w:t>
            </w:r>
          </w:p>
        </w:tc>
        <w:tc>
          <w:tcPr>
            <w:tcW w:type="dxa" w:w="677"/>
          </w:tcPr>
          <w:p>
            <w:r>
              <w:rPr>
                <w:sz w:val="17"/>
              </w:rPr>
            </w:r>
            <w:r>
              <w:rPr>
                <w:sz w:val="17"/>
              </w:rPr>
              <w:t>—</w:t>
            </w:r>
          </w:p>
        </w:tc>
        <w:tc>
          <w:tcPr>
            <w:tcW w:type="dxa" w:w="856"/>
          </w:tcPr>
          <w:p>
            <w:r>
              <w:rPr>
                <w:sz w:val="17"/>
              </w:rPr>
            </w:r>
            <w:r>
              <w:rPr>
                <w:sz w:val="17"/>
              </w:rPr>
              <w:t>—</w:t>
            </w:r>
          </w:p>
        </w:tc>
        <w:tc>
          <w:tcPr>
            <w:tcW w:type="dxa" w:w="856"/>
          </w:tcPr>
          <w:p>
            <w:r>
              <w:rPr>
                <w:sz w:val="17"/>
              </w:rPr>
            </w:r>
            <w:r>
              <w:rPr>
                <w:sz w:val="17"/>
              </w:rPr>
              <w:t>—</w:t>
            </w:r>
          </w:p>
        </w:tc>
        <w:tc>
          <w:tcPr>
            <w:tcW w:type="dxa" w:w="677"/>
          </w:tcPr>
          <w:p>
            <w:r>
              <w:rPr>
                <w:sz w:val="17"/>
              </w:rPr>
            </w:r>
            <w:r>
              <w:rPr>
                <w:sz w:val="17"/>
              </w:rPr>
              <w:t>—</w:t>
            </w:r>
          </w:p>
        </w:tc>
        <w:tc>
          <w:tcPr>
            <w:tcW w:type="dxa" w:w="856"/>
          </w:tcPr>
          <w:p>
            <w:r>
              <w:rPr>
                <w:sz w:val="17"/>
              </w:rPr>
            </w:r>
            <w:r>
              <w:rPr>
                <w:sz w:val="17"/>
              </w:rPr>
              <w:t>—</w:t>
            </w:r>
          </w:p>
        </w:tc>
        <w:tc>
          <w:tcPr>
            <w:tcW w:type="dxa" w:w="856"/>
          </w:tcPr>
          <w:p>
            <w:r>
              <w:rPr>
                <w:sz w:val="17"/>
              </w:rPr>
            </w:r>
            <w:r>
              <w:rPr>
                <w:sz w:val="17"/>
              </w:rPr>
              <w:t>—</w:t>
            </w:r>
          </w:p>
        </w:tc>
        <w:tc>
          <w:tcPr>
            <w:tcW w:type="dxa" w:w="856"/>
          </w:tcPr>
          <w:p>
            <w:r>
              <w:rPr>
                <w:sz w:val="17"/>
              </w:rPr>
            </w:r>
            <w:r>
              <w:rPr>
                <w:sz w:val="17"/>
              </w:rPr>
              <w:t>—</w:t>
            </w:r>
          </w:p>
        </w:tc>
        <w:tc>
          <w:tcPr>
            <w:tcW w:type="dxa" w:w="677"/>
          </w:tcPr>
          <w:p>
            <w:r>
              <w:rPr>
                <w:sz w:val="17"/>
              </w:rPr>
            </w:r>
            <w:r>
              <w:rPr>
                <w:sz w:val="17"/>
              </w:rPr>
              <w:t>—</w:t>
            </w:r>
          </w:p>
        </w:tc>
        <w:tc>
          <w:tcPr>
            <w:tcW w:type="dxa" w:w="677"/>
          </w:tcPr>
          <w:p>
            <w:r>
              <w:rPr>
                <w:sz w:val="17"/>
              </w:rPr>
            </w:r>
            <w:r>
              <w:rPr>
                <w:sz w:val="17"/>
              </w:rPr>
              <w:t>—</w:t>
            </w:r>
          </w:p>
        </w:tc>
        <w:tc>
          <w:tcPr>
            <w:tcW w:type="dxa" w:w="856"/>
          </w:tcPr>
          <w:p>
            <w:r>
              <w:rPr>
                <w:sz w:val="17"/>
              </w:rPr>
            </w:r>
            <w:r>
              <w:rPr>
                <w:sz w:val="17"/>
              </w:rPr>
              <w:t>H,D,CA</w:t>
            </w:r>
          </w:p>
        </w:tc>
        <w:tc>
          <w:tcPr>
            <w:tcW w:type="dxa" w:w="856"/>
          </w:tcPr>
          <w:p>
            <w:r>
              <w:rPr>
                <w:sz w:val="17"/>
              </w:rPr>
            </w:r>
            <w:r>
              <w:rPr>
                <w:sz w:val="17"/>
              </w:rPr>
              <w:t>H,CA</w:t>
            </w:r>
          </w:p>
        </w:tc>
      </w:tr>
      <w:tr>
        <w:trPr>
          <w:cantSplit/>
        </w:trPr>
        <w:tc>
          <w:tcPr>
            <w:tcW w:type="dxa" w:w="539"/>
          </w:tcPr>
          <w:p>
            <w:r>
              <w:rPr>
                <w:sz w:val="17"/>
              </w:rPr>
            </w:r>
            <w:r>
              <w:rPr>
                <w:sz w:val="17"/>
              </w:rPr>
              <w:t>WU</w:t>
            </w:r>
          </w:p>
        </w:tc>
        <w:tc>
          <w:tcPr>
            <w:tcW w:type="dxa" w:w="549"/>
          </w:tcPr>
          <w:p>
            <w:r>
              <w:rPr>
                <w:sz w:val="17"/>
              </w:rPr>
            </w:r>
            <w:r>
              <w:rPr>
                <w:sz w:val="17"/>
              </w:rPr>
              <w:t>—</w:t>
            </w:r>
          </w:p>
        </w:tc>
        <w:tc>
          <w:tcPr>
            <w:tcW w:type="dxa" w:w="677"/>
          </w:tcPr>
          <w:p>
            <w:r>
              <w:rPr>
                <w:sz w:val="17"/>
              </w:rPr>
            </w:r>
            <w:r>
              <w:rPr>
                <w:sz w:val="17"/>
              </w:rPr>
              <w:t>—</w:t>
            </w:r>
          </w:p>
        </w:tc>
        <w:tc>
          <w:tcPr>
            <w:tcW w:type="dxa" w:w="677"/>
          </w:tcPr>
          <w:p>
            <w:r>
              <w:rPr>
                <w:sz w:val="17"/>
              </w:rPr>
            </w:r>
            <w:r>
              <w:rPr>
                <w:sz w:val="17"/>
              </w:rPr>
              <w:t>—</w:t>
            </w:r>
          </w:p>
        </w:tc>
        <w:tc>
          <w:tcPr>
            <w:tcW w:type="dxa" w:w="856"/>
          </w:tcPr>
          <w:p>
            <w:r>
              <w:rPr>
                <w:sz w:val="17"/>
              </w:rPr>
            </w:r>
            <w:r>
              <w:rPr>
                <w:sz w:val="17"/>
              </w:rPr>
              <w:t>—</w:t>
            </w:r>
          </w:p>
        </w:tc>
        <w:tc>
          <w:tcPr>
            <w:tcW w:type="dxa" w:w="856"/>
          </w:tcPr>
          <w:p>
            <w:r>
              <w:rPr>
                <w:sz w:val="17"/>
              </w:rPr>
            </w:r>
            <w:r>
              <w:rPr>
                <w:sz w:val="17"/>
              </w:rPr>
              <w:t>—</w:t>
            </w:r>
          </w:p>
        </w:tc>
        <w:tc>
          <w:tcPr>
            <w:tcW w:type="dxa" w:w="677"/>
          </w:tcPr>
          <w:p>
            <w:r>
              <w:rPr>
                <w:sz w:val="17"/>
              </w:rPr>
            </w:r>
            <w:r>
              <w:rPr>
                <w:sz w:val="17"/>
              </w:rPr>
              <w:t>—</w:t>
            </w:r>
          </w:p>
        </w:tc>
        <w:tc>
          <w:tcPr>
            <w:tcW w:type="dxa" w:w="856"/>
          </w:tcPr>
          <w:p>
            <w:r>
              <w:rPr>
                <w:sz w:val="17"/>
              </w:rPr>
            </w:r>
            <w:r>
              <w:rPr>
                <w:sz w:val="17"/>
              </w:rPr>
              <w:t>—</w:t>
            </w:r>
          </w:p>
        </w:tc>
        <w:tc>
          <w:tcPr>
            <w:tcW w:type="dxa" w:w="856"/>
          </w:tcPr>
          <w:p>
            <w:r>
              <w:rPr>
                <w:sz w:val="17"/>
              </w:rPr>
            </w:r>
            <w:r>
              <w:rPr>
                <w:sz w:val="17"/>
              </w:rPr>
              <w:t>—</w:t>
            </w:r>
          </w:p>
        </w:tc>
        <w:tc>
          <w:tcPr>
            <w:tcW w:type="dxa" w:w="856"/>
          </w:tcPr>
          <w:p>
            <w:r>
              <w:rPr>
                <w:sz w:val="17"/>
              </w:rPr>
            </w:r>
            <w:r>
              <w:rPr>
                <w:sz w:val="17"/>
              </w:rPr>
              <w:t>—</w:t>
            </w:r>
          </w:p>
        </w:tc>
        <w:tc>
          <w:tcPr>
            <w:tcW w:type="dxa" w:w="677"/>
          </w:tcPr>
          <w:p>
            <w:r>
              <w:rPr>
                <w:sz w:val="17"/>
              </w:rPr>
            </w:r>
            <w:r>
              <w:rPr>
                <w:sz w:val="17"/>
              </w:rPr>
              <w:t>—</w:t>
            </w:r>
          </w:p>
        </w:tc>
        <w:tc>
          <w:tcPr>
            <w:tcW w:type="dxa" w:w="677"/>
          </w:tcPr>
          <w:p>
            <w:r>
              <w:rPr>
                <w:sz w:val="17"/>
              </w:rPr>
            </w:r>
            <w:r>
              <w:rPr>
                <w:sz w:val="17"/>
              </w:rPr>
              <w:t>—</w:t>
            </w:r>
          </w:p>
        </w:tc>
        <w:tc>
          <w:tcPr>
            <w:tcW w:type="dxa" w:w="856"/>
          </w:tcPr>
          <w:p>
            <w:r>
              <w:rPr>
                <w:sz w:val="17"/>
              </w:rPr>
            </w:r>
            <w:r>
              <w:rPr>
                <w:sz w:val="17"/>
              </w:rPr>
              <w:t>—</w:t>
            </w:r>
          </w:p>
        </w:tc>
        <w:tc>
          <w:tcPr>
            <w:tcW w:type="dxa" w:w="856"/>
          </w:tcPr>
          <w:p>
            <w:r>
              <w:rPr>
                <w:sz w:val="17"/>
              </w:rPr>
            </w:r>
            <w:r>
              <w:rPr>
                <w:sz w:val="17"/>
              </w:rPr>
              <w:t>H,D,CA</w:t>
            </w:r>
          </w:p>
        </w:tc>
      </w:tr>
    </w:tbl>
    <w:p/>
    <w:p>
      <w:pPr/>
      <w:r>
        <w:t>NA reasons: ID–CI, ID–DU and ID–WU share no space (civil works and utility networks are external; building entries are tested in the services–utility pairs). ID–LS is H and may have a zero population with a recorded scope note (interior planting not in scope).</w:t>
      </w:r>
    </w:p>
    <w:p>
      <w:pPr/>
      <w:r>
        <w:rPr>
          <w:b/>
        </w:rPr>
        <w:t>Rule owner.</w:t>
      </w:r>
      <w:r>
        <w:t xml:space="preserve"> The lead appointed party owns the coordinated test baseline. The resolver of a clash is the discipline lead of the lower trade in the office routing precedence ST &gt; AR &gt; CI &gt; DR &gt; WU &gt; DU &gt; ME &gt; FF &gt; WS &gt; EL &gt; LI &gt; ID &gt; LS; in a self-pair it is that trade. A different resolver is a recorded coordination decision per issue.</w:t>
      </w:r>
    </w:p>
    <w:p>
      <w:pPr/>
      <w:r>
        <w:rPr>
          <w:b/>
        </w:rPr>
        <w:t>C and A tolerances.</w:t>
      </w:r>
      <w:r>
        <w:t xml:space="preserve"> No blanket value: each active C or A rule carries its recorded requirement (design, manufacturer, code, or utility regulation such as register row ED-UTILITY-REGS for utility separations) with the source ID and value in millimetres or as an envelope. A rule without that requirement stays inactive and blocks the pair's sign-off (§3).</w:t>
      </w:r>
    </w:p>
    <w:p>
      <w:pPr>
        <w:pStyle w:val="Heading1"/>
      </w:pPr>
      <w:r>
        <w:t>5. Workbook structure and column / field specification</w:t>
      </w:r>
    </w:p>
    <w:p>
      <w:pPr/>
      <w:r>
        <w:t>Use seven linked sheets/tables. No merged headers, placeholder formula errors or duplicated authoritative values. Protect code lists and calculated views; input fields use controlled types. IDs are text, dimensions numeric in mm, dates ISO 8601 with the agreed working calendar, and evidence links resolve inside authorised private custody.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891"/>
        <w:gridCol w:w="6060"/>
        <w:gridCol w:w="2515"/>
      </w:tblGrid>
      <w:tr>
        <w:trPr>
          <w:cantSplit/>
          <w:tblHeader/>
        </w:trPr>
        <w:tc>
          <w:tcPr>
            <w:tcW w:type="dxa" w:w="1891"/>
            <w:shd w:val="clear" w:color="auto" w:fill="111113"/>
          </w:tcPr>
          <w:p>
            <w:r>
              <w:rPr>
                <w:b/>
                <w:color w:val="FFFFFF"/>
                <w:sz w:val="17"/>
              </w:rPr>
            </w:r>
            <w:r>
              <w:rPr>
                <w:b/>
                <w:color w:val="FFFFFF"/>
                <w:sz w:val="17"/>
              </w:rPr>
              <w:t>Table /​ key</w:t>
            </w:r>
          </w:p>
        </w:tc>
        <w:tc>
          <w:tcPr>
            <w:tcW w:type="dxa" w:w="6060"/>
            <w:shd w:val="clear" w:color="auto" w:fill="111113"/>
          </w:tcPr>
          <w:p>
            <w:r>
              <w:rPr>
                <w:b/>
                <w:color w:val="FFFFFF"/>
                <w:sz w:val="17"/>
              </w:rPr>
            </w:r>
            <w:r>
              <w:rPr>
                <w:b/>
                <w:color w:val="FFFFFF"/>
                <w:sz w:val="17"/>
              </w:rPr>
              <w:t>Fields: type and validation</w:t>
            </w:r>
          </w:p>
        </w:tc>
        <w:tc>
          <w:tcPr>
            <w:tcW w:type="dxa" w:w="2515"/>
            <w:shd w:val="clear" w:color="auto" w:fill="111113"/>
          </w:tcPr>
          <w:p>
            <w:r>
              <w:rPr>
                <w:b/>
                <w:color w:val="FFFFFF"/>
                <w:sz w:val="17"/>
              </w:rPr>
            </w:r>
            <w:r>
              <w:rPr>
                <w:b/>
                <w:color w:val="FFFFFF"/>
                <w:sz w:val="17"/>
              </w:rPr>
              <w:t>Owner /​ relationship</w:t>
            </w:r>
          </w:p>
        </w:tc>
      </w:tr>
      <w:tr>
        <w:trPr>
          <w:cantSplit/>
        </w:trPr>
        <w:tc>
          <w:tcPr>
            <w:tcW w:type="dxa" w:w="1891"/>
          </w:tcPr>
          <w:p>
            <w:r>
              <w:rPr>
                <w:sz w:val="17"/>
              </w:rPr>
            </w:r>
            <w:r>
              <w:rPr>
                <w:sz w:val="17"/>
              </w:rPr>
              <w:t>Control /​ RegisterID+Revision</w:t>
            </w:r>
          </w:p>
        </w:tc>
        <w:tc>
          <w:tcPr>
            <w:tcW w:type="dxa" w:w="6060"/>
          </w:tcPr>
          <w:p>
            <w:r>
              <w:rPr>
                <w:sz w:val="17"/>
              </w:rPr>
            </w:r>
            <w:r>
              <w:rPr>
                <w:sz w:val="17"/>
              </w:rPr>
              <w:t>DocumentID, prepared/​checked/​verified/​approved IDs and dates, EIR/​BEP/​LOIN references, tool/​build/​settings hash, effective date, distribution list, approval evidence: text/​date/​URI</w:t>
            </w:r>
          </w:p>
        </w:tc>
        <w:tc>
          <w:tcPr>
            <w:tcW w:type="dxa" w:w="2515"/>
          </w:tcPr>
          <w:p>
            <w:r>
              <w:rPr>
                <w:sz w:val="17"/>
              </w:rPr>
            </w:r>
            <w:r>
              <w:rPr>
                <w:sz w:val="17"/>
              </w:rPr>
              <w:t>BIM Manager; revision-specific baseline</w:t>
            </w:r>
          </w:p>
        </w:tc>
      </w:tr>
      <w:tr>
        <w:trPr>
          <w:cantSplit/>
        </w:trPr>
        <w:tc>
          <w:tcPr>
            <w:tcW w:type="dxa" w:w="1891"/>
          </w:tcPr>
          <w:p>
            <w:r>
              <w:rPr>
                <w:sz w:val="17"/>
              </w:rPr>
            </w:r>
            <w:r>
              <w:rPr>
                <w:sz w:val="17"/>
              </w:rPr>
              <w:t>Models /​ ModelID+Revision</w:t>
            </w:r>
          </w:p>
        </w:tc>
        <w:tc>
          <w:tcPr>
            <w:tcW w:type="dxa" w:w="6060"/>
          </w:tcPr>
          <w:p>
            <w:r>
              <w:rPr>
                <w:sz w:val="17"/>
              </w:rPr>
            </w:r>
            <w:r>
              <w:rPr>
                <w:sz w:val="17"/>
              </w:rPr>
              <w:t>ContainerID, trade, producer/​team, native/​source and exchange revisions, URI/​hash, units/​CRS/​transform ID, zone/​level, Shared decision ID/​date, export/​build/​profile, IFC Schema (IFC 4.0.2.1 /​ IFC 4.3.2.0 /​ IFC2x3), MVD, ValidationReportURI, IDS result URI, included/​excluded scope: typed text/​URI/​date</w:t>
            </w:r>
          </w:p>
        </w:tc>
        <w:tc>
          <w:tcPr>
            <w:tcW w:type="dxa" w:w="2515"/>
          </w:tcPr>
          <w:p>
            <w:r>
              <w:rPr>
                <w:sz w:val="17"/>
              </w:rPr>
            </w:r>
            <w:r>
              <w:rPr>
                <w:sz w:val="17"/>
              </w:rPr>
              <w:t>Producer supplies; coordinator validates exact approved Shared set</w:t>
            </w:r>
          </w:p>
        </w:tc>
      </w:tr>
      <w:tr>
        <w:trPr>
          <w:cantSplit/>
        </w:trPr>
        <w:tc>
          <w:tcPr>
            <w:tcW w:type="dxa" w:w="1891"/>
          </w:tcPr>
          <w:p>
            <w:r>
              <w:rPr>
                <w:sz w:val="17"/>
              </w:rPr>
            </w:r>
            <w:r>
              <w:rPr>
                <w:sz w:val="17"/>
              </w:rPr>
              <w:t>Sets /​ SetID+Revision</w:t>
            </w:r>
          </w:p>
        </w:tc>
        <w:tc>
          <w:tcPr>
            <w:tcW w:type="dxa" w:w="6060"/>
          </w:tcPr>
          <w:p>
            <w:r>
              <w:rPr>
                <w:sz w:val="17"/>
              </w:rPr>
            </w:r>
            <w:r>
              <w:rPr>
                <w:sz w:val="17"/>
              </w:rPr>
              <w:t>ModelID/​revision, native/​IFC filter, category/​class/​property clauses, zone, insulation/​support/​envelope inclusion, element count integer ≥0, exclusion ID, tester/​result URI</w:t>
            </w:r>
          </w:p>
        </w:tc>
        <w:tc>
          <w:tcPr>
            <w:tcW w:type="dxa" w:w="2515"/>
          </w:tcPr>
          <w:p>
            <w:r>
              <w:rPr>
                <w:sz w:val="17"/>
              </w:rPr>
            </w:r>
            <w:r>
              <w:rPr>
                <w:sz w:val="17"/>
              </w:rPr>
              <w:t>Producer and independent checker; stable GUIDs in run evidence</w:t>
            </w:r>
          </w:p>
        </w:tc>
      </w:tr>
      <w:tr>
        <w:trPr>
          <w:cantSplit/>
        </w:trPr>
        <w:tc>
          <w:tcPr>
            <w:tcW w:type="dxa" w:w="1891"/>
          </w:tcPr>
          <w:p>
            <w:r>
              <w:rPr>
                <w:sz w:val="17"/>
              </w:rPr>
            </w:r>
            <w:r>
              <w:rPr>
                <w:sz w:val="17"/>
              </w:rPr>
              <w:t>Rules /​ RuleID+Revision</w:t>
            </w:r>
          </w:p>
        </w:tc>
        <w:tc>
          <w:tcPr>
            <w:tcW w:type="dxa" w:w="6060"/>
          </w:tcPr>
          <w:p>
            <w:r>
              <w:rPr>
                <w:sz w:val="17"/>
              </w:rPr>
            </w:r>
            <w:r>
              <w:rPr>
                <w:sz w:val="17"/>
              </w:rPr>
              <w:t>PairKey, SetA/​SetB revisions, model/​zone, H/​C/​A/​D/​V type, requirement/​LOIN IDs, numeric threshold and units or envelope ID, rationale/​source, tool mode, precision fixture, severity, frequency/​trigger, designer, checker, enabled boolean, approval ID</w:t>
            </w:r>
          </w:p>
        </w:tc>
        <w:tc>
          <w:tcPr>
            <w:tcW w:type="dxa" w:w="2515"/>
          </w:tcPr>
          <w:p>
            <w:r>
              <w:rPr>
                <w:sz w:val="17"/>
              </w:rPr>
            </w:r>
            <w:r>
              <w:rPr>
                <w:sz w:val="17"/>
              </w:rPr>
              <w:t>Lead appointed party owns coordinated baseline; no enabled C/​A without source and value</w:t>
            </w:r>
          </w:p>
        </w:tc>
      </w:tr>
      <w:tr>
        <w:trPr>
          <w:cantSplit/>
        </w:trPr>
        <w:tc>
          <w:tcPr>
            <w:tcW w:type="dxa" w:w="1891"/>
          </w:tcPr>
          <w:p>
            <w:r>
              <w:rPr>
                <w:sz w:val="17"/>
              </w:rPr>
            </w:r>
            <w:r>
              <w:rPr>
                <w:sz w:val="17"/>
              </w:rPr>
              <w:t>Runs /​ RunID</w:t>
            </w:r>
          </w:p>
        </w:tc>
        <w:tc>
          <w:tcPr>
            <w:tcW w:type="dxa" w:w="6060"/>
          </w:tcPr>
          <w:p>
            <w:r>
              <w:rPr>
                <w:sz w:val="17"/>
              </w:rPr>
            </w:r>
            <w:r>
              <w:rPr>
                <w:sz w:val="17"/>
              </w:rPr>
              <w:t>Rule revision, source-set manifest/​hash, run timestamp/​build/​settings, counts selected/​tested/​raw/​grouped/​excluded/​open, result URI, issue IDs, runner/​checker, pass/​fail/​blocked</w:t>
            </w:r>
          </w:p>
        </w:tc>
        <w:tc>
          <w:tcPr>
            <w:tcW w:type="dxa" w:w="2515"/>
          </w:tcPr>
          <w:p>
            <w:r>
              <w:rPr>
                <w:sz w:val="17"/>
              </w:rPr>
            </w:r>
            <w:r>
              <w:rPr>
                <w:sz w:val="17"/>
              </w:rPr>
              <w:t>Coordinator; immutable evidence per run, not overwritten by latest export</w:t>
            </w:r>
          </w:p>
        </w:tc>
      </w:tr>
      <w:tr>
        <w:trPr>
          <w:cantSplit/>
        </w:trPr>
        <w:tc>
          <w:tcPr>
            <w:tcW w:type="dxa" w:w="1891"/>
          </w:tcPr>
          <w:p>
            <w:r>
              <w:rPr>
                <w:sz w:val="17"/>
              </w:rPr>
            </w:r>
            <w:r>
              <w:rPr>
                <w:sz w:val="17"/>
              </w:rPr>
              <w:t>Issues /​ IssueID</w:t>
            </w:r>
          </w:p>
        </w:tc>
        <w:tc>
          <w:tcPr>
            <w:tcW w:type="dxa" w:w="6060"/>
          </w:tcPr>
          <w:p>
            <w:r>
              <w:rPr>
                <w:sz w:val="17"/>
              </w:rPr>
            </w:r>
            <w:r>
              <w:rPr>
                <w:sz w:val="17"/>
              </w:rPr>
              <w:t>Rule/​run IDs; source models/​revisions; stable element GUIDs; title/​description; viewpoint URI/​camera/​clipping/​location; severity, assignee, due date, status, requirement; disposition/​exception decision; corrected revision; retest run and reviewer/​date; closure decision</w:t>
            </w:r>
          </w:p>
        </w:tc>
        <w:tc>
          <w:tcPr>
            <w:tcW w:type="dxa" w:w="2515"/>
          </w:tcPr>
          <w:p>
            <w:r>
              <w:rPr>
                <w:sz w:val="17"/>
              </w:rPr>
            </w:r>
            <w:r>
              <w:rPr>
                <w:sz w:val="17"/>
              </w:rPr>
              <w:t>Designer owns correction; independent checker closes; BCF topic GUID stored as external key</w:t>
            </w:r>
          </w:p>
        </w:tc>
      </w:tr>
      <w:tr>
        <w:trPr>
          <w:cantSplit/>
        </w:trPr>
        <w:tc>
          <w:tcPr>
            <w:tcW w:type="dxa" w:w="1891"/>
          </w:tcPr>
          <w:p>
            <w:r>
              <w:rPr>
                <w:sz w:val="17"/>
              </w:rPr>
            </w:r>
            <w:r>
              <w:rPr>
                <w:sz w:val="17"/>
              </w:rPr>
              <w:t>Exclusions /​ ExclusionID</w:t>
            </w:r>
          </w:p>
        </w:tc>
        <w:tc>
          <w:tcPr>
            <w:tcW w:type="dxa" w:w="6060"/>
          </w:tcPr>
          <w:p>
            <w:r>
              <w:rPr>
                <w:sz w:val="17"/>
              </w:rPr>
            </w:r>
            <w:r>
              <w:rPr>
                <w:sz w:val="17"/>
              </w:rPr>
              <w:t>Rule/​set scope and element IDs, reason, evidence, permissible authority, start/​expiry dates, review trigger, approved record; type controlled: intended join /​ opening /​ duplicate-reference /​ out-of-scope</w:t>
            </w:r>
          </w:p>
        </w:tc>
        <w:tc>
          <w:tcPr>
            <w:tcW w:type="dxa" w:w="2515"/>
          </w:tcPr>
          <w:p>
            <w:r>
              <w:rPr>
                <w:sz w:val="17"/>
              </w:rPr>
            </w:r>
            <w:r>
              <w:rPr>
                <w:sz w:val="17"/>
              </w:rPr>
              <w:t>Checker verifies exclusion before result; no indefinite anonymous suppression</w:t>
            </w:r>
          </w:p>
        </w:tc>
      </w:tr>
    </w:tbl>
    <w:p/>
    <w:p>
      <w:pPr/>
      <w:r>
        <w:t>A row version is part of the record. Validate unique keys, required fields, foreign-key joins, positive dimensions where required, valid code membership, exact revisions, dates, links and rule coverage before importing into a clash tool. BCF XML/API custom statuses and assigned users must map to the same office meanings; round-trip a topic, elements, viewpoint and status before enabling the route. Exporting a screenshot alone is not BCF qualification.</w:t>
      </w:r>
    </w:p>
    <w:p>
      <w:pPr>
        <w:pStyle w:val="Heading1"/>
      </w:pPr>
      <w:r>
        <w:t>6. Completed original examples — synthetic, not live approval</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955"/>
        <w:gridCol w:w="1222"/>
        <w:gridCol w:w="1470"/>
        <w:gridCol w:w="3279"/>
        <w:gridCol w:w="3539"/>
      </w:tblGrid>
      <w:tr>
        <w:trPr>
          <w:cantSplit/>
          <w:tblHeader/>
        </w:trPr>
        <w:tc>
          <w:tcPr>
            <w:tcW w:type="dxa" w:w="955"/>
            <w:shd w:val="clear" w:color="auto" w:fill="111113"/>
          </w:tcPr>
          <w:p>
            <w:r>
              <w:rPr>
                <w:b/>
                <w:color w:val="FFFFFF"/>
                <w:sz w:val="17"/>
              </w:rPr>
            </w:r>
            <w:r>
              <w:rPr>
                <w:b/>
                <w:color w:val="FFFFFF"/>
                <w:sz w:val="17"/>
              </w:rPr>
              <w:t>Rule /​ revision</w:t>
            </w:r>
          </w:p>
        </w:tc>
        <w:tc>
          <w:tcPr>
            <w:tcW w:type="dxa" w:w="1222"/>
            <w:shd w:val="clear" w:color="auto" w:fill="111113"/>
          </w:tcPr>
          <w:p>
            <w:r>
              <w:rPr>
                <w:b/>
                <w:color w:val="FFFFFF"/>
                <w:sz w:val="17"/>
              </w:rPr>
            </w:r>
            <w:r>
              <w:rPr>
                <w:b/>
                <w:color w:val="FFFFFF"/>
                <w:sz w:val="17"/>
              </w:rPr>
              <w:t>Models and zone</w:t>
            </w:r>
          </w:p>
        </w:tc>
        <w:tc>
          <w:tcPr>
            <w:tcW w:type="dxa" w:w="1470"/>
            <w:shd w:val="clear" w:color="auto" w:fill="111113"/>
          </w:tcPr>
          <w:p>
            <w:r>
              <w:rPr>
                <w:b/>
                <w:color w:val="FFFFFF"/>
                <w:sz w:val="17"/>
              </w:rPr>
            </w:r>
            <w:r>
              <w:rPr>
                <w:b/>
                <w:color w:val="FFFFFF"/>
                <w:sz w:val="17"/>
              </w:rPr>
              <w:t>Selections /​ test</w:t>
            </w:r>
          </w:p>
        </w:tc>
        <w:tc>
          <w:tcPr>
            <w:tcW w:type="dxa" w:w="3279"/>
            <w:shd w:val="clear" w:color="auto" w:fill="111113"/>
          </w:tcPr>
          <w:p>
            <w:r>
              <w:rPr>
                <w:b/>
                <w:color w:val="FFFFFF"/>
                <w:sz w:val="17"/>
              </w:rPr>
            </w:r>
            <w:r>
              <w:rPr>
                <w:b/>
                <w:color w:val="FFFFFF"/>
                <w:sz w:val="17"/>
              </w:rPr>
              <w:t>Setting /​ source</w:t>
            </w:r>
          </w:p>
        </w:tc>
        <w:tc>
          <w:tcPr>
            <w:tcW w:type="dxa" w:w="3539"/>
            <w:shd w:val="clear" w:color="auto" w:fill="111113"/>
          </w:tcPr>
          <w:p>
            <w:r>
              <w:rPr>
                <w:b/>
                <w:color w:val="FFFFFF"/>
                <w:sz w:val="17"/>
              </w:rPr>
            </w:r>
            <w:r>
              <w:rPr>
                <w:b/>
                <w:color w:val="FFFFFF"/>
                <w:sz w:val="17"/>
              </w:rPr>
              <w:t>Severity /​ owner /​ trigger</w:t>
            </w:r>
          </w:p>
        </w:tc>
      </w:tr>
      <w:tr>
        <w:trPr>
          <w:cantSplit/>
        </w:trPr>
        <w:tc>
          <w:tcPr>
            <w:tcW w:type="dxa" w:w="955"/>
          </w:tcPr>
          <w:p>
            <w:r>
              <w:rPr>
                <w:sz w:val="17"/>
              </w:rPr>
            </w:r>
            <w:r>
              <w:rPr>
                <w:sz w:val="17"/>
              </w:rPr>
              <w:t>SYN-H01 /​ R01</w:t>
            </w:r>
          </w:p>
        </w:tc>
        <w:tc>
          <w:tcPr>
            <w:tcW w:type="dxa" w:w="1222"/>
          </w:tcPr>
          <w:p>
            <w:r>
              <w:rPr>
                <w:sz w:val="17"/>
              </w:rPr>
            </w:r>
            <w:r>
              <w:rPr>
                <w:sz w:val="17"/>
              </w:rPr>
              <w:t>SYN-ST R02 + SYN-ME R03; Z01/​L01</w:t>
            </w:r>
          </w:p>
        </w:tc>
        <w:tc>
          <w:tcPr>
            <w:tcW w:type="dxa" w:w="1470"/>
          </w:tcPr>
          <w:p>
            <w:r>
              <w:rPr>
                <w:sz w:val="17"/>
              </w:rPr>
            </w:r>
            <w:r>
              <w:rPr>
                <w:sz w:val="17"/>
              </w:rPr>
              <w:t>Framing vs insulated ductwork; H</w:t>
            </w:r>
          </w:p>
        </w:tc>
        <w:tc>
          <w:tcPr>
            <w:tcW w:type="dxa" w:w="3279"/>
          </w:tcPr>
          <w:p>
            <w:r>
              <w:rPr>
                <w:sz w:val="17"/>
              </w:rPr>
            </w:r>
            <w:r>
              <w:rPr>
                <w:sz w:val="17"/>
              </w:rPr>
              <w:t>0 mm; section 3; approved structural opening only via explicit exclusion</w:t>
            </w:r>
          </w:p>
        </w:tc>
        <w:tc>
          <w:tcPr>
            <w:tcW w:type="dxa" w:w="3539"/>
          </w:tcPr>
          <w:p>
            <w:r>
              <w:rPr>
                <w:sz w:val="17"/>
              </w:rPr>
            </w:r>
            <w:r>
              <w:rPr>
                <w:sz w:val="17"/>
              </w:rPr>
              <w:t>S1 if structural integrity affected; mechanical designer with structural lead; weekly and changed-source/​pre-exchange rerun</w:t>
            </w:r>
          </w:p>
        </w:tc>
      </w:tr>
      <w:tr>
        <w:trPr>
          <w:cantSplit/>
        </w:trPr>
        <w:tc>
          <w:tcPr>
            <w:tcW w:type="dxa" w:w="955"/>
          </w:tcPr>
          <w:p>
            <w:r>
              <w:rPr>
                <w:sz w:val="17"/>
              </w:rPr>
            </w:r>
            <w:r>
              <w:rPr>
                <w:sz w:val="17"/>
              </w:rPr>
              <w:t>SYN-C01 /​ R01</w:t>
            </w:r>
          </w:p>
        </w:tc>
        <w:tc>
          <w:tcPr>
            <w:tcW w:type="dxa" w:w="1222"/>
          </w:tcPr>
          <w:p>
            <w:r>
              <w:rPr>
                <w:sz w:val="17"/>
              </w:rPr>
            </w:r>
            <w:r>
              <w:rPr>
                <w:sz w:val="17"/>
              </w:rPr>
              <w:t>SYN-ME R03 + SYN-ST R02; Z01/​L01</w:t>
            </w:r>
          </w:p>
        </w:tc>
        <w:tc>
          <w:tcPr>
            <w:tcW w:type="dxa" w:w="1470"/>
          </w:tcPr>
          <w:p>
            <w:r>
              <w:rPr>
                <w:sz w:val="17"/>
              </w:rPr>
            </w:r>
            <w:r>
              <w:rPr>
                <w:sz w:val="17"/>
              </w:rPr>
              <w:t>Installation envelope vs framing; C</w:t>
            </w:r>
          </w:p>
        </w:tc>
        <w:tc>
          <w:tcPr>
            <w:tcW w:type="dxa" w:w="3279"/>
          </w:tcPr>
          <w:p>
            <w:r>
              <w:rPr>
                <w:sz w:val="17"/>
              </w:rPr>
            </w:r>
            <w:r>
              <w:rPr>
                <w:sz w:val="17"/>
              </w:rPr>
              <w:t>150 mm synthetic design requirement SYN-REQ-C01 R01; actual projects substitute verified requirement</w:t>
            </w:r>
          </w:p>
        </w:tc>
        <w:tc>
          <w:tcPr>
            <w:tcW w:type="dxa" w:w="3539"/>
          </w:tcPr>
          <w:p>
            <w:r>
              <w:rPr>
                <w:sz w:val="17"/>
              </w:rPr>
            </w:r>
            <w:r>
              <w:rPr>
                <w:sz w:val="17"/>
              </w:rPr>
              <w:t>S2; mechanical designer; changed dimensions/​sequence and each comment round</w:t>
            </w:r>
          </w:p>
        </w:tc>
      </w:tr>
      <w:tr>
        <w:trPr>
          <w:cantSplit/>
        </w:trPr>
        <w:tc>
          <w:tcPr>
            <w:tcW w:type="dxa" w:w="955"/>
          </w:tcPr>
          <w:p>
            <w:r>
              <w:rPr>
                <w:sz w:val="17"/>
              </w:rPr>
            </w:r>
            <w:r>
              <w:rPr>
                <w:sz w:val="17"/>
              </w:rPr>
              <w:t>SYN-A01 /​ R01</w:t>
            </w:r>
          </w:p>
        </w:tc>
        <w:tc>
          <w:tcPr>
            <w:tcW w:type="dxa" w:w="1222"/>
          </w:tcPr>
          <w:p>
            <w:r>
              <w:rPr>
                <w:sz w:val="17"/>
              </w:rPr>
            </w:r>
            <w:r>
              <w:rPr>
                <w:sz w:val="17"/>
              </w:rPr>
              <w:t>SYN-ME R03 + SYN-AR R02; Z01/​L01</w:t>
            </w:r>
          </w:p>
        </w:tc>
        <w:tc>
          <w:tcPr>
            <w:tcW w:type="dxa" w:w="1470"/>
          </w:tcPr>
          <w:p>
            <w:r>
              <w:rPr>
                <w:sz w:val="17"/>
              </w:rPr>
            </w:r>
            <w:r>
              <w:rPr>
                <w:sz w:val="17"/>
              </w:rPr>
              <w:t>Equipment withdrawal envelope vs partition; A</w:t>
            </w:r>
          </w:p>
        </w:tc>
        <w:tc>
          <w:tcPr>
            <w:tcW w:type="dxa" w:w="3279"/>
          </w:tcPr>
          <w:p>
            <w:r>
              <w:rPr>
                <w:sz w:val="17"/>
              </w:rPr>
            </w:r>
            <w:r>
              <w:rPr>
                <w:sz w:val="17"/>
              </w:rPr>
              <w:t>600 mm synthetic manufacturer requirement SYN-REQ-A01 R01; not an office-wide tolerance</w:t>
            </w:r>
          </w:p>
        </w:tc>
        <w:tc>
          <w:tcPr>
            <w:tcW w:type="dxa" w:w="3539"/>
          </w:tcPr>
          <w:p>
            <w:r>
              <w:rPr>
                <w:sz w:val="17"/>
              </w:rPr>
            </w:r>
            <w:r>
              <w:rPr>
                <w:sz w:val="17"/>
              </w:rPr>
              <w:t>S1 if safety/​required access blocked, otherwise S2; mechanical and architectural designers; manufacturer/​layout change</w:t>
            </w:r>
          </w:p>
        </w:tc>
      </w:tr>
      <w:tr>
        <w:trPr>
          <w:cantSplit/>
        </w:trPr>
        <w:tc>
          <w:tcPr>
            <w:tcW w:type="dxa" w:w="955"/>
          </w:tcPr>
          <w:p>
            <w:r>
              <w:rPr>
                <w:sz w:val="17"/>
              </w:rPr>
            </w:r>
            <w:r>
              <w:rPr>
                <w:sz w:val="17"/>
              </w:rPr>
              <w:t>SYN-D01 /​ R01</w:t>
            </w:r>
          </w:p>
        </w:tc>
        <w:tc>
          <w:tcPr>
            <w:tcW w:type="dxa" w:w="1222"/>
          </w:tcPr>
          <w:p>
            <w:r>
              <w:rPr>
                <w:sz w:val="17"/>
              </w:rPr>
            </w:r>
            <w:r>
              <w:rPr>
                <w:sz w:val="17"/>
              </w:rPr>
              <w:t>SYN-AR R02; Z01/​L01</w:t>
            </w:r>
          </w:p>
        </w:tc>
        <w:tc>
          <w:tcPr>
            <w:tcW w:type="dxa" w:w="1470"/>
          </w:tcPr>
          <w:p>
            <w:r>
              <w:rPr>
                <w:sz w:val="17"/>
              </w:rPr>
            </w:r>
            <w:r>
              <w:rPr>
                <w:sz w:val="17"/>
              </w:rPr>
              <w:t>Wall population vs itself; D</w:t>
            </w:r>
          </w:p>
        </w:tc>
        <w:tc>
          <w:tcPr>
            <w:tcW w:type="dxa" w:w="3279"/>
          </w:tcPr>
          <w:p>
            <w:r>
              <w:rPr>
                <w:sz w:val="17"/>
              </w:rPr>
            </w:r>
            <w:r>
              <w:rPr>
                <w:sz w:val="17"/>
              </w:rPr>
              <w:t>Exact duplicate investigation; same-element GUID pairs removed from comparison</w:t>
            </w:r>
          </w:p>
        </w:tc>
        <w:tc>
          <w:tcPr>
            <w:tcW w:type="dxa" w:w="3539"/>
          </w:tcPr>
          <w:p>
            <w:r>
              <w:rPr>
                <w:sz w:val="17"/>
              </w:rPr>
            </w:r>
            <w:r>
              <w:rPr>
                <w:sz w:val="17"/>
              </w:rPr>
              <w:t>S3 unless consequential defect; architectural lead; every Shared submission</w:t>
            </w:r>
          </w:p>
        </w:tc>
      </w:tr>
    </w:tbl>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14"/>
        <w:gridCol w:w="2392"/>
        <w:gridCol w:w="2319"/>
        <w:gridCol w:w="4542"/>
      </w:tblGrid>
      <w:tr>
        <w:trPr>
          <w:cantSplit/>
          <w:tblHeader/>
        </w:trPr>
        <w:tc>
          <w:tcPr>
            <w:tcW w:type="dxa" w:w="1214"/>
            <w:shd w:val="clear" w:color="auto" w:fill="111113"/>
          </w:tcPr>
          <w:p>
            <w:r>
              <w:rPr>
                <w:b/>
                <w:color w:val="FFFFFF"/>
                <w:sz w:val="17"/>
              </w:rPr>
            </w:r>
            <w:r>
              <w:rPr>
                <w:b/>
                <w:color w:val="FFFFFF"/>
                <w:sz w:val="17"/>
              </w:rPr>
              <w:t>Issue /​ source run</w:t>
            </w:r>
          </w:p>
        </w:tc>
        <w:tc>
          <w:tcPr>
            <w:tcW w:type="dxa" w:w="2392"/>
            <w:shd w:val="clear" w:color="auto" w:fill="111113"/>
          </w:tcPr>
          <w:p>
            <w:r>
              <w:rPr>
                <w:b/>
                <w:color w:val="FFFFFF"/>
                <w:sz w:val="17"/>
              </w:rPr>
            </w:r>
            <w:r>
              <w:rPr>
                <w:b/>
                <w:color w:val="FFFFFF"/>
                <w:sz w:val="17"/>
              </w:rPr>
              <w:t>Location and elements</w:t>
            </w:r>
          </w:p>
        </w:tc>
        <w:tc>
          <w:tcPr>
            <w:tcW w:type="dxa" w:w="2319"/>
            <w:shd w:val="clear" w:color="auto" w:fill="111113"/>
          </w:tcPr>
          <w:p>
            <w:r>
              <w:rPr>
                <w:b/>
                <w:color w:val="FFFFFF"/>
                <w:sz w:val="17"/>
              </w:rPr>
            </w:r>
            <w:r>
              <w:rPr>
                <w:b/>
                <w:color w:val="FFFFFF"/>
                <w:sz w:val="17"/>
              </w:rPr>
              <w:t>Viewpoint /​ assigned owner /​ due /​ status</w:t>
            </w:r>
          </w:p>
        </w:tc>
        <w:tc>
          <w:tcPr>
            <w:tcW w:type="dxa" w:w="4542"/>
            <w:shd w:val="clear" w:color="auto" w:fill="111113"/>
          </w:tcPr>
          <w:p>
            <w:r>
              <w:rPr>
                <w:b/>
                <w:color w:val="FFFFFF"/>
                <w:sz w:val="17"/>
              </w:rPr>
            </w:r>
            <w:r>
              <w:rPr>
                <w:b/>
                <w:color w:val="FFFFFF"/>
                <w:sz w:val="17"/>
              </w:rPr>
              <w:t>Disposition and required closure evidence</w:t>
            </w:r>
          </w:p>
        </w:tc>
      </w:tr>
      <w:tr>
        <w:trPr>
          <w:cantSplit/>
        </w:trPr>
        <w:tc>
          <w:tcPr>
            <w:tcW w:type="dxa" w:w="1214"/>
          </w:tcPr>
          <w:p>
            <w:r>
              <w:rPr>
                <w:sz w:val="17"/>
              </w:rPr>
            </w:r>
            <w:r>
              <w:rPr>
                <w:sz w:val="17"/>
              </w:rPr>
              <w:t>SYN-ISS-001 /​ SYN-RUN-01</w:t>
            </w:r>
          </w:p>
        </w:tc>
        <w:tc>
          <w:tcPr>
            <w:tcW w:type="dxa" w:w="2392"/>
          </w:tcPr>
          <w:p>
            <w:r>
              <w:rPr>
                <w:sz w:val="17"/>
              </w:rPr>
            </w:r>
            <w:r>
              <w:rPr>
                <w:sz w:val="17"/>
              </w:rPr>
              <w:t>Z01/​L01; SYN-ST beam GUID ST-001; SYN-ME duct GUID ME-019; 12 mm penetration</w:t>
            </w:r>
          </w:p>
        </w:tc>
        <w:tc>
          <w:tcPr>
            <w:tcW w:type="dxa" w:w="2319"/>
          </w:tcPr>
          <w:p>
            <w:r>
              <w:rPr>
                <w:sz w:val="17"/>
              </w:rPr>
            </w:r>
            <w:r>
              <w:rPr>
                <w:sz w:val="17"/>
              </w:rPr>
              <w:t>SYN-VP-001 (synthetic ID); mechanical designer; Day 2; Open, S1</w:t>
            </w:r>
          </w:p>
        </w:tc>
        <w:tc>
          <w:tcPr>
            <w:tcW w:type="dxa" w:w="4542"/>
          </w:tcPr>
          <w:p>
            <w:r>
              <w:rPr>
                <w:sz w:val="17"/>
              </w:rPr>
            </w:r>
            <w:r>
              <w:rPr>
                <w:sz w:val="17"/>
              </w:rPr>
              <w:t>Designer reroutes duct; structural lead confirms no unapproved opening. New SYN-ME R04; independent SYN-RUN-02 shows zero overlap and unchanged required access; then Ready for Review→Closed with dated checker record</w:t>
            </w:r>
          </w:p>
        </w:tc>
      </w:tr>
      <w:tr>
        <w:trPr>
          <w:cantSplit/>
        </w:trPr>
        <w:tc>
          <w:tcPr>
            <w:tcW w:type="dxa" w:w="1214"/>
          </w:tcPr>
          <w:p>
            <w:r>
              <w:rPr>
                <w:sz w:val="17"/>
              </w:rPr>
            </w:r>
            <w:r>
              <w:rPr>
                <w:sz w:val="17"/>
              </w:rPr>
              <w:t>SYN-ISS-002 /​ SYN-RUN-01</w:t>
            </w:r>
          </w:p>
        </w:tc>
        <w:tc>
          <w:tcPr>
            <w:tcW w:type="dxa" w:w="2392"/>
          </w:tcPr>
          <w:p>
            <w:r>
              <w:rPr>
                <w:sz w:val="17"/>
              </w:rPr>
            </w:r>
            <w:r>
              <w:rPr>
                <w:sz w:val="17"/>
              </w:rPr>
              <w:t>Z01/​L01; equipment ME-022 and partition AR-007; 520 mm free space vs 600 mm need</w:t>
            </w:r>
          </w:p>
        </w:tc>
        <w:tc>
          <w:tcPr>
            <w:tcW w:type="dxa" w:w="2319"/>
          </w:tcPr>
          <w:p>
            <w:r>
              <w:rPr>
                <w:sz w:val="17"/>
              </w:rPr>
            </w:r>
            <w:r>
              <w:rPr>
                <w:sz w:val="17"/>
              </w:rPr>
              <w:t>SYN-VP-002; architectural designer with mechanical lead; Day 5; In Progress, S2</w:t>
            </w:r>
          </w:p>
        </w:tc>
        <w:tc>
          <w:tcPr>
            <w:tcW w:type="dxa" w:w="4542"/>
          </w:tcPr>
          <w:p>
            <w:r>
              <w:rPr>
                <w:sz w:val="17"/>
              </w:rPr>
            </w:r>
            <w:r>
              <w:rPr>
                <w:sz w:val="17"/>
              </w:rPr>
              <w:t>Move partition or redesign equipment arrangement under competent review; retain 80 mm shortfall in record; retest H and A with new exact models before closure</w:t>
            </w:r>
          </w:p>
        </w:tc>
      </w:tr>
    </w:tbl>
    <w:p/>
    <w:p>
      <w:pPr/>
      <w:r>
        <w:t>These are fully specified planning examples and expected test outcomes. No model files, genuine element GUIDs, executed runs, designer signatures or client approvals were supplied; none are asserted. The private project copy must replace SYN values with actual evidence before rule activation.</w:t>
      </w:r>
    </w:p>
    <w:p>
      <w:r>
        <w:drawing>
          <wp:inline xmlns:a="http://schemas.openxmlformats.org/drawingml/2006/main" xmlns:pic="http://schemas.openxmlformats.org/drawingml/2006/picture">
            <wp:extent cx="6645910" cy="3738324"/>
            <wp:docPr id="1" name="Picture 1"/>
            <wp:cNvGraphicFramePr>
              <a:graphicFrameLocks noChangeAspect="1"/>
            </wp:cNvGraphicFramePr>
            <a:graphic>
              <a:graphicData uri="http://schemas.openxmlformats.org/drawingml/2006/picture">
                <pic:pic>
                  <pic:nvPicPr>
                    <pic:cNvPr id="0" name="BBM-STD-50-coordination-evidence.png"/>
                    <pic:cNvPicPr/>
                  </pic:nvPicPr>
                  <pic:blipFill>
                    <a:blip r:embed="rId15"/>
                    <a:stretch>
                      <a:fillRect/>
                    </a:stretch>
                  </pic:blipFill>
                  <pic:spPr>
                    <a:xfrm>
                      <a:off x="0" y="0"/>
                      <a:ext cx="6645910" cy="3738324"/>
                    </a:xfrm>
                    <a:prstGeom prst="rect"/>
                  </pic:spPr>
                </pic:pic>
              </a:graphicData>
            </a:graphic>
          </wp:inline>
        </w:drawing>
      </w:r>
    </w:p>
    <w:p>
      <w:pPr/>
      <w:r>
        <w:rPr>
          <w:i/>
        </w:rPr>
        <w:t>A closed issue needs designer disposition, corrected revisions and an independent passing retest.</w:t>
      </w:r>
    </w:p>
    <w:p>
      <w:pPr>
        <w:pStyle w:val="Heading1"/>
      </w:pPr>
      <w:r>
        <w:t>7. Run, triage, correct and independently close</w:t>
      </w:r>
    </w:p>
    <w:p>
      <w:pPr>
        <w:pStyle w:val="ListParagraph"/>
        <w:spacing w:after="40"/>
        <w:ind w:left="360" w:hanging="280"/>
      </w:pPr>
      <w:r>
        <w:t xml:space="preserve">1.  </w:t>
      </w:r>
      <w:r>
        <w:t>Baseline the appointment, scope, information need and actual tool/build. Test a known intersection, compliant separation, access obstruction and deliberate duplicate. Confirm units, transform, precision and exclusion behavior.</w:t>
      </w:r>
    </w:p>
    <w:p>
      <w:pPr>
        <w:pStyle w:val="ListParagraph"/>
        <w:spacing w:after="40"/>
        <w:ind w:left="360" w:hanging="280"/>
      </w:pPr>
      <w:r>
        <w:t xml:space="preserve">2.  </w:t>
      </w:r>
      <w:r>
        <w:t xml:space="preserve">Freeze the federation manifest from approved Shared revisions. Each IFC source records schema, MVD and exporter build (office default IFC 4.0.2.1 Reference View; IFC 4.3.2.0 only by recorded approval after a passing test exchange; IFC2x3 only when an appointment or authority profile requires it; O-DEC-105) and a passing IFC validation report (buildingSMART IFC Validation Service or a qualified equivalent). IDS 1.0 results for information requirements are recorded separately, in the check sequence and record owned by </w:t>
      </w:r>
      <w:r>
        <w:rPr>
          <w:color w:val="9A7B45"/>
          <w:u w:val="single"/>
        </w:rPr>
        <w:t>BBM-STD-89</w:t>
      </w:r>
      <w:r>
        <w:t xml:space="preserve"> §5. A failing source is excluded and the coverage report shows the gap. [S08, S14, S15] Check coordinates against approved survey controls (at least 3 well-distributed control points plus elevation/unit probes, O-DEC-106), exact object/selection counts and scope coverage; unsupported provisional geometry is labelled and cannot certify installed accuracy.</w:t>
      </w:r>
    </w:p>
    <w:p>
      <w:pPr>
        <w:pStyle w:val="ListParagraph"/>
        <w:spacing w:after="40"/>
        <w:ind w:left="360" w:hanging="280"/>
      </w:pPr>
      <w:r>
        <w:t xml:space="preserve">3.  </w:t>
      </w:r>
      <w:r>
        <w:t>Execute enabled rules, including each required comment round and immediately before the affected exchange. Preserve selection/rule hashes and raw results. A changed model revision invalidates affected prior results and triggers interface regression checks.</w:t>
      </w:r>
    </w:p>
    <w:p>
      <w:pPr>
        <w:pStyle w:val="ListParagraph"/>
        <w:spacing w:after="40"/>
        <w:ind w:left="360" w:hanging="280"/>
      </w:pPr>
      <w:r>
        <w:t xml:space="preserve">4.  </w:t>
      </w:r>
      <w:r>
        <w:t>Group related findings by rule, unordered element pair and location. Keep one issue per design problem with child findings; preserve counts and raw IDs. Dismiss false positives only through evidenced exclusions. Never reduce the count by deleting uncomfortable issues.</w:t>
      </w:r>
    </w:p>
    <w:p>
      <w:pPr>
        <w:pStyle w:val="ListParagraph"/>
        <w:spacing w:after="40"/>
        <w:ind w:left="360" w:hanging="280"/>
      </w:pPr>
      <w:r>
        <w:t xml:space="preserve">5.  </w:t>
      </w:r>
      <w:r>
        <w:t>Competent designers agree the disposition and affected models/drawings/data. Raise a corrective action record if a baseline or process requirement is breached; link its cause, correction, prevention and verification to the issue.</w:t>
      </w:r>
    </w:p>
    <w:p>
      <w:pPr>
        <w:pStyle w:val="ListParagraph"/>
        <w:spacing w:after="40"/>
        <w:ind w:left="360" w:hanging="280"/>
      </w:pPr>
      <w:r>
        <w:t xml:space="preserve">6.  </w:t>
      </w:r>
      <w:r>
        <w:t>Producer completes L1 discipline QC: author and independent discipline checker identify themselves, close or formally withdraw every comment with evidence, and retain marked-up and clean sets.</w:t>
      </w:r>
    </w:p>
    <w:p>
      <w:pPr>
        <w:pStyle w:val="ListParagraph"/>
        <w:spacing w:after="40"/>
        <w:ind w:left="360" w:hanging="280"/>
      </w:pPr>
      <w:r>
        <w:t xml:space="preserve">7.  </w:t>
      </w:r>
      <w:r>
        <w:t>L2 cross-discipline review checks the revised federation, access, required information and model health. The issue owner sets Ready for Review with corrected revisions; a checker independent of the correction reruns the rule and affected interfaces.</w:t>
      </w:r>
    </w:p>
    <w:p>
      <w:pPr>
        <w:pStyle w:val="ListParagraph"/>
        <w:spacing w:after="40"/>
        <w:ind w:left="360" w:hanging="280"/>
      </w:pPr>
      <w:r>
        <w:t xml:space="preserve">8.  </w:t>
      </w:r>
      <w:r>
        <w:t>Only the checker records Closed after passing retest and designer approval. Reopen recurrence against the new run. A permissible accepted exception is a separate disposition with authority, expiry and residual owner; never mislabel it as geometrically resolved.</w:t>
      </w:r>
    </w:p>
    <w:p>
      <w:pPr>
        <w:pStyle w:val="ListParagraph"/>
        <w:spacing w:after="40"/>
        <w:ind w:left="360" w:hanging="280"/>
      </w:pPr>
      <w:r>
        <w:t xml:space="preserve">9.  </w:t>
      </w:r>
      <w:r>
        <w:t xml:space="preserve">L3 committee of discipline leads verifies L1/L2 evidence and records the gate outcome letter A, B or C (meaning per Glossary §1.5 and </w:t>
      </w:r>
      <w:r>
        <w:rPr>
          <w:color w:val="9A7B45"/>
          <w:u w:val="single"/>
        </w:rPr>
        <w:t>BBM-STD-93</w:t>
      </w:r>
      <w:r>
        <w:t xml:space="preserve"> §5, O-DEC-107) for the affected documents. Review tiers L1/L2/L3 and S1–S3 severities are defined once in BBM-STD-93 §8 (O-DEC-108). The project manager releases after that technical decision and the required delivery-team authorisation. The appointing party's acceptance of the exchange remains a separate decision.</w:t>
      </w:r>
    </w:p>
    <w:p>
      <w:pPr>
        <w:pStyle w:val="ListParagraph"/>
        <w:spacing w:after="40"/>
        <w:ind w:left="360" w:hanging="280"/>
      </w:pPr>
      <w:r>
        <w:t xml:space="preserve">10.  </w:t>
      </w:r>
      <w:r>
        <w:t>Audit the record trail, not merely the model: sample closed issues, exclusions and decisions; record defects, lessons and corrective actions. Revise the next rule baseline through change control and retest.</w:t>
      </w:r>
    </w:p>
    <w:p>
      <w:pPr/>
      <w:r>
        <w:rPr>
          <w:b/>
        </w:rPr>
        <w:t>Decision (BIM Manager, 2026-10-14):</w:t>
      </w:r>
      <w:r>
        <w:t xml:space="preserve"> Run weekly, every coordination comment round, on affected source/rule changes and before exchange; use Manual severity S1 Critical, S2 Major, S3 Minor. Basis: Retains the office issue-management service levels and adds revision-specific evidence and independent retest S04.</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54"/>
        <w:gridCol w:w="4158"/>
        <w:gridCol w:w="5454"/>
      </w:tblGrid>
      <w:tr>
        <w:trPr>
          <w:cantSplit/>
          <w:tblHeader/>
        </w:trPr>
        <w:tc>
          <w:tcPr>
            <w:tcW w:type="dxa" w:w="854"/>
            <w:shd w:val="clear" w:color="auto" w:fill="111113"/>
          </w:tcPr>
          <w:p>
            <w:r>
              <w:rPr>
                <w:b/>
                <w:color w:val="FFFFFF"/>
                <w:sz w:val="17"/>
              </w:rPr>
            </w:r>
            <w:r>
              <w:rPr>
                <w:b/>
                <w:color w:val="FFFFFF"/>
                <w:sz w:val="17"/>
              </w:rPr>
              <w:t>Severity</w:t>
            </w:r>
          </w:p>
        </w:tc>
        <w:tc>
          <w:tcPr>
            <w:tcW w:type="dxa" w:w="4158"/>
            <w:shd w:val="clear" w:color="auto" w:fill="111113"/>
          </w:tcPr>
          <w:p>
            <w:r>
              <w:rPr>
                <w:b/>
                <w:color w:val="FFFFFF"/>
                <w:sz w:val="17"/>
              </w:rPr>
            </w:r>
            <w:r>
              <w:rPr>
                <w:b/>
                <w:color w:val="FFFFFF"/>
                <w:sz w:val="17"/>
              </w:rPr>
              <w:t>Office response /​ deadline</w:t>
            </w:r>
          </w:p>
        </w:tc>
        <w:tc>
          <w:tcPr>
            <w:tcW w:type="dxa" w:w="5454"/>
            <w:shd w:val="clear" w:color="auto" w:fill="111113"/>
          </w:tcPr>
          <w:p>
            <w:r>
              <w:rPr>
                <w:b/>
                <w:color w:val="FFFFFF"/>
                <w:sz w:val="17"/>
              </w:rPr>
            </w:r>
            <w:r>
              <w:rPr>
                <w:b/>
                <w:color w:val="FFFFFF"/>
                <w:sz w:val="17"/>
              </w:rPr>
              <w:t>Escalation and old-code migration</w:t>
            </w:r>
          </w:p>
        </w:tc>
      </w:tr>
      <w:tr>
        <w:trPr>
          <w:cantSplit/>
        </w:trPr>
        <w:tc>
          <w:tcPr>
            <w:tcW w:type="dxa" w:w="854"/>
          </w:tcPr>
          <w:p>
            <w:r>
              <w:rPr>
                <w:sz w:val="17"/>
              </w:rPr>
            </w:r>
            <w:r>
              <w:rPr>
                <w:sz w:val="17"/>
              </w:rPr>
              <w:t>S1 Critical</w:t>
            </w:r>
          </w:p>
        </w:tc>
        <w:tc>
          <w:tcPr>
            <w:tcW w:type="dxa" w:w="4158"/>
          </w:tcPr>
          <w:p>
            <w:r>
              <w:rPr>
                <w:sz w:val="17"/>
              </w:rPr>
            </w:r>
            <w:r>
              <w:rPr>
                <w:sz w:val="17"/>
              </w:rPr>
              <w:t>Acknowledge within 4 working hours; target correction within 2 working days; immediately stop affected unsafe/​release work</w:t>
            </w:r>
          </w:p>
        </w:tc>
        <w:tc>
          <w:tcPr>
            <w:tcW w:type="dxa" w:w="5454"/>
          </w:tcPr>
          <w:p>
            <w:r>
              <w:rPr>
                <w:sz w:val="17"/>
              </w:rPr>
            </w:r>
            <w:r>
              <w:rPr>
                <w:sz w:val="17"/>
              </w:rPr>
              <w:t>Escalate to discipline leads and project manager immediately; legacy C/​priority 1 assessed for actual effect, not automatically “Low” by size</w:t>
            </w:r>
          </w:p>
        </w:tc>
      </w:tr>
      <w:tr>
        <w:trPr>
          <w:cantSplit/>
        </w:trPr>
        <w:tc>
          <w:tcPr>
            <w:tcW w:type="dxa" w:w="854"/>
          </w:tcPr>
          <w:p>
            <w:r>
              <w:rPr>
                <w:sz w:val="17"/>
              </w:rPr>
            </w:r>
            <w:r>
              <w:rPr>
                <w:sz w:val="17"/>
              </w:rPr>
              <w:t>S2 Major</w:t>
            </w:r>
          </w:p>
        </w:tc>
        <w:tc>
          <w:tcPr>
            <w:tcW w:type="dxa" w:w="4158"/>
          </w:tcPr>
          <w:p>
            <w:r>
              <w:rPr>
                <w:sz w:val="17"/>
              </w:rPr>
            </w:r>
            <w:r>
              <w:rPr>
                <w:sz w:val="17"/>
              </w:rPr>
              <w:t>Correct within 5 working days or earlier gate</w:t>
            </w:r>
          </w:p>
        </w:tc>
        <w:tc>
          <w:tcPr>
            <w:tcW w:type="dxa" w:w="5454"/>
          </w:tcPr>
          <w:p>
            <w:r>
              <w:rPr>
                <w:sz w:val="17"/>
              </w:rPr>
            </w:r>
            <w:r>
              <w:rPr>
                <w:sz w:val="17"/>
              </w:rPr>
              <w:t>Escalate overdue or dependency-impacting issues; legacy H/​priority 1 normally investigated here if not critical</w:t>
            </w:r>
          </w:p>
        </w:tc>
      </w:tr>
      <w:tr>
        <w:trPr>
          <w:cantSplit/>
        </w:trPr>
        <w:tc>
          <w:tcPr>
            <w:tcW w:type="dxa" w:w="854"/>
          </w:tcPr>
          <w:p>
            <w:r>
              <w:rPr>
                <w:sz w:val="17"/>
              </w:rPr>
            </w:r>
            <w:r>
              <w:rPr>
                <w:sz w:val="17"/>
              </w:rPr>
              <w:t>S3 Minor</w:t>
            </w:r>
          </w:p>
        </w:tc>
        <w:tc>
          <w:tcPr>
            <w:tcW w:type="dxa" w:w="4158"/>
          </w:tcPr>
          <w:p>
            <w:r>
              <w:rPr>
                <w:sz w:val="17"/>
              </w:rPr>
            </w:r>
            <w:r>
              <w:rPr>
                <w:sz w:val="17"/>
              </w:rPr>
              <w:t>Correct or record permissible disposition before next gate</w:t>
            </w:r>
          </w:p>
        </w:tc>
        <w:tc>
          <w:tcPr>
            <w:tcW w:type="dxa" w:w="5454"/>
          </w:tcPr>
          <w:p>
            <w:r>
              <w:rPr>
                <w:sz w:val="17"/>
              </w:rPr>
            </w:r>
            <w:r>
              <w:rPr>
                <w:sz w:val="17"/>
              </w:rPr>
              <w:t>Legacy M/​L/​priorities 2/​3 are reassessed; mandatory failures still block release regardless of severity</w:t>
            </w:r>
          </w:p>
        </w:tc>
      </w:tr>
    </w:tbl>
    <w:p/>
    <w:p>
      <w:pPr/>
      <w:r>
        <w:t>A deadline extension requires a revised action plan, competent authority and affected-recipient notice; it cannot permit a binding safety/access failure. The office working calendar defines working hours/days. These S codes are issue severity, SU codes are suitability, and gate outcomes are the letters A/B/C (O-DEC-107); none are RACI responsibilities.</w:t>
      </w:r>
    </w:p>
    <w:p>
      <w:pPr>
        <w:pStyle w:val="Heading1"/>
      </w:pPr>
      <w:r>
        <w:t>8. Self-check and adoption gate</w:t>
      </w:r>
    </w:p>
    <w:p>
      <w:pPr>
        <w:pStyle w:val="ListParagraph"/>
        <w:spacing w:after="40"/>
        <w:ind w:left="360" w:hanging="240"/>
      </w:pPr>
      <w:r>
        <w:t xml:space="preserve">•  </w:t>
      </w:r>
      <w:r>
        <w:t>Every applicable trade pair and meaningful object selection has approved rules or justified NA; no U, blank, empty unexplained set or missing clearance/access basis.</w:t>
      </w:r>
    </w:p>
    <w:p>
      <w:pPr>
        <w:pStyle w:val="ListParagraph"/>
        <w:spacing w:after="40"/>
        <w:ind w:left="360" w:hanging="240"/>
      </w:pPr>
      <w:r>
        <w:t xml:space="preserve">•  </w:t>
      </w:r>
      <w:r>
        <w:t>Manifest IDs/revisions, units, transforms and tested builds match the delivered set. Exact rule/settings hashes and run evidence are retained.</w:t>
      </w:r>
    </w:p>
    <w:p>
      <w:pPr>
        <w:pStyle w:val="ListParagraph"/>
        <w:spacing w:after="40"/>
        <w:ind w:left="360" w:hanging="240"/>
      </w:pPr>
      <w:r>
        <w:t xml:space="preserve">•  </w:t>
      </w:r>
      <w:r>
        <w:t>Exclusions have scope, approver, evidence, expiry and no forbidden safety waiver. Duplicate grouping preserves raw evidence.</w:t>
      </w:r>
    </w:p>
    <w:p>
      <w:pPr>
        <w:pStyle w:val="ListParagraph"/>
        <w:spacing w:after="40"/>
        <w:ind w:left="360" w:hanging="240"/>
      </w:pPr>
      <w:r>
        <w:t xml:space="preserve">•  </w:t>
      </w:r>
      <w:r>
        <w:t>Every issue has elements, viewpoint, assignee, due date, severity, status and designer disposition. Closed records have corrected revision, independent retest and checker identity/date.</w:t>
      </w:r>
    </w:p>
    <w:p>
      <w:pPr>
        <w:pStyle w:val="ListParagraph"/>
        <w:spacing w:after="40"/>
        <w:ind w:left="360" w:hanging="240"/>
      </w:pPr>
      <w:r>
        <w:t xml:space="preserve">•  </w:t>
      </w:r>
      <w:r>
        <w:t>Every applicable mandatory requirement passes; no required hard/access/safety failure remains in issued scope. Required L1/L2 and L3 decision precede project-manager release and separate recipient acceptance.</w:t>
      </w:r>
    </w:p>
    <w:p>
      <w:pPr>
        <w:pStyle w:val="ListParagraph"/>
        <w:spacing w:after="40"/>
        <w:ind w:left="360" w:hanging="240"/>
      </w:pPr>
      <w:r>
        <w:t xml:space="preserve">•  </w:t>
      </w:r>
      <w:r>
        <w:t>A changed rule, model, requirement or manufacturer source is checked through impacted interfaces; suppliers receive the new baseline and acknowledge it.</w:t>
      </w:r>
    </w:p>
    <w:p>
      <w:pPr/>
      <w:r>
        <w:t>Common failures: loading the most recent filesystem file instead of the approved Shared revision; excluding insulated geometry; testing empty sets; accepting the low issue count; converting every clearance into one distance; closing on a screenshot; treating priority as change authority; assuming a filename or browser Publish folder is formal release.</w:t>
      </w:r>
    </w:p>
    <w:p>
      <w:pPr>
        <w:pStyle w:val="Heading1"/>
      </w:pPr>
      <w:r>
        <w:t>9. Correction trace and operational records still required</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163"/>
        <w:gridCol w:w="8303"/>
      </w:tblGrid>
      <w:tr>
        <w:trPr>
          <w:cantSplit/>
          <w:tblHeader/>
        </w:trPr>
        <w:tc>
          <w:tcPr>
            <w:tcW w:type="dxa" w:w="2163"/>
            <w:shd w:val="clear" w:color="auto" w:fill="111113"/>
          </w:tcPr>
          <w:p>
            <w:r>
              <w:rPr>
                <w:b/>
                <w:color w:val="FFFFFF"/>
                <w:sz w:val="17"/>
              </w:rPr>
            </w:r>
            <w:r>
              <w:rPr>
                <w:b/>
                <w:color w:val="FFFFFF"/>
                <w:sz w:val="17"/>
              </w:rPr>
              <w:t>Research /​ gap /​ conflict</w:t>
            </w:r>
          </w:p>
        </w:tc>
        <w:tc>
          <w:tcPr>
            <w:tcW w:type="dxa" w:w="8303"/>
            <w:shd w:val="clear" w:color="auto" w:fill="111113"/>
          </w:tcPr>
          <w:p>
            <w:r>
              <w:rPr>
                <w:b/>
                <w:color w:val="FFFFFF"/>
                <w:sz w:val="17"/>
              </w:rPr>
            </w:r>
            <w:r>
              <w:rPr>
                <w:b/>
                <w:color w:val="FFFFFF"/>
                <w:sz w:val="17"/>
              </w:rPr>
              <w:t>Present evidence in this revision</w:t>
            </w:r>
          </w:p>
        </w:tc>
      </w:tr>
      <w:tr>
        <w:trPr>
          <w:cantSplit/>
        </w:trPr>
        <w:tc>
          <w:tcPr>
            <w:tcW w:type="dxa" w:w="2163"/>
          </w:tcPr>
          <w:p>
            <w:r>
              <w:rPr>
                <w:sz w:val="17"/>
              </w:rPr>
            </w:r>
            <w:r>
              <w:rPr>
                <w:sz w:val="17"/>
              </w:rPr>
              <w:t>T10.1</w:t>
            </w:r>
          </w:p>
        </w:tc>
        <w:tc>
          <w:tcPr>
            <w:tcW w:type="dxa" w:w="8303"/>
          </w:tcPr>
          <w:p>
            <w:r>
              <w:rPr>
                <w:sz w:val="17"/>
              </w:rPr>
            </w:r>
            <w:r>
              <w:rPr>
                <w:sz w:val="17"/>
              </w:rPr>
              <w:t>Sections 4–7: full trade scope, model/​zone/​revision manifest, frequency and change triggers</w:t>
            </w:r>
          </w:p>
        </w:tc>
      </w:tr>
      <w:tr>
        <w:trPr>
          <w:cantSplit/>
        </w:trPr>
        <w:tc>
          <w:tcPr>
            <w:tcW w:type="dxa" w:w="2163"/>
          </w:tcPr>
          <w:p>
            <w:r>
              <w:rPr>
                <w:sz w:val="17"/>
              </w:rPr>
            </w:r>
            <w:r>
              <w:rPr>
                <w:sz w:val="17"/>
              </w:rPr>
              <w:t>T10.2</w:t>
            </w:r>
          </w:p>
        </w:tc>
        <w:tc>
          <w:tcPr>
            <w:tcW w:type="dxa" w:w="8303"/>
          </w:tcPr>
          <w:p>
            <w:r>
              <w:rPr>
                <w:sz w:val="17"/>
              </w:rPr>
            </w:r>
            <w:r>
              <w:rPr>
                <w:sz w:val="17"/>
              </w:rPr>
              <w:t>Section 3: separate H/​C/​A methods and approved requirement sources; no stage-derived tolerance</w:t>
            </w:r>
          </w:p>
        </w:tc>
      </w:tr>
      <w:tr>
        <w:trPr>
          <w:cantSplit/>
        </w:trPr>
        <w:tc>
          <w:tcPr>
            <w:tcW w:type="dxa" w:w="2163"/>
          </w:tcPr>
          <w:p>
            <w:r>
              <w:rPr>
                <w:sz w:val="17"/>
              </w:rPr>
            </w:r>
            <w:r>
              <w:rPr>
                <w:sz w:val="17"/>
              </w:rPr>
              <w:t>T10.3</w:t>
            </w:r>
          </w:p>
        </w:tc>
        <w:tc>
          <w:tcPr>
            <w:tcW w:type="dxa" w:w="8303"/>
          </w:tcPr>
          <w:p>
            <w:r>
              <w:rPr>
                <w:sz w:val="17"/>
              </w:rPr>
            </w:r>
            <w:r>
              <w:rPr>
                <w:sz w:val="17"/>
              </w:rPr>
              <w:t>Sections 4–7: pair coverage, exclusions, duplicate grouping, severity and permissible disposition</w:t>
            </w:r>
          </w:p>
        </w:tc>
      </w:tr>
      <w:tr>
        <w:trPr>
          <w:cantSplit/>
        </w:trPr>
        <w:tc>
          <w:tcPr>
            <w:tcW w:type="dxa" w:w="2163"/>
          </w:tcPr>
          <w:p>
            <w:r>
              <w:rPr>
                <w:sz w:val="17"/>
              </w:rPr>
            </w:r>
            <w:r>
              <w:rPr>
                <w:sz w:val="17"/>
              </w:rPr>
              <w:t>T10.4</w:t>
            </w:r>
          </w:p>
        </w:tc>
        <w:tc>
          <w:tcPr>
            <w:tcW w:type="dxa" w:w="8303"/>
          </w:tcPr>
          <w:p>
            <w:r>
              <w:rPr>
                <w:sz w:val="17"/>
              </w:rPr>
            </w:r>
            <w:r>
              <w:rPr>
                <w:sz w:val="17"/>
              </w:rPr>
              <w:t>Sections 5–6: issue/​BCF IDs, GUIDs, viewpoints, ownership, dates and states</w:t>
            </w:r>
          </w:p>
        </w:tc>
      </w:tr>
      <w:tr>
        <w:trPr>
          <w:cantSplit/>
        </w:trPr>
        <w:tc>
          <w:tcPr>
            <w:tcW w:type="dxa" w:w="2163"/>
          </w:tcPr>
          <w:p>
            <w:r>
              <w:rPr>
                <w:sz w:val="17"/>
              </w:rPr>
            </w:r>
            <w:r>
              <w:rPr>
                <w:sz w:val="17"/>
              </w:rPr>
              <w:t>T10.5</w:t>
            </w:r>
          </w:p>
        </w:tc>
        <w:tc>
          <w:tcPr>
            <w:tcW w:type="dxa" w:w="8303"/>
          </w:tcPr>
          <w:p>
            <w:r>
              <w:rPr>
                <w:sz w:val="17"/>
              </w:rPr>
            </w:r>
            <w:r>
              <w:rPr>
                <w:sz w:val="17"/>
              </w:rPr>
              <w:t>Sections 6–8: competent design disposition, independent retest, closure and recurrence evidence</w:t>
            </w:r>
          </w:p>
        </w:tc>
      </w:tr>
      <w:tr>
        <w:trPr>
          <w:cantSplit/>
        </w:trPr>
        <w:tc>
          <w:tcPr>
            <w:tcW w:type="dxa" w:w="2163"/>
          </w:tcPr>
          <w:p>
            <w:r>
              <w:rPr>
                <w:sz w:val="17"/>
              </w:rPr>
            </w:r>
            <w:r>
              <w:rPr>
                <w:sz w:val="17"/>
              </w:rPr>
              <w:t>O06 P1 /​ C06 /​ C11</w:t>
            </w:r>
          </w:p>
        </w:tc>
        <w:tc>
          <w:tcPr>
            <w:tcW w:type="dxa" w:w="8303"/>
          </w:tcPr>
          <w:p>
            <w:r>
              <w:rPr>
                <w:sz w:val="17"/>
              </w:rPr>
            </w:r>
            <w:r>
              <w:rPr>
                <w:sz w:val="17"/>
              </w:rPr>
              <w:t>Conflicting 15/​5 mm retired explicitly; correct stages; broken banner replaced; actor corrected; one rule table</w:t>
            </w:r>
          </w:p>
        </w:tc>
      </w:tr>
      <w:tr>
        <w:trPr>
          <w:cantSplit/>
        </w:trPr>
        <w:tc>
          <w:tcPr>
            <w:tcW w:type="dxa" w:w="2163"/>
          </w:tcPr>
          <w:p>
            <w:r>
              <w:rPr>
                <w:sz w:val="17"/>
              </w:rPr>
            </w:r>
            <w:r>
              <w:rPr>
                <w:sz w:val="17"/>
              </w:rPr>
              <w:t>O06 P2 /​ C04 /​ C07</w:t>
            </w:r>
          </w:p>
        </w:tc>
        <w:tc>
          <w:tcPr>
            <w:tcW w:type="dxa" w:w="8303"/>
          </w:tcPr>
          <w:p>
            <w:r>
              <w:rPr>
                <w:sz w:val="17"/>
              </w:rPr>
            </w:r>
            <w:r>
              <w:rPr>
                <w:sz w:val="17"/>
              </w:rPr>
              <w:t>Versioned manifests, exclusions, issue links, release threshold, separate suitability/​severity and acceptance</w:t>
            </w:r>
          </w:p>
        </w:tc>
      </w:tr>
      <w:tr>
        <w:trPr>
          <w:cantSplit/>
        </w:trPr>
        <w:tc>
          <w:tcPr>
            <w:tcW w:type="dxa" w:w="2163"/>
          </w:tcPr>
          <w:p>
            <w:r>
              <w:rPr>
                <w:sz w:val="17"/>
              </w:rPr>
            </w:r>
            <w:r>
              <w:rPr>
                <w:sz w:val="17"/>
              </w:rPr>
              <w:t>O06 P3</w:t>
            </w:r>
          </w:p>
        </w:tc>
        <w:tc>
          <w:tcPr>
            <w:tcW w:type="dxa" w:w="8303"/>
          </w:tcPr>
          <w:p>
            <w:r>
              <w:rPr>
                <w:sz w:val="17"/>
              </w:rPr>
            </w:r>
            <w:r>
              <w:rPr>
                <w:sz w:val="17"/>
              </w:rPr>
              <w:t>Pair matrix generated from approved register; cardinality and NA coverage check specified</w:t>
            </w:r>
          </w:p>
        </w:tc>
      </w:tr>
      <w:tr>
        <w:trPr>
          <w:cantSplit/>
        </w:trPr>
        <w:tc>
          <w:tcPr>
            <w:tcW w:type="dxa" w:w="2163"/>
          </w:tcPr>
          <w:p>
            <w:r>
              <w:rPr>
                <w:sz w:val="17"/>
              </w:rPr>
            </w:r>
            <w:r>
              <w:rPr>
                <w:sz w:val="17"/>
              </w:rPr>
              <w:t>C02 /​ C03 /​ C08 /​ C10 /​ C12 /​ C16</w:t>
            </w:r>
          </w:p>
        </w:tc>
        <w:tc>
          <w:tcPr>
            <w:tcW w:type="dxa" w:w="8303"/>
          </w:tcPr>
          <w:p>
            <w:r>
              <w:rPr>
                <w:sz w:val="17"/>
              </w:rPr>
            </w:r>
            <w:r>
              <w:rPr>
                <w:sz w:val="17"/>
              </w:rPr>
              <w:t>Shared naming/​metadata; linked MIDP/​TIDP; private provenance; survey/​build qualification; competent safety authority</w:t>
            </w:r>
          </w:p>
        </w:tc>
      </w:tr>
    </w:tbl>
    <w:p/>
    <w:p>
      <w:pPr/>
      <w:r>
        <w:t>Editorial revision is complete. Operational activation still needs the real appointment, tool qualification, approved source/selection/rule manifests, designer evidence, independent executed retests and release/acceptance records. Record them in the project copy; this method and synthetic examples are not proof those actions occurred.</w:t>
      </w:r>
    </w:p>
    <w:p>
      <w:pPr>
        <w:pStyle w:val="Heading1"/>
      </w:pPr>
      <w:r>
        <w:t>References</w:t>
      </w:r>
    </w:p>
    <w:p>
      <w:pPr/>
      <w:r>
        <w:t>RESEARCH.md source tags below identify editions actually used. References establish scope and practice; no unverified ISO clause is asserted. Office defaults are local decisions, not ISO-mandated numerical limits.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463"/>
        <w:gridCol w:w="3189"/>
        <w:gridCol w:w="2016"/>
        <w:gridCol w:w="2240"/>
        <w:gridCol w:w="2557"/>
      </w:tblGrid>
      <w:tr>
        <w:trPr>
          <w:cantSplit/>
          <w:tblHeader/>
        </w:trPr>
        <w:tc>
          <w:tcPr>
            <w:tcW w:type="dxa" w:w="463"/>
            <w:shd w:val="clear" w:color="auto" w:fill="111113"/>
          </w:tcPr>
          <w:p>
            <w:r>
              <w:rPr>
                <w:b/>
                <w:color w:val="FFFFFF"/>
                <w:sz w:val="17"/>
              </w:rPr>
            </w:r>
            <w:r>
              <w:rPr>
                <w:b/>
                <w:color w:val="FFFFFF"/>
                <w:sz w:val="17"/>
              </w:rPr>
              <w:t>Tag</w:t>
            </w:r>
          </w:p>
        </w:tc>
        <w:tc>
          <w:tcPr>
            <w:tcW w:type="dxa" w:w="3189"/>
            <w:shd w:val="clear" w:color="auto" w:fill="111113"/>
          </w:tcPr>
          <w:p>
            <w:r>
              <w:rPr>
                <w:b/>
                <w:color w:val="FFFFFF"/>
                <w:sz w:val="17"/>
              </w:rPr>
            </w:r>
            <w:r>
              <w:rPr>
                <w:b/>
                <w:color w:val="FFFFFF"/>
                <w:sz w:val="17"/>
              </w:rPr>
              <w:t>Title</w:t>
            </w:r>
          </w:p>
        </w:tc>
        <w:tc>
          <w:tcPr>
            <w:tcW w:type="dxa" w:w="2016"/>
            <w:shd w:val="clear" w:color="auto" w:fill="111113"/>
          </w:tcPr>
          <w:p>
            <w:r>
              <w:rPr>
                <w:b/>
                <w:color w:val="FFFFFF"/>
                <w:sz w:val="17"/>
              </w:rPr>
            </w:r>
            <w:r>
              <w:rPr>
                <w:b/>
                <w:color w:val="FFFFFF"/>
                <w:sz w:val="17"/>
              </w:rPr>
              <w:t>Publisher</w:t>
            </w:r>
          </w:p>
        </w:tc>
        <w:tc>
          <w:tcPr>
            <w:tcW w:type="dxa" w:w="2240"/>
            <w:shd w:val="clear" w:color="auto" w:fill="111113"/>
          </w:tcPr>
          <w:p>
            <w:r>
              <w:rPr>
                <w:b/>
                <w:color w:val="FFFFFF"/>
                <w:sz w:val="17"/>
              </w:rPr>
            </w:r>
            <w:r>
              <w:rPr>
                <w:b/>
                <w:color w:val="FFFFFF"/>
                <w:sz w:val="17"/>
              </w:rPr>
              <w:t>Year /​ edition</w:t>
            </w:r>
          </w:p>
        </w:tc>
        <w:tc>
          <w:tcPr>
            <w:tcW w:type="dxa" w:w="2557"/>
            <w:shd w:val="clear" w:color="auto" w:fill="111113"/>
          </w:tcPr>
          <w:p>
            <w:r>
              <w:rPr>
                <w:b/>
                <w:color w:val="FFFFFF"/>
                <w:sz w:val="17"/>
              </w:rPr>
            </w:r>
            <w:r>
              <w:rPr>
                <w:b/>
                <w:color w:val="FFFFFF"/>
                <w:sz w:val="17"/>
              </w:rPr>
              <w:t>URL /​ evidence</w:t>
            </w:r>
          </w:p>
        </w:tc>
      </w:tr>
      <w:tr>
        <w:trPr>
          <w:cantSplit/>
        </w:trPr>
        <w:tc>
          <w:tcPr>
            <w:tcW w:type="dxa" w:w="463"/>
          </w:tcPr>
          <w:p>
            <w:r>
              <w:rPr>
                <w:sz w:val="17"/>
              </w:rPr>
            </w:r>
            <w:r>
              <w:rPr>
                <w:sz w:val="17"/>
              </w:rPr>
              <w:t>S01</w:t>
            </w:r>
          </w:p>
        </w:tc>
        <w:tc>
          <w:tcPr>
            <w:tcW w:type="dxa" w:w="3189"/>
          </w:tcPr>
          <w:p>
            <w:r>
              <w:rPr>
                <w:sz w:val="17"/>
              </w:rPr>
            </w:r>
            <w:r>
              <w:rPr>
                <w:sz w:val="17"/>
              </w:rPr>
              <w:t>ISO 19650-1 — Concepts and principles</w:t>
            </w:r>
          </w:p>
        </w:tc>
        <w:tc>
          <w:tcPr>
            <w:tcW w:type="dxa" w:w="2016"/>
          </w:tcPr>
          <w:p>
            <w:r>
              <w:rPr>
                <w:sz w:val="17"/>
              </w:rPr>
            </w:r>
            <w:r>
              <w:rPr>
                <w:sz w:val="17"/>
              </w:rPr>
              <w:t>ISO</w:t>
            </w:r>
          </w:p>
        </w:tc>
        <w:tc>
          <w:tcPr>
            <w:tcW w:type="dxa" w:w="2240"/>
          </w:tcPr>
          <w:p>
            <w:r>
              <w:rPr>
                <w:sz w:val="17"/>
              </w:rPr>
            </w:r>
            <w:r>
              <w:rPr>
                <w:sz w:val="17"/>
              </w:rPr>
              <w:t>2018, ed.1 in force; ISO/​DIS 19650-1 ed.2 at stage 40.93, not in force</w:t>
            </w:r>
          </w:p>
        </w:tc>
        <w:tc>
          <w:tcPr>
            <w:tcW w:type="dxa" w:w="2557"/>
          </w:tcPr>
          <w:p>
            <w:r>
              <w:rPr>
                <w:sz w:val="17"/>
              </w:rPr>
            </w:r>
            <w:r>
              <w:rPr>
                <w:color w:val="9A7B45"/>
                <w:sz w:val="17"/>
                <w:u w:val="single"/>
              </w:rPr>
              <w:t>Catalogue</w:t>
            </w:r>
            <w:r>
              <w:rPr>
                <w:sz w:val="17"/>
              </w:rPr>
              <w:t>; checked 2026-11-04</w:t>
            </w:r>
          </w:p>
        </w:tc>
      </w:tr>
      <w:tr>
        <w:trPr>
          <w:cantSplit/>
        </w:trPr>
        <w:tc>
          <w:tcPr>
            <w:tcW w:type="dxa" w:w="463"/>
          </w:tcPr>
          <w:p>
            <w:r>
              <w:rPr>
                <w:sz w:val="17"/>
              </w:rPr>
            </w:r>
            <w:r>
              <w:rPr>
                <w:sz w:val="17"/>
              </w:rPr>
              <w:t>S02</w:t>
            </w:r>
          </w:p>
        </w:tc>
        <w:tc>
          <w:tcPr>
            <w:tcW w:type="dxa" w:w="3189"/>
          </w:tcPr>
          <w:p>
            <w:r>
              <w:rPr>
                <w:sz w:val="17"/>
              </w:rPr>
            </w:r>
            <w:r>
              <w:rPr>
                <w:sz w:val="17"/>
              </w:rPr>
              <w:t>ISO 19650-2 — Delivery phase of the assets</w:t>
            </w:r>
          </w:p>
        </w:tc>
        <w:tc>
          <w:tcPr>
            <w:tcW w:type="dxa" w:w="2016"/>
          </w:tcPr>
          <w:p>
            <w:r>
              <w:rPr>
                <w:sz w:val="17"/>
              </w:rPr>
            </w:r>
            <w:r>
              <w:rPr>
                <w:sz w:val="17"/>
              </w:rPr>
              <w:t>ISO</w:t>
            </w:r>
          </w:p>
        </w:tc>
        <w:tc>
          <w:tcPr>
            <w:tcW w:type="dxa" w:w="2240"/>
          </w:tcPr>
          <w:p>
            <w:r>
              <w:rPr>
                <w:sz w:val="17"/>
              </w:rPr>
            </w:r>
            <w:r>
              <w:rPr>
                <w:sz w:val="17"/>
              </w:rPr>
              <w:t>2018, ed.1 in force; ISO/​DIS 19650-2 at stage 40.93, not in force</w:t>
            </w:r>
          </w:p>
        </w:tc>
        <w:tc>
          <w:tcPr>
            <w:tcW w:type="dxa" w:w="2557"/>
          </w:tcPr>
          <w:p>
            <w:r>
              <w:rPr>
                <w:sz w:val="17"/>
              </w:rPr>
            </w:r>
            <w:r>
              <w:rPr>
                <w:color w:val="9A7B45"/>
                <w:sz w:val="17"/>
                <w:u w:val="single"/>
              </w:rPr>
              <w:t>Catalogue</w:t>
            </w:r>
            <w:r>
              <w:rPr>
                <w:sz w:val="17"/>
              </w:rPr>
              <w:t>; checked 2026-11-04</w:t>
            </w:r>
          </w:p>
        </w:tc>
      </w:tr>
      <w:tr>
        <w:trPr>
          <w:cantSplit/>
        </w:trPr>
        <w:tc>
          <w:tcPr>
            <w:tcW w:type="dxa" w:w="463"/>
          </w:tcPr>
          <w:p>
            <w:r>
              <w:rPr>
                <w:sz w:val="17"/>
              </w:rPr>
            </w:r>
            <w:r>
              <w:rPr>
                <w:sz w:val="17"/>
              </w:rPr>
              <w:t>S04</w:t>
            </w:r>
          </w:p>
        </w:tc>
        <w:tc>
          <w:tcPr>
            <w:tcW w:type="dxa" w:w="3189"/>
          </w:tcPr>
          <w:p>
            <w:r>
              <w:rPr>
                <w:sz w:val="17"/>
              </w:rPr>
            </w:r>
            <w:r>
              <w:rPr>
                <w:sz w:val="17"/>
              </w:rPr>
              <w:t>ISO 19650-4 — Information exchange</w:t>
            </w:r>
          </w:p>
        </w:tc>
        <w:tc>
          <w:tcPr>
            <w:tcW w:type="dxa" w:w="2016"/>
          </w:tcPr>
          <w:p>
            <w:r>
              <w:rPr>
                <w:sz w:val="17"/>
              </w:rPr>
            </w:r>
            <w:r>
              <w:rPr>
                <w:sz w:val="17"/>
              </w:rPr>
              <w:t>ISO</w:t>
            </w:r>
          </w:p>
        </w:tc>
        <w:tc>
          <w:tcPr>
            <w:tcW w:type="dxa" w:w="2240"/>
          </w:tcPr>
          <w:p>
            <w:r>
              <w:rPr>
                <w:sz w:val="17"/>
              </w:rPr>
            </w:r>
            <w:r>
              <w:rPr>
                <w:sz w:val="17"/>
              </w:rPr>
              <w:t>2022, ed.1</w:t>
            </w:r>
          </w:p>
        </w:tc>
        <w:tc>
          <w:tcPr>
            <w:tcW w:type="dxa" w:w="2557"/>
          </w:tcPr>
          <w:p>
            <w:r>
              <w:rPr>
                <w:sz w:val="17"/>
              </w:rPr>
            </w:r>
            <w:r>
              <w:rPr>
                <w:color w:val="9A7B45"/>
                <w:sz w:val="17"/>
                <w:u w:val="single"/>
              </w:rPr>
              <w:t>Catalogue /​ abstract</w:t>
            </w:r>
          </w:p>
        </w:tc>
      </w:tr>
      <w:tr>
        <w:trPr>
          <w:cantSplit/>
        </w:trPr>
        <w:tc>
          <w:tcPr>
            <w:tcW w:type="dxa" w:w="463"/>
          </w:tcPr>
          <w:p>
            <w:r>
              <w:rPr>
                <w:sz w:val="17"/>
              </w:rPr>
            </w:r>
            <w:r>
              <w:rPr>
                <w:sz w:val="17"/>
              </w:rPr>
              <w:t>S05</w:t>
            </w:r>
          </w:p>
        </w:tc>
        <w:tc>
          <w:tcPr>
            <w:tcW w:type="dxa" w:w="3189"/>
          </w:tcPr>
          <w:p>
            <w:r>
              <w:rPr>
                <w:sz w:val="17"/>
              </w:rPr>
            </w:r>
            <w:r>
              <w:rPr>
                <w:sz w:val="17"/>
              </w:rPr>
              <w:t>ISO 19650-5 — Security-minded approach to information management</w:t>
            </w:r>
          </w:p>
        </w:tc>
        <w:tc>
          <w:tcPr>
            <w:tcW w:type="dxa" w:w="2016"/>
          </w:tcPr>
          <w:p>
            <w:r>
              <w:rPr>
                <w:sz w:val="17"/>
              </w:rPr>
            </w:r>
            <w:r>
              <w:rPr>
                <w:sz w:val="17"/>
              </w:rPr>
              <w:t>ISO</w:t>
            </w:r>
          </w:p>
        </w:tc>
        <w:tc>
          <w:tcPr>
            <w:tcW w:type="dxa" w:w="2240"/>
          </w:tcPr>
          <w:p>
            <w:r>
              <w:rPr>
                <w:sz w:val="17"/>
              </w:rPr>
            </w:r>
            <w:r>
              <w:rPr>
                <w:sz w:val="17"/>
              </w:rPr>
              <w:t>2020, ed.1</w:t>
            </w:r>
          </w:p>
        </w:tc>
        <w:tc>
          <w:tcPr>
            <w:tcW w:type="dxa" w:w="2557"/>
          </w:tcPr>
          <w:p>
            <w:r>
              <w:rPr>
                <w:sz w:val="17"/>
              </w:rPr>
            </w:r>
            <w:r>
              <w:rPr>
                <w:color w:val="9A7B45"/>
                <w:sz w:val="17"/>
                <w:u w:val="single"/>
              </w:rPr>
              <w:t>Catalogue /​ abstract</w:t>
            </w:r>
          </w:p>
        </w:tc>
      </w:tr>
      <w:tr>
        <w:trPr>
          <w:cantSplit/>
        </w:trPr>
        <w:tc>
          <w:tcPr>
            <w:tcW w:type="dxa" w:w="463"/>
          </w:tcPr>
          <w:p>
            <w:r>
              <w:rPr>
                <w:sz w:val="17"/>
              </w:rPr>
            </w:r>
            <w:r>
              <w:rPr>
                <w:sz w:val="17"/>
              </w:rPr>
              <w:t>S06</w:t>
            </w:r>
          </w:p>
        </w:tc>
        <w:tc>
          <w:tcPr>
            <w:tcW w:type="dxa" w:w="3189"/>
          </w:tcPr>
          <w:p>
            <w:r>
              <w:rPr>
                <w:sz w:val="17"/>
              </w:rPr>
            </w:r>
            <w:r>
              <w:rPr>
                <w:sz w:val="17"/>
              </w:rPr>
              <w:t>ISO 19650-6 — Health and safety information</w:t>
            </w:r>
          </w:p>
        </w:tc>
        <w:tc>
          <w:tcPr>
            <w:tcW w:type="dxa" w:w="2016"/>
          </w:tcPr>
          <w:p>
            <w:r>
              <w:rPr>
                <w:sz w:val="17"/>
              </w:rPr>
            </w:r>
            <w:r>
              <w:rPr>
                <w:sz w:val="17"/>
              </w:rPr>
              <w:t>ISO</w:t>
            </w:r>
          </w:p>
        </w:tc>
        <w:tc>
          <w:tcPr>
            <w:tcW w:type="dxa" w:w="2240"/>
          </w:tcPr>
          <w:p>
            <w:r>
              <w:rPr>
                <w:sz w:val="17"/>
              </w:rPr>
            </w:r>
            <w:r>
              <w:rPr>
                <w:sz w:val="17"/>
              </w:rPr>
              <w:t>2025, ed.1</w:t>
            </w:r>
          </w:p>
        </w:tc>
        <w:tc>
          <w:tcPr>
            <w:tcW w:type="dxa" w:w="2557"/>
          </w:tcPr>
          <w:p>
            <w:r>
              <w:rPr>
                <w:sz w:val="17"/>
              </w:rPr>
            </w:r>
            <w:r>
              <w:rPr>
                <w:color w:val="9A7B45"/>
                <w:sz w:val="17"/>
                <w:u w:val="single"/>
              </w:rPr>
              <w:t>Catalogue /​ abstract</w:t>
            </w:r>
          </w:p>
        </w:tc>
      </w:tr>
      <w:tr>
        <w:trPr>
          <w:cantSplit/>
        </w:trPr>
        <w:tc>
          <w:tcPr>
            <w:tcW w:type="dxa" w:w="463"/>
          </w:tcPr>
          <w:p>
            <w:r>
              <w:rPr>
                <w:sz w:val="17"/>
              </w:rPr>
            </w:r>
            <w:r>
              <w:rPr>
                <w:sz w:val="17"/>
              </w:rPr>
              <w:t>S07</w:t>
            </w:r>
          </w:p>
        </w:tc>
        <w:tc>
          <w:tcPr>
            <w:tcW w:type="dxa" w:w="3189"/>
          </w:tcPr>
          <w:p>
            <w:r>
              <w:rPr>
                <w:sz w:val="17"/>
              </w:rPr>
            </w:r>
            <w:r>
              <w:rPr>
                <w:sz w:val="17"/>
              </w:rPr>
              <w:t>ISO 7817-1 — Level of information need: concepts and principles</w:t>
            </w:r>
          </w:p>
        </w:tc>
        <w:tc>
          <w:tcPr>
            <w:tcW w:type="dxa" w:w="2016"/>
          </w:tcPr>
          <w:p>
            <w:r>
              <w:rPr>
                <w:sz w:val="17"/>
              </w:rPr>
            </w:r>
            <w:r>
              <w:rPr>
                <w:sz w:val="17"/>
              </w:rPr>
              <w:t>ISO</w:t>
            </w:r>
          </w:p>
        </w:tc>
        <w:tc>
          <w:tcPr>
            <w:tcW w:type="dxa" w:w="2240"/>
          </w:tcPr>
          <w:p>
            <w:r>
              <w:rPr>
                <w:sz w:val="17"/>
              </w:rPr>
            </w:r>
            <w:r>
              <w:rPr>
                <w:sz w:val="17"/>
              </w:rPr>
              <w:t>2024, ed.1</w:t>
            </w:r>
          </w:p>
        </w:tc>
        <w:tc>
          <w:tcPr>
            <w:tcW w:type="dxa" w:w="2557"/>
          </w:tcPr>
          <w:p>
            <w:r>
              <w:rPr>
                <w:sz w:val="17"/>
              </w:rPr>
            </w:r>
            <w:r>
              <w:rPr>
                <w:color w:val="9A7B45"/>
                <w:sz w:val="17"/>
                <w:u w:val="single"/>
              </w:rPr>
              <w:t>Catalogue /​ abstract</w:t>
            </w:r>
          </w:p>
        </w:tc>
      </w:tr>
      <w:tr>
        <w:trPr>
          <w:cantSplit/>
        </w:trPr>
        <w:tc>
          <w:tcPr>
            <w:tcW w:type="dxa" w:w="463"/>
          </w:tcPr>
          <w:p>
            <w:r>
              <w:rPr>
                <w:sz w:val="17"/>
              </w:rPr>
            </w:r>
            <w:r>
              <w:rPr>
                <w:sz w:val="17"/>
              </w:rPr>
              <w:t>S08</w:t>
            </w:r>
          </w:p>
        </w:tc>
        <w:tc>
          <w:tcPr>
            <w:tcW w:type="dxa" w:w="3189"/>
          </w:tcPr>
          <w:p>
            <w:r>
              <w:rPr>
                <w:sz w:val="17"/>
              </w:rPr>
            </w:r>
            <w:r>
              <w:rPr>
                <w:sz w:val="17"/>
              </w:rPr>
              <w:t>ISO 16739-1:2024 — IFC 4.3.2.0</w:t>
            </w:r>
          </w:p>
        </w:tc>
        <w:tc>
          <w:tcPr>
            <w:tcW w:type="dxa" w:w="2016"/>
          </w:tcPr>
          <w:p>
            <w:r>
              <w:rPr>
                <w:sz w:val="17"/>
              </w:rPr>
            </w:r>
            <w:r>
              <w:rPr>
                <w:sz w:val="17"/>
              </w:rPr>
              <w:t>ISO</w:t>
            </w:r>
          </w:p>
        </w:tc>
        <w:tc>
          <w:tcPr>
            <w:tcW w:type="dxa" w:w="2240"/>
          </w:tcPr>
          <w:p>
            <w:r>
              <w:rPr>
                <w:sz w:val="17"/>
              </w:rPr>
            </w:r>
            <w:r>
              <w:rPr>
                <w:sz w:val="17"/>
              </w:rPr>
              <w:t>2024, ed.2</w:t>
            </w:r>
          </w:p>
        </w:tc>
        <w:tc>
          <w:tcPr>
            <w:tcW w:type="dxa" w:w="2557"/>
          </w:tcPr>
          <w:p>
            <w:r>
              <w:rPr>
                <w:sz w:val="17"/>
              </w:rPr>
            </w:r>
            <w:r>
              <w:rPr>
                <w:color w:val="9A7B45"/>
                <w:sz w:val="17"/>
                <w:u w:val="single"/>
              </w:rPr>
              <w:t>Catalogue</w:t>
            </w:r>
            <w:r>
              <w:rPr>
                <w:sz w:val="17"/>
              </w:rPr>
              <w:t>; checked 2026-11-04</w:t>
            </w:r>
          </w:p>
        </w:tc>
      </w:tr>
      <w:tr>
        <w:trPr>
          <w:cantSplit/>
        </w:trPr>
        <w:tc>
          <w:tcPr>
            <w:tcW w:type="dxa" w:w="463"/>
          </w:tcPr>
          <w:p>
            <w:r>
              <w:rPr>
                <w:sz w:val="17"/>
              </w:rPr>
            </w:r>
            <w:r>
              <w:rPr>
                <w:sz w:val="17"/>
              </w:rPr>
              <w:t>S13</w:t>
            </w:r>
          </w:p>
        </w:tc>
        <w:tc>
          <w:tcPr>
            <w:tcW w:type="dxa" w:w="3189"/>
          </w:tcPr>
          <w:p>
            <w:r>
              <w:rPr>
                <w:sz w:val="17"/>
              </w:rPr>
            </w:r>
            <w:r>
              <w:rPr>
                <w:sz w:val="17"/>
              </w:rPr>
              <w:t>BCF 3.0 (bcfXML 3.0 and BCF-API 3.0); BCF 2.1 fallback</w:t>
            </w:r>
          </w:p>
        </w:tc>
        <w:tc>
          <w:tcPr>
            <w:tcW w:type="dxa" w:w="2016"/>
          </w:tcPr>
          <w:p>
            <w:r>
              <w:rPr>
                <w:sz w:val="17"/>
              </w:rPr>
            </w:r>
            <w:r>
              <w:rPr>
                <w:sz w:val="17"/>
              </w:rPr>
              <w:t>buildingSMART International</w:t>
            </w:r>
          </w:p>
        </w:tc>
        <w:tc>
          <w:tcPr>
            <w:tcW w:type="dxa" w:w="2240"/>
          </w:tcPr>
          <w:p>
            <w:r>
              <w:rPr>
                <w:sz w:val="17"/>
              </w:rPr>
            </w:r>
            <w:r>
              <w:rPr>
                <w:sz w:val="17"/>
              </w:rPr>
              <w:t>3.0 final, 18 Jun 2021; 2.1 (2017) fallback</w:t>
            </w:r>
          </w:p>
        </w:tc>
        <w:tc>
          <w:tcPr>
            <w:tcW w:type="dxa" w:w="2557"/>
          </w:tcPr>
          <w:p>
            <w:r>
              <w:rPr>
                <w:sz w:val="17"/>
              </w:rPr>
            </w:r>
            <w:r>
              <w:rPr>
                <w:color w:val="9A7B45"/>
                <w:sz w:val="17"/>
                <w:u w:val="single"/>
              </w:rPr>
              <w:t>bcfXML v3.0 release</w:t>
            </w:r>
            <w:r>
              <w:rPr>
                <w:sz w:val="17"/>
              </w:rPr>
              <w:t xml:space="preserve">; </w:t>
            </w:r>
            <w:r>
              <w:rPr>
                <w:color w:val="9A7B45"/>
                <w:sz w:val="17"/>
                <w:u w:val="single"/>
              </w:rPr>
              <w:t>BCF-API releases</w:t>
            </w:r>
            <w:r>
              <w:rPr>
                <w:sz w:val="17"/>
              </w:rPr>
              <w:t>; checked 2026-11-04</w:t>
            </w:r>
          </w:p>
        </w:tc>
      </w:tr>
      <w:tr>
        <w:trPr>
          <w:cantSplit/>
        </w:trPr>
        <w:tc>
          <w:tcPr>
            <w:tcW w:type="dxa" w:w="463"/>
          </w:tcPr>
          <w:p>
            <w:r>
              <w:rPr>
                <w:sz w:val="17"/>
              </w:rPr>
            </w:r>
            <w:r>
              <w:rPr>
                <w:sz w:val="17"/>
              </w:rPr>
              <w:t>S14</w:t>
            </w:r>
          </w:p>
        </w:tc>
        <w:tc>
          <w:tcPr>
            <w:tcW w:type="dxa" w:w="3189"/>
          </w:tcPr>
          <w:p>
            <w:r>
              <w:rPr>
                <w:sz w:val="17"/>
              </w:rPr>
            </w:r>
            <w:r>
              <w:rPr>
                <w:sz w:val="17"/>
              </w:rPr>
              <w:t>IFC Validation Service</w:t>
            </w:r>
          </w:p>
        </w:tc>
        <w:tc>
          <w:tcPr>
            <w:tcW w:type="dxa" w:w="2016"/>
          </w:tcPr>
          <w:p>
            <w:r>
              <w:rPr>
                <w:sz w:val="17"/>
              </w:rPr>
            </w:r>
            <w:r>
              <w:rPr>
                <w:sz w:val="17"/>
              </w:rPr>
              <w:t>buildingSMART International</w:t>
            </w:r>
          </w:p>
        </w:tc>
        <w:tc>
          <w:tcPr>
            <w:tcW w:type="dxa" w:w="2240"/>
          </w:tcPr>
          <w:p>
            <w:r>
              <w:rPr>
                <w:sz w:val="17"/>
              </w:rPr>
            </w:r>
            <w:r>
              <w:rPr>
                <w:sz w:val="17"/>
              </w:rPr>
              <w:t>live service</w:t>
            </w:r>
          </w:p>
        </w:tc>
        <w:tc>
          <w:tcPr>
            <w:tcW w:type="dxa" w:w="2557"/>
          </w:tcPr>
          <w:p>
            <w:r>
              <w:rPr>
                <w:sz w:val="17"/>
              </w:rPr>
            </w:r>
            <w:r>
              <w:rPr>
                <w:color w:val="9A7B45"/>
                <w:sz w:val="17"/>
                <w:u w:val="single"/>
              </w:rPr>
              <w:t>Validation service</w:t>
            </w:r>
            <w:r>
              <w:rPr>
                <w:sz w:val="17"/>
              </w:rPr>
              <w:t>; checked 2026-11-04</w:t>
            </w:r>
          </w:p>
        </w:tc>
      </w:tr>
      <w:tr>
        <w:trPr>
          <w:cantSplit/>
        </w:trPr>
        <w:tc>
          <w:tcPr>
            <w:tcW w:type="dxa" w:w="463"/>
          </w:tcPr>
          <w:p>
            <w:r>
              <w:rPr>
                <w:sz w:val="17"/>
              </w:rPr>
            </w:r>
            <w:r>
              <w:rPr>
                <w:sz w:val="17"/>
              </w:rPr>
              <w:t>S15</w:t>
            </w:r>
          </w:p>
        </w:tc>
        <w:tc>
          <w:tcPr>
            <w:tcW w:type="dxa" w:w="3189"/>
          </w:tcPr>
          <w:p>
            <w:r>
              <w:rPr>
                <w:sz w:val="17"/>
              </w:rPr>
            </w:r>
            <w:r>
              <w:rPr>
                <w:sz w:val="17"/>
              </w:rPr>
              <w:t>Information Delivery Specification (IDS) 1.0</w:t>
            </w:r>
          </w:p>
        </w:tc>
        <w:tc>
          <w:tcPr>
            <w:tcW w:type="dxa" w:w="2016"/>
          </w:tcPr>
          <w:p>
            <w:r>
              <w:rPr>
                <w:sz w:val="17"/>
              </w:rPr>
            </w:r>
            <w:r>
              <w:rPr>
                <w:sz w:val="17"/>
              </w:rPr>
              <w:t>buildingSMART International</w:t>
            </w:r>
          </w:p>
        </w:tc>
        <w:tc>
          <w:tcPr>
            <w:tcW w:type="dxa" w:w="2240"/>
          </w:tcPr>
          <w:p>
            <w:r>
              <w:rPr>
                <w:sz w:val="17"/>
              </w:rPr>
            </w:r>
            <w:r>
              <w:rPr>
                <w:sz w:val="17"/>
              </w:rPr>
              <w:t>v1.0 final, June 2024</w:t>
            </w:r>
          </w:p>
        </w:tc>
        <w:tc>
          <w:tcPr>
            <w:tcW w:type="dxa" w:w="2557"/>
          </w:tcPr>
          <w:p>
            <w:r>
              <w:rPr>
                <w:sz w:val="17"/>
              </w:rPr>
            </w:r>
            <w:r>
              <w:rPr>
                <w:color w:val="9A7B45"/>
                <w:sz w:val="17"/>
                <w:u w:val="single"/>
              </w:rPr>
              <w:t>Releases</w:t>
            </w:r>
            <w:r>
              <w:rPr>
                <w:sz w:val="17"/>
              </w:rPr>
              <w:t>; checked 2026-11-04</w:t>
            </w:r>
          </w:p>
        </w:tc>
      </w:tr>
      <w:tr>
        <w:trPr>
          <w:cantSplit/>
        </w:trPr>
        <w:tc>
          <w:tcPr>
            <w:tcW w:type="dxa" w:w="463"/>
          </w:tcPr>
          <w:p>
            <w:r>
              <w:rPr>
                <w:sz w:val="17"/>
              </w:rPr>
            </w:r>
            <w:r>
              <w:rPr>
                <w:sz w:val="17"/>
              </w:rPr>
              <w:t>S21</w:t>
            </w:r>
          </w:p>
        </w:tc>
        <w:tc>
          <w:tcPr>
            <w:tcW w:type="dxa" w:w="3189"/>
          </w:tcPr>
          <w:p>
            <w:r>
              <w:rPr>
                <w:sz w:val="17"/>
              </w:rPr>
            </w:r>
            <w:r>
              <w:rPr>
                <w:sz w:val="17"/>
              </w:rPr>
              <w:t>RIBA Plan of Work 2020</w:t>
            </w:r>
          </w:p>
        </w:tc>
        <w:tc>
          <w:tcPr>
            <w:tcW w:type="dxa" w:w="2016"/>
          </w:tcPr>
          <w:p>
            <w:r>
              <w:rPr>
                <w:sz w:val="17"/>
              </w:rPr>
            </w:r>
            <w:r>
              <w:rPr>
                <w:sz w:val="17"/>
              </w:rPr>
              <w:t>Royal Institute of British Architects</w:t>
            </w:r>
          </w:p>
        </w:tc>
        <w:tc>
          <w:tcPr>
            <w:tcW w:type="dxa" w:w="2240"/>
          </w:tcPr>
          <w:p>
            <w:r>
              <w:rPr>
                <w:sz w:val="17"/>
              </w:rPr>
            </w:r>
            <w:r>
              <w:rPr>
                <w:sz w:val="17"/>
              </w:rPr>
              <w:t>2020</w:t>
            </w:r>
          </w:p>
        </w:tc>
        <w:tc>
          <w:tcPr>
            <w:tcW w:type="dxa" w:w="2557"/>
          </w:tcPr>
          <w:p>
            <w:r>
              <w:rPr>
                <w:sz w:val="17"/>
              </w:rPr>
            </w:r>
            <w:r>
              <w:rPr>
                <w:color w:val="9A7B45"/>
                <w:sz w:val="17"/>
                <w:u w:val="single"/>
              </w:rPr>
              <w:t>Current resource page</w:t>
            </w:r>
            <w:r>
              <w:rPr>
                <w:sz w:val="17"/>
              </w:rPr>
              <w:t xml:space="preserve">; </w:t>
            </w:r>
            <w:r>
              <w:rPr>
                <w:color w:val="9A7B45"/>
                <w:sz w:val="17"/>
                <w:u w:val="single"/>
              </w:rPr>
              <w:t>2020 template</w:t>
            </w:r>
          </w:p>
        </w:tc>
      </w:tr>
      <w:tr>
        <w:trPr>
          <w:cantSplit/>
        </w:trPr>
        <w:tc>
          <w:tcPr>
            <w:tcW w:type="dxa" w:w="463"/>
          </w:tcPr>
          <w:p>
            <w:r>
              <w:rPr>
                <w:sz w:val="17"/>
              </w:rPr>
            </w:r>
            <w:r>
              <w:rPr>
                <w:sz w:val="17"/>
              </w:rPr>
              <w:t>G-C</w:t>
            </w:r>
          </w:p>
        </w:tc>
        <w:tc>
          <w:tcPr>
            <w:tcW w:type="dxa" w:w="3189"/>
          </w:tcPr>
          <w:p>
            <w:r>
              <w:rPr>
                <w:sz w:val="17"/>
              </w:rPr>
            </w:r>
            <w:r>
              <w:rPr>
                <w:sz w:val="17"/>
              </w:rPr>
              <w:t>Guidance C — Facilitating the CDE workflow and technical solutions</w:t>
            </w:r>
          </w:p>
        </w:tc>
        <w:tc>
          <w:tcPr>
            <w:tcW w:type="dxa" w:w="2016"/>
          </w:tcPr>
          <w:p>
            <w:r>
              <w:rPr>
                <w:sz w:val="17"/>
              </w:rPr>
            </w:r>
            <w:r>
              <w:rPr>
                <w:sz w:val="17"/>
              </w:rPr>
              <w:t>IMI Framework (formerly UK BIM Framework, renamed May 2025)</w:t>
            </w:r>
          </w:p>
        </w:tc>
        <w:tc>
          <w:tcPr>
            <w:tcW w:type="dxa" w:w="2240"/>
          </w:tcPr>
          <w:p>
            <w:r>
              <w:rPr>
                <w:sz w:val="17"/>
              </w:rPr>
            </w:r>
            <w:r>
              <w:rPr>
                <w:sz w:val="17"/>
              </w:rPr>
              <w:t>ed.1, September 2020; archived</w:t>
            </w:r>
          </w:p>
        </w:tc>
        <w:tc>
          <w:tcPr>
            <w:tcW w:type="dxa" w:w="2557"/>
          </w:tcPr>
          <w:p>
            <w:r>
              <w:rPr>
                <w:sz w:val="17"/>
              </w:rPr>
            </w:r>
            <w:r>
              <w:rPr>
                <w:color w:val="9A7B45"/>
                <w:sz w:val="17"/>
                <w:u w:val="single"/>
              </w:rPr>
              <w:t>Official PDF</w:t>
            </w:r>
            <w:r>
              <w:rPr>
                <w:sz w:val="17"/>
              </w:rPr>
              <w:t xml:space="preserve">; </w:t>
            </w:r>
            <w:r>
              <w:rPr>
                <w:color w:val="9A7B45"/>
                <w:sz w:val="17"/>
                <w:u w:val="single"/>
              </w:rPr>
              <w:t>resources</w:t>
            </w:r>
            <w:r>
              <w:rPr>
                <w:sz w:val="17"/>
              </w:rPr>
              <w:t>; checked 2026-11-04</w:t>
            </w:r>
          </w:p>
        </w:tc>
      </w:tr>
      <w:tr>
        <w:trPr>
          <w:cantSplit/>
        </w:trPr>
        <w:tc>
          <w:tcPr>
            <w:tcW w:type="dxa" w:w="463"/>
          </w:tcPr>
          <w:p>
            <w:r>
              <w:rPr>
                <w:sz w:val="17"/>
              </w:rPr>
            </w:r>
            <w:r>
              <w:rPr>
                <w:sz w:val="17"/>
              </w:rPr>
              <w:t>S22</w:t>
            </w:r>
          </w:p>
        </w:tc>
        <w:tc>
          <w:tcPr>
            <w:tcW w:type="dxa" w:w="3189"/>
          </w:tcPr>
          <w:p>
            <w:r>
              <w:rPr>
                <w:sz w:val="17"/>
              </w:rPr>
            </w:r>
            <w:r>
              <w:rPr>
                <w:sz w:val="17"/>
              </w:rPr>
              <w:t>DM circular 9-1-2 — BIM submission with new building permits</w:t>
            </w:r>
          </w:p>
        </w:tc>
        <w:tc>
          <w:tcPr>
            <w:tcW w:type="dxa" w:w="2016"/>
          </w:tcPr>
          <w:p>
            <w:r>
              <w:rPr>
                <w:sz w:val="17"/>
              </w:rPr>
            </w:r>
            <w:r>
              <w:rPr>
                <w:sz w:val="17"/>
              </w:rPr>
              <w:t>Dubai Municipality</w:t>
            </w:r>
          </w:p>
        </w:tc>
        <w:tc>
          <w:tcPr>
            <w:tcW w:type="dxa" w:w="2240"/>
          </w:tcPr>
          <w:p>
            <w:r>
              <w:rPr>
                <w:sz w:val="17"/>
              </w:rPr>
            </w:r>
            <w:r>
              <w:rPr>
                <w:sz w:val="17"/>
              </w:rPr>
              <w:t>13 Oct 2023; applies from 1 Jan 2024</w:t>
            </w:r>
          </w:p>
        </w:tc>
        <w:tc>
          <w:tcPr>
            <w:tcW w:type="dxa" w:w="2557"/>
          </w:tcPr>
          <w:p>
            <w:r>
              <w:rPr>
                <w:sz w:val="17"/>
              </w:rPr>
            </w:r>
            <w:r>
              <w:rPr>
                <w:color w:val="9A7B45"/>
                <w:sz w:val="17"/>
                <w:u w:val="single"/>
              </w:rPr>
              <w:t>Circular PDF</w:t>
            </w:r>
            <w:r>
              <w:rPr>
                <w:sz w:val="17"/>
              </w:rPr>
              <w:t>; checked 2026-11-04</w:t>
            </w:r>
          </w:p>
        </w:tc>
      </w:tr>
      <w:tr>
        <w:trPr>
          <w:cantSplit/>
        </w:trPr>
        <w:tc>
          <w:tcPr>
            <w:tcW w:type="dxa" w:w="463"/>
          </w:tcPr>
          <w:p>
            <w:r>
              <w:rPr>
                <w:sz w:val="17"/>
              </w:rPr>
            </w:r>
            <w:r>
              <w:rPr>
                <w:sz w:val="17"/>
              </w:rPr>
              <w:t>S23</w:t>
            </w:r>
          </w:p>
        </w:tc>
        <w:tc>
          <w:tcPr>
            <w:tcW w:type="dxa" w:w="3189"/>
          </w:tcPr>
          <w:p>
            <w:r>
              <w:rPr>
                <w:sz w:val="17"/>
              </w:rPr>
            </w:r>
            <w:r>
              <w:rPr>
                <w:sz w:val="17"/>
              </w:rPr>
              <w:t>DM circular 9-1-3 — BIM with building permits</w:t>
            </w:r>
          </w:p>
        </w:tc>
        <w:tc>
          <w:tcPr>
            <w:tcW w:type="dxa" w:w="2016"/>
          </w:tcPr>
          <w:p>
            <w:r>
              <w:rPr>
                <w:sz w:val="17"/>
              </w:rPr>
            </w:r>
            <w:r>
              <w:rPr>
                <w:sz w:val="17"/>
              </w:rPr>
              <w:t>Dubai Municipality</w:t>
            </w:r>
          </w:p>
        </w:tc>
        <w:tc>
          <w:tcPr>
            <w:tcW w:type="dxa" w:w="2240"/>
          </w:tcPr>
          <w:p>
            <w:r>
              <w:rPr>
                <w:sz w:val="17"/>
              </w:rPr>
            </w:r>
            <w:r>
              <w:rPr>
                <w:sz w:val="17"/>
              </w:rPr>
              <w:t>15 Jan 2026; effective 1 Apr 2026</w:t>
            </w:r>
          </w:p>
        </w:tc>
        <w:tc>
          <w:tcPr>
            <w:tcW w:type="dxa" w:w="2557"/>
          </w:tcPr>
          <w:p>
            <w:r>
              <w:rPr>
                <w:sz w:val="17"/>
              </w:rPr>
            </w:r>
            <w:r>
              <w:rPr>
                <w:color w:val="9A7B45"/>
                <w:sz w:val="17"/>
                <w:u w:val="single"/>
              </w:rPr>
              <w:t>Circular PDF</w:t>
            </w:r>
            <w:r>
              <w:rPr>
                <w:sz w:val="17"/>
              </w:rPr>
              <w:t>; checked 2026-11-04</w:t>
            </w:r>
          </w:p>
        </w:tc>
      </w:tr>
      <w:tr>
        <w:trPr>
          <w:cantSplit/>
        </w:trPr>
        <w:tc>
          <w:tcPr>
            <w:tcW w:type="dxa" w:w="463"/>
          </w:tcPr>
          <w:p>
            <w:r>
              <w:rPr>
                <w:sz w:val="17"/>
              </w:rPr>
            </w:r>
            <w:r>
              <w:rPr>
                <w:sz w:val="17"/>
              </w:rPr>
              <w:t>S24</w:t>
            </w:r>
          </w:p>
        </w:tc>
        <w:tc>
          <w:tcPr>
            <w:tcW w:type="dxa" w:w="3189"/>
          </w:tcPr>
          <w:p>
            <w:r>
              <w:rPr>
                <w:sz w:val="17"/>
              </w:rPr>
            </w:r>
            <w:r>
              <w:rPr>
                <w:sz w:val="17"/>
              </w:rPr>
              <w:t>EPSG:3997 WGS 84 /​ Dubai Local TM</w:t>
            </w:r>
          </w:p>
        </w:tc>
        <w:tc>
          <w:tcPr>
            <w:tcW w:type="dxa" w:w="2016"/>
          </w:tcPr>
          <w:p>
            <w:r>
              <w:rPr>
                <w:sz w:val="17"/>
              </w:rPr>
            </w:r>
            <w:r>
              <w:rPr>
                <w:sz w:val="17"/>
              </w:rPr>
              <w:t>EPSG registry (mirror)</w:t>
            </w:r>
          </w:p>
        </w:tc>
        <w:tc>
          <w:tcPr>
            <w:tcW w:type="dxa" w:w="2240"/>
          </w:tcPr>
          <w:p>
            <w:r>
              <w:rPr>
                <w:sz w:val="17"/>
              </w:rPr>
            </w:r>
            <w:r>
              <w:rPr>
                <w:sz w:val="17"/>
              </w:rPr>
              <w:t>current</w:t>
            </w:r>
          </w:p>
        </w:tc>
        <w:tc>
          <w:tcPr>
            <w:tcW w:type="dxa" w:w="2557"/>
          </w:tcPr>
          <w:p>
            <w:r>
              <w:rPr>
                <w:sz w:val="17"/>
              </w:rPr>
            </w:r>
            <w:r>
              <w:rPr>
                <w:color w:val="9A7B45"/>
                <w:sz w:val="17"/>
                <w:u w:val="single"/>
              </w:rPr>
              <w:t>epsg.io/​3997</w:t>
            </w:r>
            <w:r>
              <w:rPr>
                <w:sz w:val="17"/>
              </w:rPr>
              <w:t>; checked 2026-11-04</w:t>
            </w:r>
          </w:p>
        </w:tc>
      </w:tr>
      <w:tr>
        <w:trPr>
          <w:cantSplit/>
        </w:trPr>
        <w:tc>
          <w:tcPr>
            <w:tcW w:type="dxa" w:w="463"/>
          </w:tcPr>
          <w:p>
            <w:r>
              <w:rPr>
                <w:sz w:val="17"/>
              </w:rPr>
            </w:r>
            <w:r>
              <w:rPr>
                <w:sz w:val="17"/>
              </w:rPr>
              <w:t>P02</w:t>
            </w:r>
          </w:p>
        </w:tc>
        <w:tc>
          <w:tcPr>
            <w:tcW w:type="dxa" w:w="3189"/>
          </w:tcPr>
          <w:p>
            <w:r>
              <w:rPr>
                <w:sz w:val="17"/>
              </w:rPr>
            </w:r>
            <w:r>
              <w:rPr>
                <w:sz w:val="17"/>
              </w:rPr>
              <w:t>Define Supporting Infrastructure for BIM Implementation</w:t>
            </w:r>
          </w:p>
        </w:tc>
        <w:tc>
          <w:tcPr>
            <w:tcW w:type="dxa" w:w="2016"/>
          </w:tcPr>
          <w:p>
            <w:r>
              <w:rPr>
                <w:sz w:val="17"/>
              </w:rPr>
            </w:r>
            <w:r>
              <w:rPr>
                <w:sz w:val="17"/>
              </w:rPr>
              <w:t>Penn State</w:t>
            </w:r>
          </w:p>
        </w:tc>
        <w:tc>
          <w:tcPr>
            <w:tcW w:type="dxa" w:w="2240"/>
          </w:tcPr>
          <w:p>
            <w:r>
              <w:rPr>
                <w:sz w:val="17"/>
              </w:rPr>
            </w:r>
            <w:r>
              <w:rPr>
                <w:sz w:val="17"/>
              </w:rPr>
              <w:t>v2.2, 2019</w:t>
            </w:r>
          </w:p>
        </w:tc>
        <w:tc>
          <w:tcPr>
            <w:tcW w:type="dxa" w:w="2557"/>
          </w:tcPr>
          <w:p>
            <w:r>
              <w:rPr>
                <w:sz w:val="17"/>
              </w:rPr>
            </w:r>
            <w:r>
              <w:rPr>
                <w:color w:val="9A7B45"/>
                <w:sz w:val="17"/>
                <w:u w:val="single"/>
              </w:rPr>
              <w:t>BEP infrastructure chapter</w:t>
            </w:r>
          </w:p>
        </w:tc>
      </w:tr>
      <w:tr>
        <w:trPr>
          <w:cantSplit/>
        </w:trPr>
        <w:tc>
          <w:tcPr>
            <w:tcW w:type="dxa" w:w="463"/>
          </w:tcPr>
          <w:p>
            <w:r>
              <w:rPr>
                <w:sz w:val="17"/>
              </w:rPr>
            </w:r>
            <w:r>
              <w:rPr>
                <w:sz w:val="17"/>
              </w:rPr>
              <w:t>B04</w:t>
            </w:r>
          </w:p>
        </w:tc>
        <w:tc>
          <w:tcPr>
            <w:tcW w:type="dxa" w:w="3189"/>
          </w:tcPr>
          <w:p>
            <w:r>
              <w:rPr>
                <w:sz w:val="17"/>
              </w:rPr>
            </w:r>
            <w:r>
              <w:rPr>
                <w:sz w:val="17"/>
              </w:rPr>
              <w:t>OPDC BIM Guidelines</w:t>
            </w:r>
          </w:p>
        </w:tc>
        <w:tc>
          <w:tcPr>
            <w:tcW w:type="dxa" w:w="2016"/>
          </w:tcPr>
          <w:p>
            <w:r>
              <w:rPr>
                <w:sz w:val="17"/>
              </w:rPr>
            </w:r>
            <w:r>
              <w:rPr>
                <w:sz w:val="17"/>
              </w:rPr>
              <w:t>Smithsonian Institution</w:t>
            </w:r>
          </w:p>
        </w:tc>
        <w:tc>
          <w:tcPr>
            <w:tcW w:type="dxa" w:w="2240"/>
          </w:tcPr>
          <w:p>
            <w:r>
              <w:rPr>
                <w:sz w:val="17"/>
              </w:rPr>
            </w:r>
            <w:r>
              <w:rPr>
                <w:sz w:val="17"/>
              </w:rPr>
              <w:t>November 2024</w:t>
            </w:r>
          </w:p>
        </w:tc>
        <w:tc>
          <w:tcPr>
            <w:tcW w:type="dxa" w:w="2557"/>
          </w:tcPr>
          <w:p>
            <w:r>
              <w:rPr>
                <w:sz w:val="17"/>
              </w:rPr>
            </w:r>
            <w:r>
              <w:rPr>
                <w:color w:val="9A7B45"/>
                <w:sz w:val="17"/>
                <w:u w:val="single"/>
              </w:rPr>
              <w:t>Guidelines</w:t>
            </w:r>
            <w:r>
              <w:rPr>
                <w:sz w:val="17"/>
              </w:rPr>
              <w:t>; benchmark concepts only</w:t>
            </w:r>
          </w:p>
        </w:tc>
      </w:tr>
    </w:tbl>
    <w:p/>
    <w:p>
      <w:pPr/>
      <w:r>
        <w:t>Internal concept source: office QMS concept notes (working record), 14 October 2026; the controlled QMS is BBM-STD-96; original procedures here use concepts only. Immutable office spreadsheet export remains private evidence; no third-party template wording is reused.</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BBM-STD-50-CLASH_MATRIX-V0.4</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bf57b4e72f80adb289f609ad949b4f" TargetMode="External"/><Relationship Id="rId14" Type="http://schemas.openxmlformats.org/officeDocument/2006/relationships/hyperlink" Target="https://github.com/Fargaly/baboom-bim-standard/blob/main/04-DOCUMENTS/BBM-STD-50-CLASH_MATRIX-V0.4.docx" TargetMode="External"/><Relationship Id="rId15"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