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Office standards register naming and rights</w:t>
      </w:r>
    </w:p>
    <w:p>
      <w:pPr/>
      <w:r>
        <w:t xml:space="preserve">Linked copies: ID STD-51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BBM-STD-51-REGISTERS-V0.4 | Office standard | 5 November 2026 | V0.4 | Private controlled WIP draft for office review and adoption</w:t>
      </w:r>
    </w:p>
    <w:p>
      <w:pPr>
        <w:pStyle w:val="Heading2"/>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cantSplit/>
        </w:trPr>
        <w:tc>
          <w:tcPr>
            <w:tcW w:type="dxa" w:w="775"/>
          </w:tcPr>
          <w:p>
            <w:r>
              <w:rPr>
                <w:sz w:val="17"/>
              </w:rPr>
            </w:r>
            <w:r>
              <w:rPr>
                <w:sz w:val="17"/>
              </w:rPr>
              <w:t>V0.1</w:t>
            </w:r>
          </w:p>
        </w:tc>
        <w:tc>
          <w:tcPr>
            <w:tcW w:type="dxa" w:w="1033"/>
          </w:tcPr>
          <w:p>
            <w:r>
              <w:rPr>
                <w:sz w:val="17"/>
              </w:rPr>
            </w:r>
            <w:r>
              <w:rPr>
                <w:sz w:val="17"/>
              </w:rPr>
              <w:t>2026-10-16</w:t>
            </w:r>
          </w:p>
        </w:tc>
        <w:tc>
          <w:tcPr>
            <w:tcW w:type="dxa" w:w="8659"/>
          </w:tcPr>
          <w:p>
            <w:r>
              <w:rPr>
                <w:sz w:val="17"/>
              </w:rPr>
            </w:r>
            <w:r>
              <w:rPr>
                <w:sz w:val="17"/>
              </w:rPr>
              <w:t>First controlled draft</w:t>
            </w:r>
          </w:p>
        </w:tc>
      </w:tr>
      <w:tr>
        <w:trPr>
          <w:cantSplit/>
        </w:trPr>
        <w:tc>
          <w:tcPr>
            <w:tcW w:type="dxa" w:w="775"/>
          </w:tcPr>
          <w:p>
            <w:r>
              <w:rPr>
                <w:sz w:val="17"/>
              </w:rPr>
            </w:r>
            <w:r>
              <w:rPr>
                <w:sz w:val="17"/>
              </w:rPr>
              <w:t>V0.2</w:t>
            </w:r>
          </w:p>
        </w:tc>
        <w:tc>
          <w:tcPr>
            <w:tcW w:type="dxa" w:w="1033"/>
          </w:tcPr>
          <w:p>
            <w:r>
              <w:rPr>
                <w:sz w:val="17"/>
              </w:rPr>
            </w:r>
            <w:r>
              <w:rPr>
                <w:sz w:val="17"/>
              </w:rPr>
              <w:t>2026-11-04</w:t>
            </w:r>
          </w:p>
        </w:tc>
        <w:tc>
          <w:tcPr>
            <w:tcW w:type="dxa" w:w="8659"/>
          </w:tcPr>
          <w:p>
            <w:r>
              <w:rPr>
                <w:sz w:val="17"/>
              </w:rPr>
            </w:r>
            <w:r>
              <w:rPr>
                <w:sz w:val="17"/>
              </w:rPr>
              <w:t>Audit res-026 closure: §3 rebuilt as the ONE edition register (O-DEC-111) with international rows (G141), UAE instrument rows (G142), IMI Framework row (G140) and withdrawn BS 1192/​PAS 1192 family (G144); §4 code values moved to BBM-STD-93 (O-DEC-103/​104); §6 current drafts and BBM-STD-72/​75/​76 indexed (G143, G145); §5 licence register pointer to BBM-STD-94; references re-checked + cross-doc pointer pass + folder names without dots (O-DEC-149) + QMS patch res-033</w:t>
            </w:r>
          </w:p>
        </w:tc>
      </w:tr>
      <w:tr>
        <w:trPr>
          <w:cantSplit/>
        </w:trPr>
        <w:tc>
          <w:tcPr>
            <w:tcW w:type="dxa" w:w="775"/>
          </w:tcPr>
          <w:p>
            <w:r>
              <w:rPr>
                <w:sz w:val="17"/>
              </w:rPr>
            </w:r>
            <w:r>
              <w:rPr>
                <w:sz w:val="17"/>
              </w:rPr>
              <w:t>V0.3</w:t>
            </w:r>
          </w:p>
        </w:tc>
        <w:tc>
          <w:tcPr>
            <w:tcW w:type="dxa" w:w="1033"/>
          </w:tcPr>
          <w:p>
            <w:r>
              <w:rPr>
                <w:sz w:val="17"/>
              </w:rPr>
            </w:r>
            <w:r>
              <w:rPr>
                <w:sz w:val="17"/>
              </w:rPr>
              <w:t>2026-11-05</w:t>
            </w:r>
          </w:p>
        </w:tc>
        <w:tc>
          <w:tcPr>
            <w:tcW w:type="dxa" w:w="8659"/>
          </w:tcPr>
          <w:p>
            <w:r>
              <w:rPr>
                <w:sz w:val="17"/>
              </w:rPr>
            </w:r>
            <w:r>
              <w:rPr>
                <w:sz w:val="17"/>
              </w:rPr>
              <w:t>§3 rows settled from primary sources (</w:t>
            </w:r>
            <w:r>
              <w:rPr>
                <w:color w:val="9A7B45"/>
                <w:sz w:val="17"/>
                <w:u w:val="single"/>
              </w:rPr>
              <w:t>O-DEC-153</w:t>
            </w:r>
            <w:r>
              <w:rPr>
                <w:sz w:val="17"/>
              </w:rPr>
              <w:t>–</w:t>
            </w:r>
            <w:r>
              <w:rPr>
                <w:color w:val="9A7B45"/>
                <w:sz w:val="17"/>
                <w:u w:val="single"/>
              </w:rPr>
              <w:t>O-DEC-161</w:t>
            </w:r>
            <w:r>
              <w:rPr>
                <w:sz w:val="17"/>
              </w:rPr>
              <w:t>): ED-DM-9-1-1 thresholds, ED-DUBAI-BIM-STD version 1.4 /​ IFC4 /​ Appendix B, ED-DBC with the AR 225/​2024 parameters, ED-DXB-LAW-3-2026 gazette, ED-UAE-CRS Abu Dhabi EPSG codes, ED-ISO10002 date, ED-AUH-PLANNING and ED-UTILITY-REGS instruments; rule-based rows marked</w:t>
            </w:r>
          </w:p>
        </w:tc>
      </w:tr>
      <w:tr>
        <w:trPr/>
        <w:tc>
          <w:tcPr>
            <w:tcW w:type="dxa" w:w="775"/>
          </w:tcPr>
          <w:p>
            <w:r>
              <w:rPr>
                <w:sz w:val="17"/>
              </w:rPr>
            </w:r>
            <w:r>
              <w:rPr>
                <w:sz w:val="17"/>
              </w:rPr>
              <w:t>V0.4</w:t>
            </w:r>
          </w:p>
        </w:tc>
        <w:tc>
          <w:tcPr>
            <w:tcW w:type="dxa" w:w="1033"/>
          </w:tcPr>
          <w:p>
            <w:r>
              <w:rPr>
                <w:sz w:val="17"/>
              </w:rPr>
            </w:r>
            <w:r>
              <w:rPr>
                <w:sz w:val="17"/>
              </w:rPr>
              <w:t>2026-11-05</w:t>
            </w:r>
          </w:p>
        </w:tc>
        <w:tc>
          <w:tcPr>
            <w:tcW w:type="dxa" w:w="8659"/>
          </w:tcPr>
          <w:p>
            <w:r>
              <w:rPr>
                <w:sz w:val="17"/>
              </w:rPr>
            </w:r>
            <w:r>
              <w:rPr>
                <w:sz w:val="17"/>
              </w:rPr>
              <w:t>Standard watch no. 1 (RES-017) applied: ED-ISO19011 = ISO 19011:2026 edition 4, the 2018 edition withdrawn (</w:t>
            </w:r>
            <w:r>
              <w:rPr>
                <w:color w:val="9A7B45"/>
                <w:sz w:val="17"/>
                <w:u w:val="single"/>
              </w:rPr>
              <w:t>O-DEC-184</w:t>
            </w:r>
            <w:r>
              <w:rPr>
                <w:sz w:val="17"/>
              </w:rPr>
              <w:t>); new row ED-DM-11-9-1, DM circular 11-9-1 of 2026 applying ED-DXB-LAW-3-2026 (</w:t>
            </w:r>
            <w:r>
              <w:rPr>
                <w:color w:val="9A7B45"/>
                <w:sz w:val="17"/>
                <w:u w:val="single"/>
              </w:rPr>
              <w:t>O-DEC-185</w:t>
            </w:r>
            <w:r>
              <w:rPr>
                <w:sz w:val="17"/>
              </w:rPr>
              <w:t>); ED-SIRA settled on the SIRA Preventive Systems Manual (Administrative Resolution 13 of 2025) and the Security Plan Certificate service (</w:t>
            </w:r>
            <w:r>
              <w:rPr>
                <w:color w:val="9A7B45"/>
                <w:sz w:val="17"/>
                <w:u w:val="single"/>
              </w:rPr>
              <w:t>O-DEC-186</w:t>
            </w:r>
            <w:r>
              <w:rPr>
                <w:sz w:val="17"/>
              </w:rPr>
              <w:t>); ED-UAE-FLS records the reported ADCDA amendments circular, rule kept; ED-DUBAI-BIM-STD re-read on the DM package, still 1.4; wording: ED-COBIE (COBie V3.0 published 2023), ED-ISO12006-2 (confirmed 2020, to be revised), ED-UAE-CTL (corrigendum OG 821 checked, Art. 821/​823/​824 unchanged)</w:t>
            </w:r>
          </w:p>
        </w:tc>
      </w:tr>
    </w:tbl>
    <w:p/>
    <w:p>
      <w:pPr>
        <w:pStyle w:val="Heading1"/>
      </w:pPr>
      <w:r>
        <w:t>1 Purpose and control</w:t>
      </w:r>
    </w:p>
    <w:p>
      <w:pPr/>
      <w:r>
        <w:t>Use one controlled office register to select current standards, resolve dependencies, validate container identities and establish permission to use software, content and licensed publications. The BIM Manager maintains the register; the document controller checks references; the office director approves adoption within office powers. Project departures need the actual appointment authority. Actual holders and deputies remain in the restricted Directory.</w:t>
      </w:r>
    </w:p>
    <w:p>
      <w:pPr/>
      <w:r>
        <w:t xml:space="preserve">This document closes the drafting scope of SG-003, SG-015 and SG-095. It extends the existing glossary, Manual and BEP without changing issued baselines. The companion </w:t>
      </w:r>
      <w:r>
        <w:rPr>
          <w:color w:val="9A7B45"/>
          <w:u w:val="single"/>
        </w:rPr>
        <w:t>editable register</w:t>
      </w:r>
      <w:r>
        <w:t xml:space="preserve"> contains blank input rows, a disk-derived current drafting inventory and a fictional SYN-P001 example. Inventory presence and a hash establish identity, not adoption. No office approval, entitlement or installed tool capability is asserted.</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658"/>
        <w:gridCol w:w="8808"/>
      </w:tblGrid>
      <w:tr>
        <w:trPr>
          <w:cantSplit/>
          <w:tblHeader/>
        </w:trPr>
        <w:tc>
          <w:tcPr>
            <w:tcW w:type="dxa" w:w="1658"/>
            <w:shd w:val="clear" w:color="auto" w:fill="111113"/>
          </w:tcPr>
          <w:p>
            <w:r>
              <w:rPr>
                <w:b/>
                <w:color w:val="FFFFFF"/>
                <w:sz w:val="17"/>
              </w:rPr>
            </w:r>
            <w:r>
              <w:rPr>
                <w:b/>
                <w:color w:val="FFFFFF"/>
                <w:sz w:val="17"/>
              </w:rPr>
              <w:t>Control</w:t>
            </w:r>
          </w:p>
        </w:tc>
        <w:tc>
          <w:tcPr>
            <w:tcW w:type="dxa" w:w="8808"/>
            <w:shd w:val="clear" w:color="auto" w:fill="111113"/>
          </w:tcPr>
          <w:p>
            <w:r>
              <w:rPr>
                <w:b/>
                <w:color w:val="FFFFFF"/>
                <w:sz w:val="17"/>
              </w:rPr>
            </w:r>
            <w:r>
              <w:rPr>
                <w:b/>
                <w:color w:val="FFFFFF"/>
                <w:sz w:val="17"/>
              </w:rPr>
              <w:t>Required entry</w:t>
            </w:r>
          </w:p>
        </w:tc>
      </w:tr>
      <w:tr>
        <w:trPr>
          <w:cantSplit/>
        </w:trPr>
        <w:tc>
          <w:tcPr>
            <w:tcW w:type="dxa" w:w="1658"/>
          </w:tcPr>
          <w:p>
            <w:r>
              <w:rPr>
                <w:sz w:val="17"/>
              </w:rPr>
            </w:r>
            <w:r>
              <w:rPr>
                <w:sz w:val="17"/>
              </w:rPr>
              <w:t>Register identity</w:t>
            </w:r>
          </w:p>
        </w:tc>
        <w:tc>
          <w:tcPr>
            <w:tcW w:type="dxa" w:w="8808"/>
          </w:tcPr>
          <w:p>
            <w:r>
              <w:rPr>
                <w:sz w:val="17"/>
              </w:rPr>
            </w:r>
            <w:r>
              <w:rPr>
                <w:sz w:val="17"/>
              </w:rPr>
              <w:t>RegisterID, revision, custodian, restricted CDE URI and effective date</w:t>
            </w:r>
          </w:p>
        </w:tc>
      </w:tr>
      <w:tr>
        <w:trPr>
          <w:cantSplit/>
        </w:trPr>
        <w:tc>
          <w:tcPr>
            <w:tcW w:type="dxa" w:w="1658"/>
          </w:tcPr>
          <w:p>
            <w:r>
              <w:rPr>
                <w:sz w:val="17"/>
              </w:rPr>
            </w:r>
            <w:r>
              <w:rPr>
                <w:sz w:val="17"/>
              </w:rPr>
              <w:t>Adoption</w:t>
            </w:r>
          </w:p>
        </w:tc>
        <w:tc>
          <w:tcPr>
            <w:tcW w:type="dxa" w:w="8808"/>
          </w:tcPr>
          <w:p>
            <w:r>
              <w:rPr>
                <w:sz w:val="17"/>
              </w:rPr>
            </w:r>
            <w:r>
              <w:rPr>
                <w:sz w:val="17"/>
              </w:rPr>
              <w:t>Prepared, independently checked and director decision IDs; exact approved files and hashes</w:t>
            </w:r>
          </w:p>
        </w:tc>
      </w:tr>
      <w:tr>
        <w:trPr>
          <w:cantSplit/>
        </w:trPr>
        <w:tc>
          <w:tcPr>
            <w:tcW w:type="dxa" w:w="1658"/>
          </w:tcPr>
          <w:p>
            <w:r>
              <w:rPr>
                <w:sz w:val="17"/>
              </w:rPr>
            </w:r>
            <w:r>
              <w:rPr>
                <w:sz w:val="17"/>
              </w:rPr>
              <w:t>Review</w:t>
            </w:r>
          </w:p>
        </w:tc>
        <w:tc>
          <w:tcPr>
            <w:tcW w:type="dxa" w:w="8808"/>
          </w:tcPr>
          <w:p>
            <w:r>
              <w:rPr>
                <w:sz w:val="17"/>
              </w:rPr>
            </w:r>
            <w:r>
              <w:rPr>
                <w:sz w:val="17"/>
              </w:rPr>
              <w:t>At material standard, appointment, tool, authority, licence or incident change and the glossary's 12-month office review cycle</w:t>
            </w:r>
          </w:p>
        </w:tc>
      </w:tr>
      <w:tr>
        <w:trPr>
          <w:cantSplit/>
        </w:trPr>
        <w:tc>
          <w:tcPr>
            <w:tcW w:type="dxa" w:w="1658"/>
          </w:tcPr>
          <w:p>
            <w:r>
              <w:rPr>
                <w:sz w:val="17"/>
              </w:rPr>
            </w:r>
            <w:r>
              <w:rPr>
                <w:sz w:val="17"/>
              </w:rPr>
              <w:t>Change</w:t>
            </w:r>
          </w:p>
        </w:tc>
        <w:tc>
          <w:tcPr>
            <w:tcW w:type="dxa" w:w="8808"/>
          </w:tcPr>
          <w:p>
            <w:r>
              <w:rPr>
                <w:sz w:val="17"/>
              </w:rPr>
            </w:r>
            <w:r>
              <w:rPr>
                <w:sz w:val="17"/>
              </w:rPr>
              <w:t>Stable ChangeID, prior/​new revision, impact, approval, notification and retest evidence</w:t>
            </w:r>
          </w:p>
        </w:tc>
      </w:tr>
    </w:tbl>
    <w:p/>
    <w:p>
      <w:pPr>
        <w:pStyle w:val="Heading1"/>
      </w:pPr>
      <w:r>
        <w:t>2 One master index and dependencies</w:t>
      </w:r>
    </w:p>
    <w:p>
      <w:pPr/>
      <w:r>
        <w:t>Allocate each document or asset a stable ID before drafting. Record title, kind, revision, owner function, approval state, current master URI, issued-history URI, exact dependency IDs/revisions, next review date and evidence of approval. A companion form or native asset has a distinct AssetID linked to its parent standard. Markdown and DOCX are representations of the same controlled standard, not competing authorities. Record their source/build relationship and reconcile changes before issue.</w:t>
      </w:r>
    </w:p>
    <w:p>
      <w:pPr/>
      <w:r>
        <w:t>All workbook file paths are relative to the office-rev root, one directory above xlsx; this base is stated on Read me. The workbook Master index is a baseline inventory of existing office standards, guides and their available companion assets at this drafting date. Standard IDs are BBM-STD-nn or BBM-STD-MIDP/TIDP, with the descriptive filename held separately. Companion AssetIDs have their own namespace and parent standard ID. A blank Next review date is an adoption hold, not a completed field. The Allocations table reserves 51, 55, 57, 52, 53, 54 and 56 for this queue. Planned entries have no current-release URI. Each new release is promoted into the index only after checking its actual pack, dependency revisions and decision. Do not label a proposed ID approved because the allocation exists.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463"/>
        <w:gridCol w:w="8003"/>
      </w:tblGrid>
      <w:tr>
        <w:trPr>
          <w:cantSplit/>
          <w:tblHeader/>
        </w:trPr>
        <w:tc>
          <w:tcPr>
            <w:tcW w:type="dxa" w:w="2463"/>
            <w:shd w:val="clear" w:color="auto" w:fill="111113"/>
          </w:tcPr>
          <w:p>
            <w:r>
              <w:rPr>
                <w:b/>
                <w:color w:val="FFFFFF"/>
                <w:sz w:val="17"/>
              </w:rPr>
            </w:r>
            <w:r>
              <w:rPr>
                <w:b/>
                <w:color w:val="FFFFFF"/>
                <w:sz w:val="17"/>
              </w:rPr>
              <w:t>Dependency record</w:t>
            </w:r>
          </w:p>
        </w:tc>
        <w:tc>
          <w:tcPr>
            <w:tcW w:type="dxa" w:w="8003"/>
            <w:shd w:val="clear" w:color="auto" w:fill="111113"/>
          </w:tcPr>
          <w:p>
            <w:r>
              <w:rPr>
                <w:b/>
                <w:color w:val="FFFFFF"/>
                <w:sz w:val="17"/>
              </w:rPr>
            </w:r>
            <w:r>
              <w:rPr>
                <w:b/>
                <w:color w:val="FFFFFF"/>
                <w:sz w:val="17"/>
              </w:rPr>
              <w:t>Validation</w:t>
            </w:r>
          </w:p>
        </w:tc>
      </w:tr>
      <w:tr>
        <w:trPr>
          <w:cantSplit/>
        </w:trPr>
        <w:tc>
          <w:tcPr>
            <w:tcW w:type="dxa" w:w="2463"/>
          </w:tcPr>
          <w:p>
            <w:r>
              <w:rPr>
                <w:sz w:val="17"/>
              </w:rPr>
            </w:r>
            <w:r>
              <w:rPr>
                <w:sz w:val="17"/>
              </w:rPr>
              <w:t>ConsumerID and revision</w:t>
            </w:r>
          </w:p>
        </w:tc>
        <w:tc>
          <w:tcPr>
            <w:tcW w:type="dxa" w:w="8003"/>
          </w:tcPr>
          <w:p>
            <w:r>
              <w:rPr>
                <w:sz w:val="17"/>
              </w:rPr>
            </w:r>
            <w:r>
              <w:rPr>
                <w:sz w:val="17"/>
              </w:rPr>
              <w:t>Exists exactly once in the master index for the selected baseline</w:t>
            </w:r>
          </w:p>
        </w:tc>
      </w:tr>
      <w:tr>
        <w:trPr>
          <w:cantSplit/>
        </w:trPr>
        <w:tc>
          <w:tcPr>
            <w:tcW w:type="dxa" w:w="2463"/>
          </w:tcPr>
          <w:p>
            <w:r>
              <w:rPr>
                <w:sz w:val="17"/>
              </w:rPr>
            </w:r>
            <w:r>
              <w:rPr>
                <w:sz w:val="17"/>
              </w:rPr>
              <w:t>RequiredID and revision</w:t>
            </w:r>
          </w:p>
        </w:tc>
        <w:tc>
          <w:tcPr>
            <w:tcW w:type="dxa" w:w="8003"/>
          </w:tcPr>
          <w:p>
            <w:r>
              <w:rPr>
                <w:sz w:val="17"/>
              </w:rPr>
            </w:r>
            <w:r>
              <w:rPr>
                <w:sz w:val="17"/>
              </w:rPr>
              <w:t>Resolves to an available current source or a retained explicitly pinned issued baseline</w:t>
            </w:r>
          </w:p>
        </w:tc>
      </w:tr>
      <w:tr>
        <w:trPr>
          <w:cantSplit/>
        </w:trPr>
        <w:tc>
          <w:tcPr>
            <w:tcW w:type="dxa" w:w="2463"/>
          </w:tcPr>
          <w:p>
            <w:r>
              <w:rPr>
                <w:sz w:val="17"/>
              </w:rPr>
            </w:r>
            <w:r>
              <w:rPr>
                <w:sz w:val="17"/>
              </w:rPr>
              <w:t>Applicability and reason</w:t>
            </w:r>
          </w:p>
        </w:tc>
        <w:tc>
          <w:tcPr>
            <w:tcW w:type="dxa" w:w="8003"/>
          </w:tcPr>
          <w:p>
            <w:r>
              <w:rPr>
                <w:sz w:val="17"/>
              </w:rPr>
            </w:r>
            <w:r>
              <w:rPr>
                <w:sz w:val="17"/>
              </w:rPr>
              <w:t>Identifies affected clause, asset, project or exchange</w:t>
            </w:r>
          </w:p>
        </w:tc>
      </w:tr>
      <w:tr>
        <w:trPr>
          <w:cantSplit/>
        </w:trPr>
        <w:tc>
          <w:tcPr>
            <w:tcW w:type="dxa" w:w="2463"/>
          </w:tcPr>
          <w:p>
            <w:r>
              <w:rPr>
                <w:sz w:val="17"/>
              </w:rPr>
            </w:r>
            <w:r>
              <w:rPr>
                <w:sz w:val="17"/>
              </w:rPr>
              <w:t>Impact and decision</w:t>
            </w:r>
          </w:p>
        </w:tc>
        <w:tc>
          <w:tcPr>
            <w:tcW w:type="dxa" w:w="8003"/>
          </w:tcPr>
          <w:p>
            <w:r>
              <w:rPr>
                <w:sz w:val="17"/>
              </w:rPr>
            </w:r>
            <w:r>
              <w:rPr>
                <w:sz w:val="17"/>
              </w:rPr>
              <w:t>Changed dependency triggers owner assessment, same ChangeID and notified consumers</w:t>
            </w:r>
          </w:p>
        </w:tc>
      </w:tr>
    </w:tbl>
    <w:p/>
    <w:p>
      <w:pPr/>
      <w:r>
        <w:rPr>
          <w:b/>
        </w:rPr>
        <w:t>Library index snapshots (O-DEC-135).</w:t>
      </w:r>
      <w:r>
        <w:t xml:space="preserve"> The shared family library index grows between reads, so every use quotes filename, row count, read date and full SHA-256. Recorded snapshots (read-only; owner of the index is the library-production owner, BBM-STD-69 §1 and BBM-STD-72 §2 cite these rows):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46"/>
        <w:gridCol w:w="2695"/>
        <w:gridCol w:w="600"/>
        <w:gridCol w:w="1696"/>
        <w:gridCol w:w="3284"/>
        <w:gridCol w:w="1145"/>
      </w:tblGrid>
      <w:tr>
        <w:trPr>
          <w:cantSplit/>
          <w:tblHeader/>
        </w:trPr>
        <w:tc>
          <w:tcPr>
            <w:tcW w:type="dxa" w:w="1046"/>
            <w:shd w:val="clear" w:color="auto" w:fill="111113"/>
          </w:tcPr>
          <w:p>
            <w:r>
              <w:rPr>
                <w:b/>
                <w:color w:val="FFFFFF"/>
                <w:sz w:val="17"/>
              </w:rPr>
            </w:r>
            <w:r>
              <w:rPr>
                <w:b/>
                <w:color w:val="FFFFFF"/>
                <w:sz w:val="17"/>
              </w:rPr>
              <w:t>Snapshot</w:t>
            </w:r>
          </w:p>
        </w:tc>
        <w:tc>
          <w:tcPr>
            <w:tcW w:type="dxa" w:w="2695"/>
            <w:shd w:val="clear" w:color="auto" w:fill="111113"/>
          </w:tcPr>
          <w:p>
            <w:r>
              <w:rPr>
                <w:b/>
                <w:color w:val="FFFFFF"/>
                <w:sz w:val="17"/>
              </w:rPr>
            </w:r>
            <w:r>
              <w:rPr>
                <w:b/>
                <w:color w:val="FFFFFF"/>
                <w:sz w:val="17"/>
              </w:rPr>
              <w:t>File</w:t>
            </w:r>
          </w:p>
        </w:tc>
        <w:tc>
          <w:tcPr>
            <w:tcW w:type="dxa" w:w="600"/>
            <w:shd w:val="clear" w:color="auto" w:fill="111113"/>
          </w:tcPr>
          <w:p>
            <w:r>
              <w:rPr>
                <w:b/>
                <w:color w:val="FFFFFF"/>
                <w:sz w:val="17"/>
              </w:rPr>
            </w:r>
            <w:r>
              <w:rPr>
                <w:b/>
                <w:color w:val="FFFFFF"/>
                <w:sz w:val="17"/>
              </w:rPr>
              <w:t>Rows</w:t>
            </w:r>
          </w:p>
        </w:tc>
        <w:tc>
          <w:tcPr>
            <w:tcW w:type="dxa" w:w="1696"/>
            <w:shd w:val="clear" w:color="auto" w:fill="111113"/>
          </w:tcPr>
          <w:p>
            <w:r>
              <w:rPr>
                <w:b/>
                <w:color w:val="FFFFFF"/>
                <w:sz w:val="17"/>
              </w:rPr>
            </w:r>
            <w:r>
              <w:rPr>
                <w:b/>
                <w:color w:val="FFFFFF"/>
                <w:sz w:val="17"/>
              </w:rPr>
              <w:t>Read /​ modified</w:t>
            </w:r>
          </w:p>
        </w:tc>
        <w:tc>
          <w:tcPr>
            <w:tcW w:type="dxa" w:w="3284"/>
            <w:shd w:val="clear" w:color="auto" w:fill="111113"/>
          </w:tcPr>
          <w:p>
            <w:r>
              <w:rPr>
                <w:b/>
                <w:color w:val="FFFFFF"/>
                <w:sz w:val="17"/>
              </w:rPr>
            </w:r>
            <w:r>
              <w:rPr>
                <w:b/>
                <w:color w:val="FFFFFF"/>
                <w:sz w:val="17"/>
              </w:rPr>
              <w:t>SHA-256</w:t>
            </w:r>
          </w:p>
        </w:tc>
        <w:tc>
          <w:tcPr>
            <w:tcW w:type="dxa" w:w="1145"/>
            <w:shd w:val="clear" w:color="auto" w:fill="111113"/>
          </w:tcPr>
          <w:p>
            <w:r>
              <w:rPr>
                <w:b/>
                <w:color w:val="FFFFFF"/>
                <w:sz w:val="17"/>
              </w:rPr>
            </w:r>
            <w:r>
              <w:rPr>
                <w:b/>
                <w:color w:val="FFFFFF"/>
                <w:sz w:val="17"/>
              </w:rPr>
              <w:t>State</w:t>
            </w:r>
          </w:p>
        </w:tc>
      </w:tr>
      <w:tr>
        <w:trPr>
          <w:cantSplit/>
        </w:trPr>
        <w:tc>
          <w:tcPr>
            <w:tcW w:type="dxa" w:w="1046"/>
          </w:tcPr>
          <w:p>
            <w:r>
              <w:rPr>
                <w:sz w:val="17"/>
              </w:rPr>
            </w:r>
            <w:r>
              <w:rPr>
                <w:sz w:val="17"/>
              </w:rPr>
              <w:t>LIB-IDX-S1</w:t>
            </w:r>
          </w:p>
        </w:tc>
        <w:tc>
          <w:tcPr>
            <w:tcW w:type="dxa" w:w="2695"/>
          </w:tcPr>
          <w:p>
            <w:r>
              <w:rPr>
                <w:sz w:val="17"/>
              </w:rPr>
            </w:r>
            <w:r>
              <w:rPr>
                <w:sz w:val="17"/>
              </w:rPr>
              <w:t>Family CSV, filename not recorded; no longer on the share</w:t>
            </w:r>
          </w:p>
        </w:tc>
        <w:tc>
          <w:tcPr>
            <w:tcW w:type="dxa" w:w="600"/>
          </w:tcPr>
          <w:p>
            <w:r>
              <w:rPr>
                <w:sz w:val="17"/>
              </w:rPr>
            </w:r>
            <w:r>
              <w:rPr>
                <w:sz w:val="17"/>
              </w:rPr>
              <w:t>568</w:t>
            </w:r>
          </w:p>
        </w:tc>
        <w:tc>
          <w:tcPr>
            <w:tcW w:type="dxa" w:w="1696"/>
          </w:tcPr>
          <w:p>
            <w:r>
              <w:rPr>
                <w:sz w:val="17"/>
              </w:rPr>
            </w:r>
            <w:r>
              <w:rPr>
                <w:sz w:val="17"/>
              </w:rPr>
              <w:t>read 2026-10-16</w:t>
            </w:r>
          </w:p>
        </w:tc>
        <w:tc>
          <w:tcPr>
            <w:tcW w:type="dxa" w:w="3284"/>
          </w:tcPr>
          <w:p>
            <w:r>
              <w:rPr>
                <w:sz w:val="17"/>
              </w:rPr>
            </w:r>
            <w:r>
              <w:rPr>
                <w:rFonts w:ascii="JetBrains Mono" w:hAnsi="JetBrains Mono"/>
                <w:sz w:val="17"/>
              </w:rPr>
              <w:t>ccb2ced96efd2e3b91cfaf70a5279dcd9800ca5a583ba3d6d94f9bbef9ceb38b</w:t>
            </w:r>
          </w:p>
        </w:tc>
        <w:tc>
          <w:tcPr>
            <w:tcW w:type="dxa" w:w="1145"/>
          </w:tcPr>
          <w:p>
            <w:r>
              <w:rPr>
                <w:sz w:val="17"/>
              </w:rPr>
            </w:r>
            <w:r>
              <w:rPr>
                <w:sz w:val="17"/>
              </w:rPr>
              <w:t>History only</w:t>
            </w:r>
          </w:p>
        </w:tc>
      </w:tr>
      <w:tr>
        <w:trPr>
          <w:cantSplit/>
        </w:trPr>
        <w:tc>
          <w:tcPr>
            <w:tcW w:type="dxa" w:w="1046"/>
          </w:tcPr>
          <w:p>
            <w:r>
              <w:rPr>
                <w:sz w:val="17"/>
              </w:rPr>
            </w:r>
            <w:r>
              <w:rPr>
                <w:sz w:val="17"/>
              </w:rPr>
              <w:t>LIB-IDX-S2</w:t>
            </w:r>
          </w:p>
        </w:tc>
        <w:tc>
          <w:tcPr>
            <w:tcW w:type="dxa" w:w="2695"/>
          </w:tcPr>
          <w:p>
            <w:r>
              <w:rPr>
                <w:sz w:val="17"/>
              </w:rPr>
            </w:r>
            <w:r>
              <w:rPr>
                <w:rFonts w:ascii="JetBrains Mono" w:hAnsi="JetBrains Mono"/>
                <w:sz w:val="17"/>
              </w:rPr>
              <w:t>02-LIBRARIES/​01-FAMILIES/​BBM-FAMILY-LIBRARY-INDEX.csv</w:t>
            </w:r>
          </w:p>
        </w:tc>
        <w:tc>
          <w:tcPr>
            <w:tcW w:type="dxa" w:w="600"/>
          </w:tcPr>
          <w:p>
            <w:r>
              <w:rPr>
                <w:sz w:val="17"/>
              </w:rPr>
            </w:r>
            <w:r>
              <w:rPr>
                <w:sz w:val="17"/>
              </w:rPr>
              <w:t>878</w:t>
            </w:r>
          </w:p>
        </w:tc>
        <w:tc>
          <w:tcPr>
            <w:tcW w:type="dxa" w:w="1696"/>
          </w:tcPr>
          <w:p>
            <w:r>
              <w:rPr>
                <w:sz w:val="17"/>
              </w:rPr>
            </w:r>
            <w:r>
              <w:rPr>
                <w:sz w:val="17"/>
              </w:rPr>
              <w:t>read 2026-10-16</w:t>
            </w:r>
          </w:p>
        </w:tc>
        <w:tc>
          <w:tcPr>
            <w:tcW w:type="dxa" w:w="3284"/>
          </w:tcPr>
          <w:p>
            <w:r>
              <w:rPr>
                <w:sz w:val="17"/>
              </w:rPr>
            </w:r>
            <w:r>
              <w:rPr>
                <w:rFonts w:ascii="JetBrains Mono" w:hAnsi="JetBrains Mono"/>
                <w:sz w:val="17"/>
              </w:rPr>
              <w:t>6d4ecac1310377706ce3937e98a64a5fc097f0d07784a617d450691cd5ae45a4</w:t>
            </w:r>
          </w:p>
        </w:tc>
        <w:tc>
          <w:tcPr>
            <w:tcW w:type="dxa" w:w="1145"/>
          </w:tcPr>
          <w:p>
            <w:r>
              <w:rPr>
                <w:sz w:val="17"/>
              </w:rPr>
            </w:r>
            <w:r>
              <w:rPr>
                <w:sz w:val="17"/>
              </w:rPr>
              <w:t>Superseded snapshot</w:t>
            </w:r>
          </w:p>
        </w:tc>
      </w:tr>
      <w:tr>
        <w:trPr>
          <w:cantSplit/>
        </w:trPr>
        <w:tc>
          <w:tcPr>
            <w:tcW w:type="dxa" w:w="1046"/>
          </w:tcPr>
          <w:p>
            <w:r>
              <w:rPr>
                <w:sz w:val="17"/>
              </w:rPr>
            </w:r>
            <w:r>
              <w:rPr>
                <w:sz w:val="17"/>
              </w:rPr>
              <w:t>LIB-IDX-S3</w:t>
            </w:r>
          </w:p>
        </w:tc>
        <w:tc>
          <w:tcPr>
            <w:tcW w:type="dxa" w:w="2695"/>
          </w:tcPr>
          <w:p>
            <w:r>
              <w:rPr>
                <w:sz w:val="17"/>
              </w:rPr>
            </w:r>
            <w:r>
              <w:rPr>
                <w:rFonts w:ascii="JetBrains Mono" w:hAnsi="JetBrains Mono"/>
                <w:sz w:val="17"/>
              </w:rPr>
              <w:t>02-LIBRARIES/​01-FAMILIES/​BBM-FAMILY-LIBRARY-INDEX.csv</w:t>
            </w:r>
          </w:p>
        </w:tc>
        <w:tc>
          <w:tcPr>
            <w:tcW w:type="dxa" w:w="600"/>
          </w:tcPr>
          <w:p>
            <w:r>
              <w:rPr>
                <w:sz w:val="17"/>
              </w:rPr>
            </w:r>
            <w:r>
              <w:rPr>
                <w:sz w:val="17"/>
              </w:rPr>
              <w:t>889</w:t>
            </w:r>
          </w:p>
        </w:tc>
        <w:tc>
          <w:tcPr>
            <w:tcW w:type="dxa" w:w="1696"/>
          </w:tcPr>
          <w:p>
            <w:r>
              <w:rPr>
                <w:sz w:val="17"/>
              </w:rPr>
            </w:r>
            <w:r>
              <w:rPr>
                <w:sz w:val="17"/>
              </w:rPr>
              <w:t>read 2026-11-04; modified 2026-10-29</w:t>
            </w:r>
          </w:p>
        </w:tc>
        <w:tc>
          <w:tcPr>
            <w:tcW w:type="dxa" w:w="3284"/>
          </w:tcPr>
          <w:p>
            <w:r>
              <w:rPr>
                <w:sz w:val="17"/>
              </w:rPr>
            </w:r>
            <w:r>
              <w:rPr>
                <w:rFonts w:ascii="JetBrains Mono" w:hAnsi="JetBrains Mono"/>
                <w:sz w:val="17"/>
              </w:rPr>
              <w:t>5b586168d9ff202f747b85bf14d0caaacbee48485bf24529aa5712d6cb504aaa</w:t>
            </w:r>
          </w:p>
        </w:tc>
        <w:tc>
          <w:tcPr>
            <w:tcW w:type="dxa" w:w="1145"/>
          </w:tcPr>
          <w:p>
            <w:r>
              <w:rPr>
                <w:sz w:val="17"/>
              </w:rPr>
            </w:r>
            <w:r>
              <w:rPr>
                <w:sz w:val="17"/>
              </w:rPr>
              <w:t>Current at 2026-11-04</w:t>
            </w:r>
          </w:p>
        </w:tc>
      </w:tr>
    </w:tbl>
    <w:p/>
    <w:p>
      <w:pPr/>
      <w:r>
        <w:t>Library and share paths in this standard are written in the NN-NAME folder form without dots (</w:t>
      </w:r>
      <w:r>
        <w:rPr>
          <w:color w:val="9A7B45"/>
          <w:u w:val="single"/>
        </w:rPr>
        <w:t>O-DEC-149</w:t>
      </w:r>
      <w:r>
        <w:t>). A share that still carries an earlier dotted folder name maps one-to-one to the path written here; the file name, row count and SHA-256 identify the file.</w:t>
      </w:r>
    </w:p>
    <w:p>
      <w:pPr/>
      <w:r>
        <w:t>Before a release, traverse every applicable dependency and current link, including companion forms and diagrams. Check exact case/path, revision, actual availability, approval and permitted audience. Zero unresolved IDs or broken current references are permitted within the released scope. An unbuilt future interface is an open condition, never an active approved dependency. Preserve historic issued files and their references. A baseline snapshot is retained with its manifest and decision evidence.</w:t>
      </w:r>
    </w:p>
    <w:p>
      <w:pPr>
        <w:pStyle w:val="Heading1"/>
      </w:pPr>
      <w:r>
        <w:t>3 Adopted publications and precedence: the one edition register</w:t>
      </w:r>
    </w:p>
    <w:p>
      <w:pPr/>
      <w:r>
        <w:t>Binding applicable law and authority conditions cannot be waived by a workbook or appointment. The commercial/legal owner records the actual appointment hierarchy; the technical team must not invent a universal order among contract documents. Within that agreed hierarchy, EIR fixes required exchanges, the BEP describes delivery and this office register controls the selected standards and aliases. Escalate conflicts and hold only the affected use.</w:t>
      </w:r>
    </w:p>
    <w:p>
      <w:pPr>
        <w:sectPr>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pPr>
    </w:p>
    <w:p>
      <w:pPr/>
      <w:r>
        <w:rPr>
          <w:b/>
        </w:rPr>
        <w:t>This section is the ONE edition and adoption register for the whole office standard set (O-DEC-111).</w:t>
      </w:r>
      <w:r>
        <w:t xml:space="preserve"> Every other document cites a register ID below instead of restating an edition or date. BBM-STD-12 A3 (CODE-nnn) and BBM-STD-57 §2 (InstrumentID) reference these IDs. UAE requirement detail (thresholds, submission steps, evidence) lives in </w:t>
      </w:r>
      <w:r>
        <w:rPr>
          <w:color w:val="9A7B45"/>
          <w:u w:val="single"/>
        </w:rPr>
        <w:t>BBM-STD-85</w:t>
      </w:r>
      <w:r>
        <w:t>; this register holds only the edition facts. Where a value could not be confirmed from a primary source, the row states the dependence-free rule instead of an edition. All rows checked 2026-11-04. Project code applicability, editions/amendments, transition dates, jurisdiction and verified clauses are frozen in the project copy of this register before technical reliance; the newest publication is not automatically the adopted code (</w:t>
      </w:r>
      <w:r>
        <w:rPr>
          <w:color w:val="9A7B45"/>
          <w:u w:val="single"/>
        </w:rPr>
        <w:t>O-DEC-126</w:t>
      </w:r>
      <w:r>
        <w:t>).</w:t>
      </w:r>
    </w:p>
    <w:p>
      <w:pPr/>
      <w:r>
        <w:rPr>
          <w:b/>
        </w:rPr>
        <w:t>International and professional publications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20"/>
        <w:gridCol w:w="2567"/>
        <w:gridCol w:w="3070"/>
        <w:gridCol w:w="1042"/>
        <w:gridCol w:w="3329"/>
        <w:gridCol w:w="3129"/>
        <w:gridCol w:w="1042"/>
      </w:tblGrid>
      <w:tr>
        <w:trPr>
          <w:cantSplit/>
          <w:tblHeader/>
        </w:trPr>
        <w:tc>
          <w:tcPr>
            <w:tcW w:type="dxa" w:w="1220"/>
            <w:shd w:val="clear" w:color="auto" w:fill="111113"/>
          </w:tcPr>
          <w:p>
            <w:r>
              <w:rPr>
                <w:b/>
                <w:color w:val="FFFFFF"/>
                <w:sz w:val="17"/>
              </w:rPr>
            </w:r>
            <w:r>
              <w:rPr>
                <w:b/>
                <w:color w:val="FFFFFF"/>
                <w:sz w:val="17"/>
              </w:rPr>
              <w:t>ID</w:t>
            </w:r>
          </w:p>
        </w:tc>
        <w:tc>
          <w:tcPr>
            <w:tcW w:type="dxa" w:w="2567"/>
            <w:shd w:val="clear" w:color="auto" w:fill="111113"/>
          </w:tcPr>
          <w:p>
            <w:r>
              <w:rPr>
                <w:b/>
                <w:color w:val="FFFFFF"/>
                <w:sz w:val="17"/>
              </w:rPr>
            </w:r>
            <w:r>
              <w:rPr>
                <w:b/>
                <w:color w:val="FFFFFF"/>
                <w:sz w:val="17"/>
              </w:rPr>
              <w:t>Instrument</w:t>
            </w:r>
          </w:p>
        </w:tc>
        <w:tc>
          <w:tcPr>
            <w:tcW w:type="dxa" w:w="3070"/>
            <w:shd w:val="clear" w:color="auto" w:fill="111113"/>
          </w:tcPr>
          <w:p>
            <w:r>
              <w:rPr>
                <w:b/>
                <w:color w:val="FFFFFF"/>
                <w:sz w:val="17"/>
              </w:rPr>
            </w:r>
            <w:r>
              <w:rPr>
                <w:b/>
                <w:color w:val="FFFFFF"/>
                <w:sz w:val="17"/>
              </w:rPr>
              <w:t>Edition /​ status</w:t>
            </w:r>
          </w:p>
        </w:tc>
        <w:tc>
          <w:tcPr>
            <w:tcW w:type="dxa" w:w="1042"/>
            <w:shd w:val="clear" w:color="auto" w:fill="111113"/>
          </w:tcPr>
          <w:p>
            <w:r>
              <w:rPr>
                <w:b/>
                <w:color w:val="FFFFFF"/>
                <w:sz w:val="17"/>
              </w:rPr>
            </w:r>
            <w:r>
              <w:rPr>
                <w:b/>
                <w:color w:val="FFFFFF"/>
                <w:sz w:val="17"/>
              </w:rPr>
              <w:t>Date</w:t>
            </w:r>
          </w:p>
        </w:tc>
        <w:tc>
          <w:tcPr>
            <w:tcW w:type="dxa" w:w="3329"/>
            <w:shd w:val="clear" w:color="auto" w:fill="111113"/>
          </w:tcPr>
          <w:p>
            <w:r>
              <w:rPr>
                <w:b/>
                <w:color w:val="FFFFFF"/>
                <w:sz w:val="17"/>
              </w:rPr>
            </w:r>
            <w:r>
              <w:rPr>
                <w:b/>
                <w:color w:val="FFFFFF"/>
                <w:sz w:val="17"/>
              </w:rPr>
              <w:t>Office treatment</w:t>
            </w:r>
          </w:p>
        </w:tc>
        <w:tc>
          <w:tcPr>
            <w:tcW w:type="dxa" w:w="3129"/>
            <w:shd w:val="clear" w:color="auto" w:fill="111113"/>
          </w:tcPr>
          <w:p>
            <w:r>
              <w:rPr>
                <w:b/>
                <w:color w:val="FFFFFF"/>
                <w:sz w:val="17"/>
              </w:rPr>
            </w:r>
            <w:r>
              <w:rPr>
                <w:b/>
                <w:color w:val="FFFFFF"/>
                <w:sz w:val="17"/>
              </w:rPr>
              <w:t>Primary URL</w:t>
            </w:r>
          </w:p>
        </w:tc>
        <w:tc>
          <w:tcPr>
            <w:tcW w:type="dxa" w:w="1042"/>
            <w:shd w:val="clear" w:color="auto" w:fill="111113"/>
          </w:tcPr>
          <w:p>
            <w:r>
              <w:rPr>
                <w:b/>
                <w:color w:val="FFFFFF"/>
                <w:sz w:val="17"/>
              </w:rPr>
            </w:r>
            <w:r>
              <w:rPr>
                <w:b/>
                <w:color w:val="FFFFFF"/>
                <w:sz w:val="17"/>
              </w:rPr>
              <w:t>Checked</w:t>
            </w:r>
          </w:p>
        </w:tc>
      </w:tr>
      <w:tr>
        <w:trPr>
          <w:cantSplit/>
        </w:trPr>
        <w:tc>
          <w:tcPr>
            <w:tcW w:type="dxa" w:w="1220"/>
          </w:tcPr>
          <w:p>
            <w:r>
              <w:rPr>
                <w:sz w:val="17"/>
              </w:rPr>
            </w:r>
            <w:r>
              <w:rPr>
                <w:sz w:val="17"/>
              </w:rPr>
              <w:t>ED-ISO19650-1</w:t>
            </w:r>
          </w:p>
        </w:tc>
        <w:tc>
          <w:tcPr>
            <w:tcW w:type="dxa" w:w="2567"/>
          </w:tcPr>
          <w:p>
            <w:r>
              <w:rPr>
                <w:sz w:val="17"/>
              </w:rPr>
            </w:r>
            <w:r>
              <w:rPr>
                <w:sz w:val="17"/>
              </w:rPr>
              <w:t>ISO 19650-1 Concepts and principles</w:t>
            </w:r>
          </w:p>
        </w:tc>
        <w:tc>
          <w:tcPr>
            <w:tcW w:type="dxa" w:w="3070"/>
          </w:tcPr>
          <w:p>
            <w:r>
              <w:rPr>
                <w:sz w:val="17"/>
              </w:rPr>
            </w:r>
            <w:r>
              <w:rPr>
                <w:sz w:val="17"/>
              </w:rPr>
              <w:t>2018, ed.1, in force. ISO/​DIS 19650-1 ed.2 at stage 40.93, not in force</w:t>
            </w:r>
          </w:p>
        </w:tc>
        <w:tc>
          <w:tcPr>
            <w:tcW w:type="dxa" w:w="1042"/>
          </w:tcPr>
          <w:p>
            <w:r>
              <w:rPr>
                <w:sz w:val="17"/>
              </w:rPr>
            </w:r>
            <w:r>
              <w:rPr>
                <w:sz w:val="17"/>
              </w:rPr>
              <w:t>2018-12</w:t>
            </w:r>
          </w:p>
        </w:tc>
        <w:tc>
          <w:tcPr>
            <w:tcW w:type="dxa" w:w="3329"/>
          </w:tcPr>
          <w:p>
            <w:r>
              <w:rPr>
                <w:sz w:val="17"/>
              </w:rPr>
            </w:r>
            <w:r>
              <w:rPr>
                <w:sz w:val="17"/>
              </w:rPr>
              <w:t>Concepts baseline; a draft never replaces the edition automatically</w:t>
            </w:r>
          </w:p>
        </w:tc>
        <w:tc>
          <w:tcPr>
            <w:tcW w:type="dxa" w:w="3129"/>
          </w:tcPr>
          <w:p>
            <w:r>
              <w:rPr>
                <w:sz w:val="17"/>
              </w:rPr>
            </w:r>
            <w:r>
              <w:rPr>
                <w:sz w:val="17"/>
              </w:rPr>
              <w:t>https:/​/​www.iso.org/​standard/​68078.html</w:t>
            </w:r>
          </w:p>
        </w:tc>
        <w:tc>
          <w:tcPr>
            <w:tcW w:type="dxa" w:w="1042"/>
          </w:tcPr>
          <w:p>
            <w:r>
              <w:rPr>
                <w:sz w:val="17"/>
              </w:rPr>
            </w:r>
            <w:r>
              <w:rPr>
                <w:sz w:val="17"/>
              </w:rPr>
              <w:t>2026-11-04</w:t>
            </w:r>
          </w:p>
        </w:tc>
      </w:tr>
      <w:tr>
        <w:trPr>
          <w:cantSplit/>
        </w:trPr>
        <w:tc>
          <w:tcPr>
            <w:tcW w:type="dxa" w:w="1220"/>
          </w:tcPr>
          <w:p>
            <w:r>
              <w:rPr>
                <w:sz w:val="17"/>
              </w:rPr>
            </w:r>
            <w:r>
              <w:rPr>
                <w:sz w:val="17"/>
              </w:rPr>
              <w:t>ED-ISO19650-2</w:t>
            </w:r>
          </w:p>
        </w:tc>
        <w:tc>
          <w:tcPr>
            <w:tcW w:type="dxa" w:w="2567"/>
          </w:tcPr>
          <w:p>
            <w:r>
              <w:rPr>
                <w:sz w:val="17"/>
              </w:rPr>
            </w:r>
            <w:r>
              <w:rPr>
                <w:sz w:val="17"/>
              </w:rPr>
              <w:t>ISO 19650-2 Delivery phase</w:t>
            </w:r>
          </w:p>
        </w:tc>
        <w:tc>
          <w:tcPr>
            <w:tcW w:type="dxa" w:w="3070"/>
          </w:tcPr>
          <w:p>
            <w:r>
              <w:rPr>
                <w:sz w:val="17"/>
              </w:rPr>
            </w:r>
            <w:r>
              <w:rPr>
                <w:sz w:val="17"/>
              </w:rPr>
              <w:t>2018, ed.1, in force. ISO/​DIS 19650-2 at stage 40.93, not in force</w:t>
            </w:r>
          </w:p>
        </w:tc>
        <w:tc>
          <w:tcPr>
            <w:tcW w:type="dxa" w:w="1042"/>
          </w:tcPr>
          <w:p>
            <w:r>
              <w:rPr>
                <w:sz w:val="17"/>
              </w:rPr>
            </w:r>
            <w:r>
              <w:rPr>
                <w:sz w:val="17"/>
              </w:rPr>
              <w:t>2018-12</w:t>
            </w:r>
          </w:p>
        </w:tc>
        <w:tc>
          <w:tcPr>
            <w:tcW w:type="dxa" w:w="3329"/>
          </w:tcPr>
          <w:p>
            <w:r>
              <w:rPr>
                <w:sz w:val="17"/>
              </w:rPr>
            </w:r>
            <w:r>
              <w:rPr>
                <w:sz w:val="17"/>
              </w:rPr>
              <w:t>Delivery baseline (BEP, MIDP/​TIDP, formal delivery per 5.7, O-DEC-117)</w:t>
            </w:r>
          </w:p>
        </w:tc>
        <w:tc>
          <w:tcPr>
            <w:tcW w:type="dxa" w:w="3129"/>
          </w:tcPr>
          <w:p>
            <w:r>
              <w:rPr>
                <w:sz w:val="17"/>
              </w:rPr>
            </w:r>
            <w:r>
              <w:rPr>
                <w:sz w:val="17"/>
              </w:rPr>
              <w:t>https:/​/​www.iso.org/​standard/​68080.html</w:t>
            </w:r>
          </w:p>
        </w:tc>
        <w:tc>
          <w:tcPr>
            <w:tcW w:type="dxa" w:w="1042"/>
          </w:tcPr>
          <w:p>
            <w:r>
              <w:rPr>
                <w:sz w:val="17"/>
              </w:rPr>
            </w:r>
            <w:r>
              <w:rPr>
                <w:sz w:val="17"/>
              </w:rPr>
              <w:t>2026-11-04</w:t>
            </w:r>
          </w:p>
        </w:tc>
      </w:tr>
      <w:tr>
        <w:trPr>
          <w:cantSplit/>
        </w:trPr>
        <w:tc>
          <w:tcPr>
            <w:tcW w:type="dxa" w:w="1220"/>
          </w:tcPr>
          <w:p>
            <w:r>
              <w:rPr>
                <w:sz w:val="17"/>
              </w:rPr>
            </w:r>
            <w:r>
              <w:rPr>
                <w:sz w:val="17"/>
              </w:rPr>
              <w:t>ED-ISO19650-3</w:t>
            </w:r>
          </w:p>
        </w:tc>
        <w:tc>
          <w:tcPr>
            <w:tcW w:type="dxa" w:w="2567"/>
          </w:tcPr>
          <w:p>
            <w:r>
              <w:rPr>
                <w:sz w:val="17"/>
              </w:rPr>
            </w:r>
            <w:r>
              <w:rPr>
                <w:sz w:val="17"/>
              </w:rPr>
              <w:t>ISO 19650-3 Operational phase</w:t>
            </w:r>
          </w:p>
        </w:tc>
        <w:tc>
          <w:tcPr>
            <w:tcW w:type="dxa" w:w="3070"/>
          </w:tcPr>
          <w:p>
            <w:r>
              <w:rPr>
                <w:sz w:val="17"/>
              </w:rPr>
            </w:r>
            <w:r>
              <w:rPr>
                <w:sz w:val="17"/>
              </w:rPr>
              <w:t>2020, ed.1</w:t>
            </w:r>
          </w:p>
        </w:tc>
        <w:tc>
          <w:tcPr>
            <w:tcW w:type="dxa" w:w="1042"/>
          </w:tcPr>
          <w:p>
            <w:r>
              <w:rPr>
                <w:sz w:val="17"/>
              </w:rPr>
            </w:r>
            <w:r>
              <w:rPr>
                <w:sz w:val="17"/>
              </w:rPr>
              <w:t>2020-07</w:t>
            </w:r>
          </w:p>
        </w:tc>
        <w:tc>
          <w:tcPr>
            <w:tcW w:type="dxa" w:w="3329"/>
          </w:tcPr>
          <w:p>
            <w:r>
              <w:rPr>
                <w:sz w:val="17"/>
              </w:rPr>
            </w:r>
            <w:r>
              <w:rPr>
                <w:sz w:val="17"/>
              </w:rPr>
              <w:t>Operational context (BBM-STD-52, 75)</w:t>
            </w:r>
          </w:p>
        </w:tc>
        <w:tc>
          <w:tcPr>
            <w:tcW w:type="dxa" w:w="3129"/>
          </w:tcPr>
          <w:p>
            <w:r>
              <w:rPr>
                <w:sz w:val="17"/>
              </w:rPr>
            </w:r>
            <w:r>
              <w:rPr>
                <w:sz w:val="17"/>
              </w:rPr>
              <w:t>https:/​/​www.iso.org/​standard/​75109.html</w:t>
            </w:r>
          </w:p>
        </w:tc>
        <w:tc>
          <w:tcPr>
            <w:tcW w:type="dxa" w:w="1042"/>
          </w:tcPr>
          <w:p>
            <w:r>
              <w:rPr>
                <w:sz w:val="17"/>
              </w:rPr>
            </w:r>
            <w:r>
              <w:rPr>
                <w:sz w:val="17"/>
              </w:rPr>
              <w:t>2026-11-04</w:t>
            </w:r>
          </w:p>
        </w:tc>
      </w:tr>
      <w:tr>
        <w:trPr>
          <w:cantSplit/>
        </w:trPr>
        <w:tc>
          <w:tcPr>
            <w:tcW w:type="dxa" w:w="1220"/>
          </w:tcPr>
          <w:p>
            <w:r>
              <w:rPr>
                <w:sz w:val="17"/>
              </w:rPr>
            </w:r>
            <w:r>
              <w:rPr>
                <w:sz w:val="17"/>
              </w:rPr>
              <w:t>ED-ISO19650-4</w:t>
            </w:r>
          </w:p>
        </w:tc>
        <w:tc>
          <w:tcPr>
            <w:tcW w:type="dxa" w:w="2567"/>
          </w:tcPr>
          <w:p>
            <w:r>
              <w:rPr>
                <w:sz w:val="17"/>
              </w:rPr>
            </w:r>
            <w:r>
              <w:rPr>
                <w:sz w:val="17"/>
              </w:rPr>
              <w:t>ISO 19650-4 Information exchange</w:t>
            </w:r>
          </w:p>
        </w:tc>
        <w:tc>
          <w:tcPr>
            <w:tcW w:type="dxa" w:w="3070"/>
          </w:tcPr>
          <w:p>
            <w:r>
              <w:rPr>
                <w:sz w:val="17"/>
              </w:rPr>
            </w:r>
            <w:r>
              <w:rPr>
                <w:sz w:val="17"/>
              </w:rPr>
              <w:t>2022, ed.1</w:t>
            </w:r>
          </w:p>
        </w:tc>
        <w:tc>
          <w:tcPr>
            <w:tcW w:type="dxa" w:w="1042"/>
          </w:tcPr>
          <w:p>
            <w:r>
              <w:rPr>
                <w:sz w:val="17"/>
              </w:rPr>
            </w:r>
            <w:r>
              <w:rPr>
                <w:sz w:val="17"/>
              </w:rPr>
              <w:t>2022-08</w:t>
            </w:r>
          </w:p>
        </w:tc>
        <w:tc>
          <w:tcPr>
            <w:tcW w:type="dxa" w:w="3329"/>
          </w:tcPr>
          <w:p>
            <w:r>
              <w:rPr>
                <w:sz w:val="17"/>
              </w:rPr>
            </w:r>
            <w:r>
              <w:rPr>
                <w:sz w:val="17"/>
              </w:rPr>
              <w:t>Exchange review and acceptance (BBM-STD-50, 54, 64)</w:t>
            </w:r>
          </w:p>
        </w:tc>
        <w:tc>
          <w:tcPr>
            <w:tcW w:type="dxa" w:w="3129"/>
          </w:tcPr>
          <w:p>
            <w:r>
              <w:rPr>
                <w:sz w:val="17"/>
              </w:rPr>
            </w:r>
            <w:r>
              <w:rPr>
                <w:sz w:val="17"/>
              </w:rPr>
              <w:t>https:/​/​www.iso.org/​standard/​78246.html</w:t>
            </w:r>
          </w:p>
        </w:tc>
        <w:tc>
          <w:tcPr>
            <w:tcW w:type="dxa" w:w="1042"/>
          </w:tcPr>
          <w:p>
            <w:r>
              <w:rPr>
                <w:sz w:val="17"/>
              </w:rPr>
            </w:r>
            <w:r>
              <w:rPr>
                <w:sz w:val="17"/>
              </w:rPr>
              <w:t>2026-11-04</w:t>
            </w:r>
          </w:p>
        </w:tc>
      </w:tr>
      <w:tr>
        <w:trPr>
          <w:cantSplit/>
        </w:trPr>
        <w:tc>
          <w:tcPr>
            <w:tcW w:type="dxa" w:w="1220"/>
          </w:tcPr>
          <w:p>
            <w:r>
              <w:rPr>
                <w:sz w:val="17"/>
              </w:rPr>
            </w:r>
            <w:r>
              <w:rPr>
                <w:sz w:val="17"/>
              </w:rPr>
              <w:t>ED-ISO19650-5</w:t>
            </w:r>
          </w:p>
        </w:tc>
        <w:tc>
          <w:tcPr>
            <w:tcW w:type="dxa" w:w="2567"/>
          </w:tcPr>
          <w:p>
            <w:r>
              <w:rPr>
                <w:sz w:val="17"/>
              </w:rPr>
            </w:r>
            <w:r>
              <w:rPr>
                <w:sz w:val="17"/>
              </w:rPr>
              <w:t>ISO 19650-5 Security-minded approach</w:t>
            </w:r>
          </w:p>
        </w:tc>
        <w:tc>
          <w:tcPr>
            <w:tcW w:type="dxa" w:w="3070"/>
          </w:tcPr>
          <w:p>
            <w:r>
              <w:rPr>
                <w:sz w:val="17"/>
              </w:rPr>
            </w:r>
            <w:r>
              <w:rPr>
                <w:sz w:val="17"/>
              </w:rPr>
              <w:t>2020, ed.1, confirmed 2025</w:t>
            </w:r>
          </w:p>
        </w:tc>
        <w:tc>
          <w:tcPr>
            <w:tcW w:type="dxa" w:w="1042"/>
          </w:tcPr>
          <w:p>
            <w:r>
              <w:rPr>
                <w:sz w:val="17"/>
              </w:rPr>
            </w:r>
            <w:r>
              <w:rPr>
                <w:sz w:val="17"/>
              </w:rPr>
              <w:t>2020-06</w:t>
            </w:r>
          </w:p>
        </w:tc>
        <w:tc>
          <w:tcPr>
            <w:tcW w:type="dxa" w:w="3329"/>
          </w:tcPr>
          <w:p>
            <w:r>
              <w:rPr>
                <w:sz w:val="17"/>
              </w:rPr>
            </w:r>
            <w:r>
              <w:rPr>
                <w:sz w:val="17"/>
              </w:rPr>
              <w:t>Security triage and plan in BBM-STD-87</w:t>
            </w:r>
          </w:p>
        </w:tc>
        <w:tc>
          <w:tcPr>
            <w:tcW w:type="dxa" w:w="3129"/>
          </w:tcPr>
          <w:p>
            <w:r>
              <w:rPr>
                <w:sz w:val="17"/>
              </w:rPr>
            </w:r>
            <w:r>
              <w:rPr>
                <w:sz w:val="17"/>
              </w:rPr>
              <w:t>https:/​/​www.iso.org/​standard/​74206.html</w:t>
            </w:r>
          </w:p>
        </w:tc>
        <w:tc>
          <w:tcPr>
            <w:tcW w:type="dxa" w:w="1042"/>
          </w:tcPr>
          <w:p>
            <w:r>
              <w:rPr>
                <w:sz w:val="17"/>
              </w:rPr>
            </w:r>
            <w:r>
              <w:rPr>
                <w:sz w:val="17"/>
              </w:rPr>
              <w:t>2026-11-04</w:t>
            </w:r>
          </w:p>
        </w:tc>
      </w:tr>
      <w:tr>
        <w:trPr>
          <w:cantSplit/>
        </w:trPr>
        <w:tc>
          <w:tcPr>
            <w:tcW w:type="dxa" w:w="1220"/>
          </w:tcPr>
          <w:p>
            <w:r>
              <w:rPr>
                <w:sz w:val="17"/>
              </w:rPr>
            </w:r>
            <w:r>
              <w:rPr>
                <w:sz w:val="17"/>
              </w:rPr>
              <w:t>ED-ISO19650-6</w:t>
            </w:r>
          </w:p>
        </w:tc>
        <w:tc>
          <w:tcPr>
            <w:tcW w:type="dxa" w:w="2567"/>
          </w:tcPr>
          <w:p>
            <w:r>
              <w:rPr>
                <w:sz w:val="17"/>
              </w:rPr>
            </w:r>
            <w:r>
              <w:rPr>
                <w:sz w:val="17"/>
              </w:rPr>
              <w:t>ISO 19650-6 Health and safety information</w:t>
            </w:r>
          </w:p>
        </w:tc>
        <w:tc>
          <w:tcPr>
            <w:tcW w:type="dxa" w:w="3070"/>
          </w:tcPr>
          <w:p>
            <w:r>
              <w:rPr>
                <w:sz w:val="17"/>
              </w:rPr>
            </w:r>
            <w:r>
              <w:rPr>
                <w:sz w:val="17"/>
              </w:rPr>
              <w:t>2025, ed.1 (replaces PAS 1192-6)</w:t>
            </w:r>
          </w:p>
        </w:tc>
        <w:tc>
          <w:tcPr>
            <w:tcW w:type="dxa" w:w="1042"/>
          </w:tcPr>
          <w:p>
            <w:r>
              <w:rPr>
                <w:sz w:val="17"/>
              </w:rPr>
            </w:r>
            <w:r>
              <w:rPr>
                <w:sz w:val="17"/>
              </w:rPr>
              <w:t>2025-01-13</w:t>
            </w:r>
          </w:p>
        </w:tc>
        <w:tc>
          <w:tcPr>
            <w:tcW w:type="dxa" w:w="3329"/>
          </w:tcPr>
          <w:p>
            <w:r>
              <w:rPr>
                <w:sz w:val="17"/>
              </w:rPr>
            </w:r>
            <w:r>
              <w:rPr>
                <w:sz w:val="17"/>
              </w:rPr>
              <w:t>H&amp;S information in BBM-STD-88</w:t>
            </w:r>
          </w:p>
        </w:tc>
        <w:tc>
          <w:tcPr>
            <w:tcW w:type="dxa" w:w="3129"/>
          </w:tcPr>
          <w:p>
            <w:r>
              <w:rPr>
                <w:sz w:val="17"/>
              </w:rPr>
            </w:r>
            <w:r>
              <w:rPr>
                <w:sz w:val="17"/>
              </w:rPr>
              <w:t>https:/​/​www.iso.org/​standard/​82705.html</w:t>
            </w:r>
          </w:p>
        </w:tc>
        <w:tc>
          <w:tcPr>
            <w:tcW w:type="dxa" w:w="1042"/>
          </w:tcPr>
          <w:p>
            <w:r>
              <w:rPr>
                <w:sz w:val="17"/>
              </w:rPr>
            </w:r>
            <w:r>
              <w:rPr>
                <w:sz w:val="17"/>
              </w:rPr>
              <w:t>2026-11-04</w:t>
            </w:r>
          </w:p>
        </w:tc>
      </w:tr>
      <w:tr>
        <w:trPr>
          <w:cantSplit/>
        </w:trPr>
        <w:tc>
          <w:tcPr>
            <w:tcW w:type="dxa" w:w="1220"/>
          </w:tcPr>
          <w:p>
            <w:r>
              <w:rPr>
                <w:sz w:val="17"/>
              </w:rPr>
            </w:r>
            <w:r>
              <w:rPr>
                <w:sz w:val="17"/>
              </w:rPr>
              <w:t>ED-ISO7817-1</w:t>
            </w:r>
          </w:p>
        </w:tc>
        <w:tc>
          <w:tcPr>
            <w:tcW w:type="dxa" w:w="2567"/>
          </w:tcPr>
          <w:p>
            <w:r>
              <w:rPr>
                <w:sz w:val="17"/>
              </w:rPr>
            </w:r>
            <w:r>
              <w:rPr>
                <w:sz w:val="17"/>
              </w:rPr>
              <w:t>ISO 7817-1 Level of information need</w:t>
            </w:r>
          </w:p>
        </w:tc>
        <w:tc>
          <w:tcPr>
            <w:tcW w:type="dxa" w:w="3070"/>
          </w:tcPr>
          <w:p>
            <w:r>
              <w:rPr>
                <w:sz w:val="17"/>
              </w:rPr>
            </w:r>
            <w:r>
              <w:rPr>
                <w:sz w:val="17"/>
              </w:rPr>
              <w:t>2024, ed.1 (replaces EN 17412-1:2020)</w:t>
            </w:r>
          </w:p>
        </w:tc>
        <w:tc>
          <w:tcPr>
            <w:tcW w:type="dxa" w:w="1042"/>
          </w:tcPr>
          <w:p>
            <w:r>
              <w:rPr>
                <w:sz w:val="17"/>
              </w:rPr>
            </w:r>
            <w:r>
              <w:rPr>
                <w:sz w:val="17"/>
              </w:rPr>
              <w:t>2024-06-20</w:t>
            </w:r>
          </w:p>
        </w:tc>
        <w:tc>
          <w:tcPr>
            <w:tcW w:type="dxa" w:w="3329"/>
          </w:tcPr>
          <w:p>
            <w:r>
              <w:rPr>
                <w:sz w:val="17"/>
              </w:rPr>
            </w:r>
            <w:r>
              <w:rPr>
                <w:sz w:val="17"/>
              </w:rPr>
              <w:t>LOIN baseline (Glossary 1.3, BEP 6.5, BBM-STD-54, 89)</w:t>
            </w:r>
          </w:p>
        </w:tc>
        <w:tc>
          <w:tcPr>
            <w:tcW w:type="dxa" w:w="3129"/>
          </w:tcPr>
          <w:p>
            <w:r>
              <w:rPr>
                <w:sz w:val="17"/>
              </w:rPr>
            </w:r>
            <w:r>
              <w:rPr>
                <w:sz w:val="17"/>
              </w:rPr>
              <w:t>https:/​/​www.iso.org/​standard/​82914.html</w:t>
            </w:r>
          </w:p>
        </w:tc>
        <w:tc>
          <w:tcPr>
            <w:tcW w:type="dxa" w:w="1042"/>
          </w:tcPr>
          <w:p>
            <w:r>
              <w:rPr>
                <w:sz w:val="17"/>
              </w:rPr>
            </w:r>
            <w:r>
              <w:rPr>
                <w:sz w:val="17"/>
              </w:rPr>
              <w:t>2026-11-04</w:t>
            </w:r>
          </w:p>
        </w:tc>
      </w:tr>
      <w:tr>
        <w:trPr>
          <w:cantSplit/>
        </w:trPr>
        <w:tc>
          <w:tcPr>
            <w:tcW w:type="dxa" w:w="1220"/>
          </w:tcPr>
          <w:p>
            <w:r>
              <w:rPr>
                <w:sz w:val="17"/>
              </w:rPr>
            </w:r>
            <w:r>
              <w:rPr>
                <w:sz w:val="17"/>
              </w:rPr>
              <w:t>ED-EN17412-1</w:t>
            </w:r>
          </w:p>
        </w:tc>
        <w:tc>
          <w:tcPr>
            <w:tcW w:type="dxa" w:w="2567"/>
          </w:tcPr>
          <w:p>
            <w:r>
              <w:rPr>
                <w:sz w:val="17"/>
              </w:rPr>
            </w:r>
            <w:r>
              <w:rPr>
                <w:sz w:val="17"/>
              </w:rPr>
              <w:t>BS EN 17412-1:2020</w:t>
            </w:r>
          </w:p>
        </w:tc>
        <w:tc>
          <w:tcPr>
            <w:tcW w:type="dxa" w:w="3070"/>
          </w:tcPr>
          <w:p>
            <w:r>
              <w:rPr>
                <w:sz w:val="17"/>
              </w:rPr>
            </w:r>
            <w:r>
              <w:rPr>
                <w:sz w:val="17"/>
              </w:rPr>
              <w:t>Withdrawn; replaced by ISO 7817-1:2024</w:t>
            </w:r>
          </w:p>
        </w:tc>
        <w:tc>
          <w:tcPr>
            <w:tcW w:type="dxa" w:w="1042"/>
          </w:tcPr>
          <w:p>
            <w:r>
              <w:rPr>
                <w:sz w:val="17"/>
              </w:rPr>
            </w:r>
            <w:r>
              <w:rPr>
                <w:sz w:val="17"/>
              </w:rPr>
              <w:t>2020</w:t>
            </w:r>
          </w:p>
        </w:tc>
        <w:tc>
          <w:tcPr>
            <w:tcW w:type="dxa" w:w="3329"/>
          </w:tcPr>
          <w:p>
            <w:r>
              <w:rPr>
                <w:sz w:val="17"/>
              </w:rPr>
            </w:r>
            <w:r>
              <w:rPr>
                <w:sz w:val="17"/>
              </w:rPr>
              <w:t>Keep only a contracted reference, with a successor mapping to ED-ISO7817-1</w:t>
            </w:r>
          </w:p>
        </w:tc>
        <w:tc>
          <w:tcPr>
            <w:tcW w:type="dxa" w:w="3129"/>
          </w:tcPr>
          <w:p>
            <w:r>
              <w:rPr>
                <w:sz w:val="17"/>
              </w:rPr>
            </w:r>
            <w:r>
              <w:rPr>
                <w:sz w:val="17"/>
              </w:rPr>
              <w:t>https:/​/​standardsdevelopment.bsigroup.com/​projects/​2018-02659</w:t>
            </w:r>
          </w:p>
        </w:tc>
        <w:tc>
          <w:tcPr>
            <w:tcW w:type="dxa" w:w="1042"/>
          </w:tcPr>
          <w:p>
            <w:r>
              <w:rPr>
                <w:sz w:val="17"/>
              </w:rPr>
            </w:r>
            <w:r>
              <w:rPr>
                <w:sz w:val="17"/>
              </w:rPr>
              <w:t>2026-11-04</w:t>
            </w:r>
          </w:p>
        </w:tc>
      </w:tr>
      <w:tr>
        <w:trPr>
          <w:cantSplit/>
        </w:trPr>
        <w:tc>
          <w:tcPr>
            <w:tcW w:type="dxa" w:w="1220"/>
          </w:tcPr>
          <w:p>
            <w:r>
              <w:rPr>
                <w:sz w:val="17"/>
              </w:rPr>
            </w:r>
            <w:r>
              <w:rPr>
                <w:sz w:val="17"/>
              </w:rPr>
              <w:t>ED-ISO16739-1</w:t>
            </w:r>
          </w:p>
        </w:tc>
        <w:tc>
          <w:tcPr>
            <w:tcW w:type="dxa" w:w="2567"/>
          </w:tcPr>
          <w:p>
            <w:r>
              <w:rPr>
                <w:sz w:val="17"/>
              </w:rPr>
            </w:r>
            <w:r>
              <w:rPr>
                <w:sz w:val="17"/>
              </w:rPr>
              <w:t>ISO 16739-1 IFC</w:t>
            </w:r>
          </w:p>
        </w:tc>
        <w:tc>
          <w:tcPr>
            <w:tcW w:type="dxa" w:w="3070"/>
          </w:tcPr>
          <w:p>
            <w:r>
              <w:rPr>
                <w:sz w:val="17"/>
              </w:rPr>
            </w:r>
            <w:r>
              <w:rPr>
                <w:sz w:val="17"/>
              </w:rPr>
              <w:t>2024, ed.2 = IFC 4.3.2.0</w:t>
            </w:r>
          </w:p>
        </w:tc>
        <w:tc>
          <w:tcPr>
            <w:tcW w:type="dxa" w:w="1042"/>
          </w:tcPr>
          <w:p>
            <w:r>
              <w:rPr>
                <w:sz w:val="17"/>
              </w:rPr>
            </w:r>
            <w:r>
              <w:rPr>
                <w:sz w:val="17"/>
              </w:rPr>
              <w:t>2024-03-22</w:t>
            </w:r>
          </w:p>
        </w:tc>
        <w:tc>
          <w:tcPr>
            <w:tcW w:type="dxa" w:w="3329"/>
          </w:tcPr>
          <w:p>
            <w:r>
              <w:rPr>
                <w:sz w:val="17"/>
              </w:rPr>
            </w:r>
            <w:r>
              <w:rPr>
                <w:sz w:val="17"/>
              </w:rPr>
              <w:t>Office default exchange schema stays IFC 4.0.2.1 (IFC4 ADD2 TC1) Reference View; IFC 4.3.2.0 by recorded approval after a passing test exchange; IFC2x3 only when an appointment or authority profile requires it (O-DEC-105)</w:t>
            </w:r>
          </w:p>
        </w:tc>
        <w:tc>
          <w:tcPr>
            <w:tcW w:type="dxa" w:w="3129"/>
          </w:tcPr>
          <w:p>
            <w:r>
              <w:rPr>
                <w:sz w:val="17"/>
              </w:rPr>
            </w:r>
            <w:r>
              <w:rPr>
                <w:sz w:val="17"/>
              </w:rPr>
              <w:t>https:/​/​www.iso.org/​standard/​84123.html</w:t>
            </w:r>
          </w:p>
        </w:tc>
        <w:tc>
          <w:tcPr>
            <w:tcW w:type="dxa" w:w="1042"/>
          </w:tcPr>
          <w:p>
            <w:r>
              <w:rPr>
                <w:sz w:val="17"/>
              </w:rPr>
            </w:r>
            <w:r>
              <w:rPr>
                <w:sz w:val="17"/>
              </w:rPr>
              <w:t>2026-11-04</w:t>
            </w:r>
          </w:p>
        </w:tc>
      </w:tr>
      <w:tr>
        <w:trPr>
          <w:cantSplit/>
        </w:trPr>
        <w:tc>
          <w:tcPr>
            <w:tcW w:type="dxa" w:w="1220"/>
          </w:tcPr>
          <w:p>
            <w:r>
              <w:rPr>
                <w:sz w:val="17"/>
              </w:rPr>
            </w:r>
            <w:r>
              <w:rPr>
                <w:sz w:val="17"/>
              </w:rPr>
              <w:t>ED-IDS</w:t>
            </w:r>
          </w:p>
        </w:tc>
        <w:tc>
          <w:tcPr>
            <w:tcW w:type="dxa" w:w="2567"/>
          </w:tcPr>
          <w:p>
            <w:r>
              <w:rPr>
                <w:sz w:val="17"/>
              </w:rPr>
            </w:r>
            <w:r>
              <w:rPr>
                <w:sz w:val="17"/>
              </w:rPr>
              <w:t>buildingSMART Information Delivery Specification</w:t>
            </w:r>
          </w:p>
        </w:tc>
        <w:tc>
          <w:tcPr>
            <w:tcW w:type="dxa" w:w="3070"/>
          </w:tcPr>
          <w:p>
            <w:r>
              <w:rPr>
                <w:sz w:val="17"/>
              </w:rPr>
            </w:r>
            <w:r>
              <w:rPr>
                <w:sz w:val="17"/>
              </w:rPr>
              <w:t>IDS 1.0 final</w:t>
            </w:r>
          </w:p>
        </w:tc>
        <w:tc>
          <w:tcPr>
            <w:tcW w:type="dxa" w:w="1042"/>
          </w:tcPr>
          <w:p>
            <w:r>
              <w:rPr>
                <w:sz w:val="17"/>
              </w:rPr>
            </w:r>
            <w:r>
              <w:rPr>
                <w:sz w:val="17"/>
              </w:rPr>
              <w:t>June 2024</w:t>
            </w:r>
          </w:p>
        </w:tc>
        <w:tc>
          <w:tcPr>
            <w:tcW w:type="dxa" w:w="3329"/>
          </w:tcPr>
          <w:p>
            <w:r>
              <w:rPr>
                <w:sz w:val="17"/>
              </w:rPr>
            </w:r>
            <w:r>
              <w:rPr>
                <w:sz w:val="17"/>
              </w:rPr>
              <w:t>Machine-readable alphanumeric LOIN checks (BBM-STD-54 §4.1, BBM-STD-89)</w:t>
            </w:r>
          </w:p>
        </w:tc>
        <w:tc>
          <w:tcPr>
            <w:tcW w:type="dxa" w:w="3129"/>
          </w:tcPr>
          <w:p>
            <w:r>
              <w:rPr>
                <w:sz w:val="17"/>
              </w:rPr>
            </w:r>
            <w:r>
              <w:rPr>
                <w:sz w:val="17"/>
              </w:rPr>
              <w:t>https:/​/​github.com/​buildingSMART/​IDS/​releases</w:t>
            </w:r>
          </w:p>
        </w:tc>
        <w:tc>
          <w:tcPr>
            <w:tcW w:type="dxa" w:w="1042"/>
          </w:tcPr>
          <w:p>
            <w:r>
              <w:rPr>
                <w:sz w:val="17"/>
              </w:rPr>
            </w:r>
            <w:r>
              <w:rPr>
                <w:sz w:val="17"/>
              </w:rPr>
              <w:t>2026-11-04</w:t>
            </w:r>
          </w:p>
        </w:tc>
      </w:tr>
      <w:tr>
        <w:trPr>
          <w:cantSplit/>
        </w:trPr>
        <w:tc>
          <w:tcPr>
            <w:tcW w:type="dxa" w:w="1220"/>
          </w:tcPr>
          <w:p>
            <w:r>
              <w:rPr>
                <w:sz w:val="17"/>
              </w:rPr>
            </w:r>
            <w:r>
              <w:rPr>
                <w:sz w:val="17"/>
              </w:rPr>
              <w:t>ED-BCF</w:t>
            </w:r>
          </w:p>
        </w:tc>
        <w:tc>
          <w:tcPr>
            <w:tcW w:type="dxa" w:w="2567"/>
          </w:tcPr>
          <w:p>
            <w:r>
              <w:rPr>
                <w:sz w:val="17"/>
              </w:rPr>
            </w:r>
            <w:r>
              <w:rPr>
                <w:sz w:val="17"/>
              </w:rPr>
              <w:t>buildingSMART BIM Collaboration Format</w:t>
            </w:r>
          </w:p>
        </w:tc>
        <w:tc>
          <w:tcPr>
            <w:tcW w:type="dxa" w:w="3070"/>
          </w:tcPr>
          <w:p>
            <w:r>
              <w:rPr>
                <w:sz w:val="17"/>
              </w:rPr>
            </w:r>
            <w:r>
              <w:rPr>
                <w:sz w:val="17"/>
              </w:rPr>
              <w:t>BCF 3.0 final (bcfXML and BCF-API); BCF 2.1 (2017) fallback</w:t>
            </w:r>
          </w:p>
        </w:tc>
        <w:tc>
          <w:tcPr>
            <w:tcW w:type="dxa" w:w="1042"/>
          </w:tcPr>
          <w:p>
            <w:r>
              <w:rPr>
                <w:sz w:val="17"/>
              </w:rPr>
            </w:r>
            <w:r>
              <w:rPr>
                <w:sz w:val="17"/>
              </w:rPr>
              <w:t>2021-06-18</w:t>
            </w:r>
          </w:p>
        </w:tc>
        <w:tc>
          <w:tcPr>
            <w:tcW w:type="dxa" w:w="3329"/>
          </w:tcPr>
          <w:p>
            <w:r>
              <w:rPr>
                <w:sz w:val="17"/>
              </w:rPr>
            </w:r>
            <w:r>
              <w:rPr>
                <w:sz w:val="17"/>
              </w:rPr>
              <w:t>bcfXML 3.0 default; API after endpoint qualification; 2.1 via recorded field map (BBM-STD-50)</w:t>
            </w:r>
          </w:p>
        </w:tc>
        <w:tc>
          <w:tcPr>
            <w:tcW w:type="dxa" w:w="3129"/>
          </w:tcPr>
          <w:p>
            <w:r>
              <w:rPr>
                <w:sz w:val="17"/>
              </w:rPr>
            </w:r>
            <w:r>
              <w:rPr>
                <w:sz w:val="17"/>
              </w:rPr>
              <w:t>https:/​/​github.com/​buildingSMART/​BCF-XML/​releases/​tag/​v3.0</w:t>
            </w:r>
          </w:p>
        </w:tc>
        <w:tc>
          <w:tcPr>
            <w:tcW w:type="dxa" w:w="1042"/>
          </w:tcPr>
          <w:p>
            <w:r>
              <w:rPr>
                <w:sz w:val="17"/>
              </w:rPr>
            </w:r>
            <w:r>
              <w:rPr>
                <w:sz w:val="17"/>
              </w:rPr>
              <w:t>2026-11-04</w:t>
            </w:r>
          </w:p>
        </w:tc>
      </w:tr>
      <w:tr>
        <w:trPr>
          <w:cantSplit/>
        </w:trPr>
        <w:tc>
          <w:tcPr>
            <w:tcW w:type="dxa" w:w="1220"/>
          </w:tcPr>
          <w:p>
            <w:r>
              <w:rPr>
                <w:sz w:val="17"/>
              </w:rPr>
            </w:r>
            <w:r>
              <w:rPr>
                <w:sz w:val="17"/>
              </w:rPr>
              <w:t>ED-IFC-VALIDATION</w:t>
            </w:r>
          </w:p>
        </w:tc>
        <w:tc>
          <w:tcPr>
            <w:tcW w:type="dxa" w:w="2567"/>
          </w:tcPr>
          <w:p>
            <w:r>
              <w:rPr>
                <w:sz w:val="17"/>
              </w:rPr>
            </w:r>
            <w:r>
              <w:rPr>
                <w:sz w:val="17"/>
              </w:rPr>
              <w:t>buildingSMART IFC Validation Service</w:t>
            </w:r>
          </w:p>
        </w:tc>
        <w:tc>
          <w:tcPr>
            <w:tcW w:type="dxa" w:w="3070"/>
          </w:tcPr>
          <w:p>
            <w:r>
              <w:rPr>
                <w:sz w:val="17"/>
              </w:rPr>
            </w:r>
            <w:r>
              <w:rPr>
                <w:sz w:val="17"/>
              </w:rPr>
              <w:t>Live service</w:t>
            </w:r>
          </w:p>
        </w:tc>
        <w:tc>
          <w:tcPr>
            <w:tcW w:type="dxa" w:w="1042"/>
          </w:tcPr>
          <w:p>
            <w:r>
              <w:rPr>
                <w:sz w:val="17"/>
              </w:rPr>
            </w:r>
            <w:r>
              <w:rPr>
                <w:sz w:val="17"/>
              </w:rPr>
              <w:t>live</w:t>
            </w:r>
          </w:p>
        </w:tc>
        <w:tc>
          <w:tcPr>
            <w:tcW w:type="dxa" w:w="3329"/>
          </w:tcPr>
          <w:p>
            <w:r>
              <w:rPr>
                <w:sz w:val="17"/>
              </w:rPr>
            </w:r>
            <w:r>
              <w:rPr>
                <w:sz w:val="17"/>
              </w:rPr>
              <w:t>Schema/​specification conformance before IDS and clash runs</w:t>
            </w:r>
          </w:p>
        </w:tc>
        <w:tc>
          <w:tcPr>
            <w:tcW w:type="dxa" w:w="3129"/>
          </w:tcPr>
          <w:p>
            <w:r>
              <w:rPr>
                <w:sz w:val="17"/>
              </w:rPr>
            </w:r>
            <w:r>
              <w:rPr>
                <w:sz w:val="17"/>
              </w:rPr>
              <w:t>https:/​/​technical.buildingsmart.org/​services/​validation-service/​</w:t>
            </w:r>
          </w:p>
        </w:tc>
        <w:tc>
          <w:tcPr>
            <w:tcW w:type="dxa" w:w="1042"/>
          </w:tcPr>
          <w:p>
            <w:r>
              <w:rPr>
                <w:sz w:val="17"/>
              </w:rPr>
            </w:r>
            <w:r>
              <w:rPr>
                <w:sz w:val="17"/>
              </w:rPr>
              <w:t>2026-11-04</w:t>
            </w:r>
          </w:p>
        </w:tc>
      </w:tr>
      <w:tr>
        <w:trPr>
          <w:cantSplit/>
        </w:trPr>
        <w:tc>
          <w:tcPr>
            <w:tcW w:type="dxa" w:w="1220"/>
          </w:tcPr>
          <w:p>
            <w:r>
              <w:rPr>
                <w:sz w:val="17"/>
              </w:rPr>
            </w:r>
            <w:r>
              <w:rPr>
                <w:sz w:val="17"/>
              </w:rPr>
              <w:t>ED-ISO12006-2</w:t>
            </w:r>
          </w:p>
        </w:tc>
        <w:tc>
          <w:tcPr>
            <w:tcW w:type="dxa" w:w="2567"/>
          </w:tcPr>
          <w:p>
            <w:r>
              <w:rPr>
                <w:sz w:val="17"/>
              </w:rPr>
            </w:r>
            <w:r>
              <w:rPr>
                <w:sz w:val="17"/>
              </w:rPr>
              <w:t>ISO 12006-2 Classification framework</w:t>
            </w:r>
          </w:p>
        </w:tc>
        <w:tc>
          <w:tcPr>
            <w:tcW w:type="dxa" w:w="3070"/>
          </w:tcPr>
          <w:p>
            <w:r>
              <w:rPr>
                <w:sz w:val="17"/>
              </w:rPr>
            </w:r>
            <w:r>
              <w:rPr>
                <w:sz w:val="17"/>
              </w:rPr>
              <w:t>2015, ed.2, last reviewed and confirmed 2020; stage 90.92 to be revised, ISO/​DIS 12006-2.2 under development</w:t>
            </w:r>
          </w:p>
        </w:tc>
        <w:tc>
          <w:tcPr>
            <w:tcW w:type="dxa" w:w="1042"/>
          </w:tcPr>
          <w:p>
            <w:r>
              <w:rPr>
                <w:sz w:val="17"/>
              </w:rPr>
            </w:r>
            <w:r>
              <w:rPr>
                <w:sz w:val="17"/>
              </w:rPr>
              <w:t>2015</w:t>
            </w:r>
          </w:p>
        </w:tc>
        <w:tc>
          <w:tcPr>
            <w:tcW w:type="dxa" w:w="3329"/>
          </w:tcPr>
          <w:p>
            <w:r>
              <w:rPr>
                <w:sz w:val="17"/>
              </w:rPr>
            </w:r>
            <w:r>
              <w:rPr>
                <w:sz w:val="17"/>
              </w:rPr>
              <w:t>Classification framework behind Uniclass (BBM-STD-72)</w:t>
            </w:r>
          </w:p>
        </w:tc>
        <w:tc>
          <w:tcPr>
            <w:tcW w:type="dxa" w:w="3129"/>
          </w:tcPr>
          <w:p>
            <w:r>
              <w:rPr>
                <w:sz w:val="17"/>
              </w:rPr>
            </w:r>
            <w:r>
              <w:rPr>
                <w:sz w:val="17"/>
              </w:rPr>
              <w:t>https:/​/​www.iso.org/​standard/​61753.html</w:t>
            </w:r>
          </w:p>
        </w:tc>
        <w:tc>
          <w:tcPr>
            <w:tcW w:type="dxa" w:w="1042"/>
          </w:tcPr>
          <w:p>
            <w:r>
              <w:rPr>
                <w:sz w:val="17"/>
              </w:rPr>
            </w:r>
            <w:r>
              <w:rPr>
                <w:sz w:val="17"/>
              </w:rPr>
              <w:t>2026-11-05</w:t>
            </w:r>
          </w:p>
        </w:tc>
      </w:tr>
      <w:tr>
        <w:trPr>
          <w:cantSplit/>
        </w:trPr>
        <w:tc>
          <w:tcPr>
            <w:tcW w:type="dxa" w:w="1220"/>
          </w:tcPr>
          <w:p>
            <w:r>
              <w:rPr>
                <w:sz w:val="17"/>
              </w:rPr>
            </w:r>
            <w:r>
              <w:rPr>
                <w:sz w:val="17"/>
              </w:rPr>
              <w:t>ED-ISO12006-3</w:t>
            </w:r>
          </w:p>
        </w:tc>
        <w:tc>
          <w:tcPr>
            <w:tcW w:type="dxa" w:w="2567"/>
          </w:tcPr>
          <w:p>
            <w:r>
              <w:rPr>
                <w:sz w:val="17"/>
              </w:rPr>
            </w:r>
            <w:r>
              <w:rPr>
                <w:sz w:val="17"/>
              </w:rPr>
              <w:t>ISO 12006-3 Object-oriented information</w:t>
            </w:r>
          </w:p>
        </w:tc>
        <w:tc>
          <w:tcPr>
            <w:tcW w:type="dxa" w:w="3070"/>
          </w:tcPr>
          <w:p>
            <w:r>
              <w:rPr>
                <w:sz w:val="17"/>
              </w:rPr>
            </w:r>
            <w:r>
              <w:rPr>
                <w:sz w:val="17"/>
              </w:rPr>
              <w:t>2022, ed.2</w:t>
            </w:r>
          </w:p>
        </w:tc>
        <w:tc>
          <w:tcPr>
            <w:tcW w:type="dxa" w:w="1042"/>
          </w:tcPr>
          <w:p>
            <w:r>
              <w:rPr>
                <w:sz w:val="17"/>
              </w:rPr>
            </w:r>
            <w:r>
              <w:rPr>
                <w:sz w:val="17"/>
              </w:rPr>
              <w:t>2022-07-15</w:t>
            </w:r>
          </w:p>
        </w:tc>
        <w:tc>
          <w:tcPr>
            <w:tcW w:type="dxa" w:w="3329"/>
          </w:tcPr>
          <w:p>
            <w:r>
              <w:rPr>
                <w:sz w:val="17"/>
              </w:rPr>
            </w:r>
            <w:r>
              <w:rPr>
                <w:sz w:val="17"/>
              </w:rPr>
              <w:t>Data dictionary framework (bSDD)</w:t>
            </w:r>
          </w:p>
        </w:tc>
        <w:tc>
          <w:tcPr>
            <w:tcW w:type="dxa" w:w="3129"/>
          </w:tcPr>
          <w:p>
            <w:r>
              <w:rPr>
                <w:sz w:val="17"/>
              </w:rPr>
            </w:r>
            <w:r>
              <w:rPr>
                <w:sz w:val="17"/>
              </w:rPr>
              <w:t>https:/​/​www.iso.org/​standard/​74932.html</w:t>
            </w:r>
          </w:p>
        </w:tc>
        <w:tc>
          <w:tcPr>
            <w:tcW w:type="dxa" w:w="1042"/>
          </w:tcPr>
          <w:p>
            <w:r>
              <w:rPr>
                <w:sz w:val="17"/>
              </w:rPr>
            </w:r>
            <w:r>
              <w:rPr>
                <w:sz w:val="17"/>
              </w:rPr>
              <w:t>2026-11-04</w:t>
            </w:r>
          </w:p>
        </w:tc>
      </w:tr>
      <w:tr>
        <w:trPr>
          <w:cantSplit/>
        </w:trPr>
        <w:tc>
          <w:tcPr>
            <w:tcW w:type="dxa" w:w="1220"/>
          </w:tcPr>
          <w:p>
            <w:r>
              <w:rPr>
                <w:sz w:val="17"/>
              </w:rPr>
            </w:r>
            <w:r>
              <w:rPr>
                <w:sz w:val="17"/>
              </w:rPr>
              <w:t>ED-ISO23386</w:t>
            </w:r>
          </w:p>
        </w:tc>
        <w:tc>
          <w:tcPr>
            <w:tcW w:type="dxa" w:w="2567"/>
          </w:tcPr>
          <w:p>
            <w:r>
              <w:rPr>
                <w:sz w:val="17"/>
              </w:rPr>
            </w:r>
            <w:r>
              <w:rPr>
                <w:sz w:val="17"/>
              </w:rPr>
              <w:t>ISO 23386 Property definition</w:t>
            </w:r>
          </w:p>
        </w:tc>
        <w:tc>
          <w:tcPr>
            <w:tcW w:type="dxa" w:w="3070"/>
          </w:tcPr>
          <w:p>
            <w:r>
              <w:rPr>
                <w:sz w:val="17"/>
              </w:rPr>
            </w:r>
            <w:r>
              <w:rPr>
                <w:sz w:val="17"/>
              </w:rPr>
              <w:t>2020, ed.1, confirmed 2025</w:t>
            </w:r>
          </w:p>
        </w:tc>
        <w:tc>
          <w:tcPr>
            <w:tcW w:type="dxa" w:w="1042"/>
          </w:tcPr>
          <w:p>
            <w:r>
              <w:rPr>
                <w:sz w:val="17"/>
              </w:rPr>
            </w:r>
            <w:r>
              <w:rPr>
                <w:sz w:val="17"/>
              </w:rPr>
              <w:t>2020-03</w:t>
            </w:r>
          </w:p>
        </w:tc>
        <w:tc>
          <w:tcPr>
            <w:tcW w:type="dxa" w:w="3329"/>
          </w:tcPr>
          <w:p>
            <w:r>
              <w:rPr>
                <w:sz w:val="17"/>
              </w:rPr>
            </w:r>
            <w:r>
              <w:rPr>
                <w:sz w:val="17"/>
              </w:rPr>
              <w:t>Property definition attributes (BBM-STD-52, 54, 72)</w:t>
            </w:r>
          </w:p>
        </w:tc>
        <w:tc>
          <w:tcPr>
            <w:tcW w:type="dxa" w:w="3129"/>
          </w:tcPr>
          <w:p>
            <w:r>
              <w:rPr>
                <w:sz w:val="17"/>
              </w:rPr>
            </w:r>
            <w:r>
              <w:rPr>
                <w:sz w:val="17"/>
              </w:rPr>
              <w:t>https:/​/​www.iso.org/​standard/​75401.html</w:t>
            </w:r>
          </w:p>
        </w:tc>
        <w:tc>
          <w:tcPr>
            <w:tcW w:type="dxa" w:w="1042"/>
          </w:tcPr>
          <w:p>
            <w:r>
              <w:rPr>
                <w:sz w:val="17"/>
              </w:rPr>
            </w:r>
            <w:r>
              <w:rPr>
                <w:sz w:val="17"/>
              </w:rPr>
              <w:t>2026-11-04</w:t>
            </w:r>
          </w:p>
        </w:tc>
      </w:tr>
      <w:tr>
        <w:trPr>
          <w:cantSplit/>
        </w:trPr>
        <w:tc>
          <w:tcPr>
            <w:tcW w:type="dxa" w:w="1220"/>
          </w:tcPr>
          <w:p>
            <w:r>
              <w:rPr>
                <w:sz w:val="17"/>
              </w:rPr>
            </w:r>
            <w:r>
              <w:rPr>
                <w:sz w:val="17"/>
              </w:rPr>
              <w:t>ED-ISO23387</w:t>
            </w:r>
          </w:p>
        </w:tc>
        <w:tc>
          <w:tcPr>
            <w:tcW w:type="dxa" w:w="2567"/>
          </w:tcPr>
          <w:p>
            <w:r>
              <w:rPr>
                <w:sz w:val="17"/>
              </w:rPr>
            </w:r>
            <w:r>
              <w:rPr>
                <w:sz w:val="17"/>
              </w:rPr>
              <w:t>ISO 23387 Data templates</w:t>
            </w:r>
          </w:p>
        </w:tc>
        <w:tc>
          <w:tcPr>
            <w:tcW w:type="dxa" w:w="3070"/>
          </w:tcPr>
          <w:p>
            <w:r>
              <w:rPr>
                <w:sz w:val="17"/>
              </w:rPr>
            </w:r>
            <w:r>
              <w:rPr>
                <w:sz w:val="17"/>
              </w:rPr>
              <w:t>2025, ed.2</w:t>
            </w:r>
          </w:p>
        </w:tc>
        <w:tc>
          <w:tcPr>
            <w:tcW w:type="dxa" w:w="1042"/>
          </w:tcPr>
          <w:p>
            <w:r>
              <w:rPr>
                <w:sz w:val="17"/>
              </w:rPr>
            </w:r>
            <w:r>
              <w:rPr>
                <w:sz w:val="17"/>
              </w:rPr>
              <w:t>2025-09-22</w:t>
            </w:r>
          </w:p>
        </w:tc>
        <w:tc>
          <w:tcPr>
            <w:tcW w:type="dxa" w:w="3329"/>
          </w:tcPr>
          <w:p>
            <w:r>
              <w:rPr>
                <w:sz w:val="17"/>
              </w:rPr>
            </w:r>
            <w:r>
              <w:rPr>
                <w:sz w:val="17"/>
              </w:rPr>
              <w:t>Data templates (BBM-STD-52, 54, 72)</w:t>
            </w:r>
          </w:p>
        </w:tc>
        <w:tc>
          <w:tcPr>
            <w:tcW w:type="dxa" w:w="3129"/>
          </w:tcPr>
          <w:p>
            <w:r>
              <w:rPr>
                <w:sz w:val="17"/>
              </w:rPr>
            </w:r>
            <w:r>
              <w:rPr>
                <w:sz w:val="17"/>
              </w:rPr>
              <w:t>https:/​/​www.iso.org/​standard/​85391.html</w:t>
            </w:r>
          </w:p>
        </w:tc>
        <w:tc>
          <w:tcPr>
            <w:tcW w:type="dxa" w:w="1042"/>
          </w:tcPr>
          <w:p>
            <w:r>
              <w:rPr>
                <w:sz w:val="17"/>
              </w:rPr>
            </w:r>
            <w:r>
              <w:rPr>
                <w:sz w:val="17"/>
              </w:rPr>
              <w:t>2026-11-04</w:t>
            </w:r>
          </w:p>
        </w:tc>
      </w:tr>
      <w:tr>
        <w:trPr>
          <w:cantSplit/>
        </w:trPr>
        <w:tc>
          <w:tcPr>
            <w:tcW w:type="dxa" w:w="1220"/>
          </w:tcPr>
          <w:p>
            <w:r>
              <w:rPr>
                <w:sz w:val="17"/>
              </w:rPr>
            </w:r>
            <w:r>
              <w:rPr>
                <w:sz w:val="17"/>
              </w:rPr>
              <w:t>ED-ISO21597</w:t>
            </w:r>
          </w:p>
        </w:tc>
        <w:tc>
          <w:tcPr>
            <w:tcW w:type="dxa" w:w="2567"/>
          </w:tcPr>
          <w:p>
            <w:r>
              <w:rPr>
                <w:sz w:val="17"/>
              </w:rPr>
            </w:r>
            <w:r>
              <w:rPr>
                <w:sz w:val="17"/>
              </w:rPr>
              <w:t>ISO 21597-1 and -2 Information container for linked document delivery</w:t>
            </w:r>
          </w:p>
        </w:tc>
        <w:tc>
          <w:tcPr>
            <w:tcW w:type="dxa" w:w="3070"/>
          </w:tcPr>
          <w:p>
            <w:r>
              <w:rPr>
                <w:sz w:val="17"/>
              </w:rPr>
            </w:r>
            <w:r>
              <w:rPr>
                <w:sz w:val="17"/>
              </w:rPr>
              <w:t>2020 (both); -2 confirmed</w:t>
            </w:r>
          </w:p>
        </w:tc>
        <w:tc>
          <w:tcPr>
            <w:tcW w:type="dxa" w:w="1042"/>
          </w:tcPr>
          <w:p>
            <w:r>
              <w:rPr>
                <w:sz w:val="17"/>
              </w:rPr>
            </w:r>
            <w:r>
              <w:rPr>
                <w:sz w:val="17"/>
              </w:rPr>
              <w:t>2020-11</w:t>
            </w:r>
          </w:p>
        </w:tc>
        <w:tc>
          <w:tcPr>
            <w:tcW w:type="dxa" w:w="3329"/>
          </w:tcPr>
          <w:p>
            <w:r>
              <w:rPr>
                <w:sz w:val="17"/>
              </w:rPr>
            </w:r>
            <w:r>
              <w:rPr>
                <w:sz w:val="17"/>
              </w:rPr>
              <w:t>Linked-container exchange where an appointment requires it</w:t>
            </w:r>
          </w:p>
        </w:tc>
        <w:tc>
          <w:tcPr>
            <w:tcW w:type="dxa" w:w="3129"/>
          </w:tcPr>
          <w:p>
            <w:r>
              <w:rPr>
                <w:sz w:val="17"/>
              </w:rPr>
            </w:r>
            <w:r>
              <w:rPr>
                <w:sz w:val="17"/>
              </w:rPr>
              <w:t>https:/​/​www.iso.org/​standard/​74389.html ; https:/​/​www.iso.org/​standard/​74390.html</w:t>
            </w:r>
          </w:p>
        </w:tc>
        <w:tc>
          <w:tcPr>
            <w:tcW w:type="dxa" w:w="1042"/>
          </w:tcPr>
          <w:p>
            <w:r>
              <w:rPr>
                <w:sz w:val="17"/>
              </w:rPr>
            </w:r>
            <w:r>
              <w:rPr>
                <w:sz w:val="17"/>
              </w:rPr>
              <w:t>2026-11-04</w:t>
            </w:r>
          </w:p>
        </w:tc>
      </w:tr>
      <w:tr>
        <w:trPr>
          <w:cantSplit/>
        </w:trPr>
        <w:tc>
          <w:tcPr>
            <w:tcW w:type="dxa" w:w="1220"/>
          </w:tcPr>
          <w:p>
            <w:r>
              <w:rPr>
                <w:sz w:val="17"/>
              </w:rPr>
            </w:r>
            <w:r>
              <w:rPr>
                <w:sz w:val="17"/>
              </w:rPr>
              <w:t>ED-ISO29481</w:t>
            </w:r>
          </w:p>
        </w:tc>
        <w:tc>
          <w:tcPr>
            <w:tcW w:type="dxa" w:w="2567"/>
          </w:tcPr>
          <w:p>
            <w:r>
              <w:rPr>
                <w:sz w:val="17"/>
              </w:rPr>
            </w:r>
            <w:r>
              <w:rPr>
                <w:sz w:val="17"/>
              </w:rPr>
              <w:t>ISO 29481 Information delivery manual</w:t>
            </w:r>
          </w:p>
        </w:tc>
        <w:tc>
          <w:tcPr>
            <w:tcW w:type="dxa" w:w="3070"/>
          </w:tcPr>
          <w:p>
            <w:r>
              <w:rPr>
                <w:sz w:val="17"/>
              </w:rPr>
            </w:r>
            <w:r>
              <w:rPr>
                <w:sz w:val="17"/>
              </w:rPr>
              <w:t>-1:2025 ed.3; -2:2025 ed.2; -3:2022</w:t>
            </w:r>
          </w:p>
        </w:tc>
        <w:tc>
          <w:tcPr>
            <w:tcW w:type="dxa" w:w="1042"/>
          </w:tcPr>
          <w:p>
            <w:r>
              <w:rPr>
                <w:sz w:val="17"/>
              </w:rPr>
            </w:r>
            <w:r>
              <w:rPr>
                <w:sz w:val="17"/>
              </w:rPr>
              <w:t>2025 /​ 2022-09</w:t>
            </w:r>
          </w:p>
        </w:tc>
        <w:tc>
          <w:tcPr>
            <w:tcW w:type="dxa" w:w="3329"/>
          </w:tcPr>
          <w:p>
            <w:r>
              <w:rPr>
                <w:sz w:val="17"/>
              </w:rPr>
            </w:r>
            <w:r>
              <w:rPr>
                <w:sz w:val="17"/>
              </w:rPr>
              <w:t>IDM method for exchange definitions (BBM-STD-74)</w:t>
            </w:r>
          </w:p>
        </w:tc>
        <w:tc>
          <w:tcPr>
            <w:tcW w:type="dxa" w:w="3129"/>
          </w:tcPr>
          <w:p>
            <w:r>
              <w:rPr>
                <w:sz w:val="17"/>
              </w:rPr>
            </w:r>
            <w:r>
              <w:rPr>
                <w:sz w:val="17"/>
              </w:rPr>
              <w:t>https:/​/​www.iso.org/​standard/​88515.html ; https:/​/​www.iso.org/​standard/​81261.html</w:t>
            </w:r>
          </w:p>
        </w:tc>
        <w:tc>
          <w:tcPr>
            <w:tcW w:type="dxa" w:w="1042"/>
          </w:tcPr>
          <w:p>
            <w:r>
              <w:rPr>
                <w:sz w:val="17"/>
              </w:rPr>
            </w:r>
            <w:r>
              <w:rPr>
                <w:sz w:val="17"/>
              </w:rPr>
              <w:t>2026-11-04</w:t>
            </w:r>
          </w:p>
        </w:tc>
      </w:tr>
      <w:tr>
        <w:trPr>
          <w:cantSplit/>
        </w:trPr>
        <w:tc>
          <w:tcPr>
            <w:tcW w:type="dxa" w:w="1220"/>
          </w:tcPr>
          <w:p>
            <w:r>
              <w:rPr>
                <w:sz w:val="17"/>
              </w:rPr>
            </w:r>
            <w:r>
              <w:rPr>
                <w:sz w:val="17"/>
              </w:rPr>
              <w:t>ED-UNICLASS</w:t>
            </w:r>
          </w:p>
        </w:tc>
        <w:tc>
          <w:tcPr>
            <w:tcW w:type="dxa" w:w="2567"/>
          </w:tcPr>
          <w:p>
            <w:r>
              <w:rPr>
                <w:sz w:val="17"/>
              </w:rPr>
            </w:r>
            <w:r>
              <w:rPr>
                <w:sz w:val="17"/>
              </w:rPr>
              <w:t>Uniclass 2015 (NBS)</w:t>
            </w:r>
          </w:p>
        </w:tc>
        <w:tc>
          <w:tcPr>
            <w:tcW w:type="dxa" w:w="3070"/>
          </w:tcPr>
          <w:p>
            <w:r>
              <w:rPr>
                <w:sz w:val="17"/>
              </w:rPr>
            </w:r>
            <w:r>
              <w:rPr>
                <w:sz w:val="17"/>
              </w:rPr>
              <w:t>July 2026 release: Pr v1.43, Ss v1.43, SL v1.36, Ac v1.27</w:t>
            </w:r>
          </w:p>
        </w:tc>
        <w:tc>
          <w:tcPr>
            <w:tcW w:type="dxa" w:w="1042"/>
          </w:tcPr>
          <w:p>
            <w:r>
              <w:rPr>
                <w:sz w:val="17"/>
              </w:rPr>
            </w:r>
            <w:r>
              <w:rPr>
                <w:sz w:val="17"/>
              </w:rPr>
              <w:t>2026-07</w:t>
            </w:r>
          </w:p>
        </w:tc>
        <w:tc>
          <w:tcPr>
            <w:tcW w:type="dxa" w:w="3329"/>
          </w:tcPr>
          <w:p>
            <w:r>
              <w:rPr>
                <w:sz w:val="17"/>
              </w:rPr>
            </w:r>
            <w:r>
              <w:rPr>
                <w:sz w:val="17"/>
              </w:rPr>
              <w:t>Classification_Code + ClassificationTable/​Title/​Release (O-DEC-116); cite the release used</w:t>
            </w:r>
          </w:p>
        </w:tc>
        <w:tc>
          <w:tcPr>
            <w:tcW w:type="dxa" w:w="3129"/>
          </w:tcPr>
          <w:p>
            <w:r>
              <w:rPr>
                <w:sz w:val="17"/>
              </w:rPr>
            </w:r>
            <w:r>
              <w:rPr>
                <w:sz w:val="17"/>
              </w:rPr>
              <w:t>https:/​/​uniclass.thenbs.com/​download</w:t>
            </w:r>
          </w:p>
        </w:tc>
        <w:tc>
          <w:tcPr>
            <w:tcW w:type="dxa" w:w="1042"/>
          </w:tcPr>
          <w:p>
            <w:r>
              <w:rPr>
                <w:sz w:val="17"/>
              </w:rPr>
            </w:r>
            <w:r>
              <w:rPr>
                <w:sz w:val="17"/>
              </w:rPr>
              <w:t>2026-11-04</w:t>
            </w:r>
          </w:p>
        </w:tc>
      </w:tr>
      <w:tr>
        <w:trPr>
          <w:cantSplit/>
        </w:trPr>
        <w:tc>
          <w:tcPr>
            <w:tcW w:type="dxa" w:w="1220"/>
          </w:tcPr>
          <w:p>
            <w:r>
              <w:rPr>
                <w:sz w:val="17"/>
              </w:rPr>
            </w:r>
            <w:r>
              <w:rPr>
                <w:sz w:val="17"/>
              </w:rPr>
              <w:t>ED-RIBA-POW</w:t>
            </w:r>
          </w:p>
        </w:tc>
        <w:tc>
          <w:tcPr>
            <w:tcW w:type="dxa" w:w="2567"/>
          </w:tcPr>
          <w:p>
            <w:r>
              <w:rPr>
                <w:sz w:val="17"/>
              </w:rPr>
            </w:r>
            <w:r>
              <w:rPr>
                <w:sz w:val="17"/>
              </w:rPr>
              <w:t>RIBA Plan of Work</w:t>
            </w:r>
          </w:p>
        </w:tc>
        <w:tc>
          <w:tcPr>
            <w:tcW w:type="dxa" w:w="3070"/>
          </w:tcPr>
          <w:p>
            <w:r>
              <w:rPr>
                <w:sz w:val="17"/>
              </w:rPr>
            </w:r>
            <w:r>
              <w:rPr>
                <w:sz w:val="17"/>
              </w:rPr>
              <w:t>2020 (current)</w:t>
            </w:r>
          </w:p>
        </w:tc>
        <w:tc>
          <w:tcPr>
            <w:tcW w:type="dxa" w:w="1042"/>
          </w:tcPr>
          <w:p>
            <w:r>
              <w:rPr>
                <w:sz w:val="17"/>
              </w:rPr>
            </w:r>
            <w:r>
              <w:rPr>
                <w:sz w:val="17"/>
              </w:rPr>
              <w:t>2020</w:t>
            </w:r>
          </w:p>
        </w:tc>
        <w:tc>
          <w:tcPr>
            <w:tcW w:type="dxa" w:w="3329"/>
          </w:tcPr>
          <w:p>
            <w:r>
              <w:rPr>
                <w:sz w:val="17"/>
              </w:rPr>
            </w:r>
            <w:r>
              <w:rPr>
                <w:sz w:val="17"/>
              </w:rPr>
              <w:t>Stage names</w:t>
            </w:r>
          </w:p>
        </w:tc>
        <w:tc>
          <w:tcPr>
            <w:tcW w:type="dxa" w:w="3129"/>
          </w:tcPr>
          <w:p>
            <w:r>
              <w:rPr>
                <w:sz w:val="17"/>
              </w:rPr>
            </w:r>
            <w:r>
              <w:rPr>
                <w:sz w:val="17"/>
              </w:rPr>
              <w:t>https:/​/​www.riba.org/​work/​insights-and-resources/​riba-plan-of-work/​</w:t>
            </w:r>
          </w:p>
        </w:tc>
        <w:tc>
          <w:tcPr>
            <w:tcW w:type="dxa" w:w="1042"/>
          </w:tcPr>
          <w:p>
            <w:r>
              <w:rPr>
                <w:sz w:val="17"/>
              </w:rPr>
            </w:r>
            <w:r>
              <w:rPr>
                <w:sz w:val="17"/>
              </w:rPr>
              <w:t>2026-11-04</w:t>
            </w:r>
          </w:p>
        </w:tc>
      </w:tr>
      <w:tr>
        <w:trPr>
          <w:cantSplit/>
        </w:trPr>
        <w:tc>
          <w:tcPr>
            <w:tcW w:type="dxa" w:w="1220"/>
          </w:tcPr>
          <w:p>
            <w:r>
              <w:rPr>
                <w:sz w:val="17"/>
              </w:rPr>
            </w:r>
            <w:r>
              <w:rPr>
                <w:sz w:val="17"/>
              </w:rPr>
              <w:t>ED-ISO13567</w:t>
            </w:r>
          </w:p>
        </w:tc>
        <w:tc>
          <w:tcPr>
            <w:tcW w:type="dxa" w:w="2567"/>
          </w:tcPr>
          <w:p>
            <w:r>
              <w:rPr>
                <w:sz w:val="17"/>
              </w:rPr>
            </w:r>
            <w:r>
              <w:rPr>
                <w:sz w:val="17"/>
              </w:rPr>
              <w:t>ISO 13567-1 and -2 CAD layers</w:t>
            </w:r>
          </w:p>
        </w:tc>
        <w:tc>
          <w:tcPr>
            <w:tcW w:type="dxa" w:w="3070"/>
          </w:tcPr>
          <w:p>
            <w:r>
              <w:rPr>
                <w:sz w:val="17"/>
              </w:rPr>
            </w:r>
            <w:r>
              <w:rPr>
                <w:sz w:val="17"/>
              </w:rPr>
              <w:t>2017, ed.2 (both), confirmed</w:t>
            </w:r>
          </w:p>
        </w:tc>
        <w:tc>
          <w:tcPr>
            <w:tcW w:type="dxa" w:w="1042"/>
          </w:tcPr>
          <w:p>
            <w:r>
              <w:rPr>
                <w:sz w:val="17"/>
              </w:rPr>
            </w:r>
            <w:r>
              <w:rPr>
                <w:sz w:val="17"/>
              </w:rPr>
              <w:t>2017-09</w:t>
            </w:r>
          </w:p>
        </w:tc>
        <w:tc>
          <w:tcPr>
            <w:tcW w:type="dxa" w:w="3329"/>
          </w:tcPr>
          <w:p>
            <w:r>
              <w:rPr>
                <w:sz w:val="17"/>
              </w:rPr>
            </w:r>
            <w:r>
              <w:rPr>
                <w:sz w:val="17"/>
              </w:rPr>
              <w:t>CAD layer structure (BBM-STD-66)</w:t>
            </w:r>
          </w:p>
        </w:tc>
        <w:tc>
          <w:tcPr>
            <w:tcW w:type="dxa" w:w="3129"/>
          </w:tcPr>
          <w:p>
            <w:r>
              <w:rPr>
                <w:sz w:val="17"/>
              </w:rPr>
            </w:r>
            <w:r>
              <w:rPr>
                <w:sz w:val="17"/>
              </w:rPr>
              <w:t>https:/​/​www.iso.org/​standard/​70181.html ; https:/​/​www.iso.org/​standard/​70182.html</w:t>
            </w:r>
          </w:p>
        </w:tc>
        <w:tc>
          <w:tcPr>
            <w:tcW w:type="dxa" w:w="1042"/>
          </w:tcPr>
          <w:p>
            <w:r>
              <w:rPr>
                <w:sz w:val="17"/>
              </w:rPr>
            </w:r>
            <w:r>
              <w:rPr>
                <w:sz w:val="17"/>
              </w:rPr>
              <w:t>2026-11-04</w:t>
            </w:r>
          </w:p>
        </w:tc>
      </w:tr>
      <w:tr>
        <w:trPr>
          <w:cantSplit/>
        </w:trPr>
        <w:tc>
          <w:tcPr>
            <w:tcW w:type="dxa" w:w="1220"/>
          </w:tcPr>
          <w:p>
            <w:r>
              <w:rPr>
                <w:sz w:val="17"/>
              </w:rPr>
            </w:r>
            <w:r>
              <w:rPr>
                <w:sz w:val="17"/>
              </w:rPr>
              <w:t>ED-ISO128-1</w:t>
            </w:r>
          </w:p>
        </w:tc>
        <w:tc>
          <w:tcPr>
            <w:tcW w:type="dxa" w:w="2567"/>
          </w:tcPr>
          <w:p>
            <w:r>
              <w:rPr>
                <w:sz w:val="17"/>
              </w:rPr>
            </w:r>
            <w:r>
              <w:rPr>
                <w:sz w:val="17"/>
              </w:rPr>
              <w:t>ISO 128-1 TPD general principles of representation</w:t>
            </w:r>
          </w:p>
        </w:tc>
        <w:tc>
          <w:tcPr>
            <w:tcW w:type="dxa" w:w="3070"/>
          </w:tcPr>
          <w:p>
            <w:r>
              <w:rPr>
                <w:sz w:val="17"/>
              </w:rPr>
            </w:r>
            <w:r>
              <w:rPr>
                <w:sz w:val="17"/>
              </w:rPr>
              <w:t>2020, ed.2</w:t>
            </w:r>
          </w:p>
        </w:tc>
        <w:tc>
          <w:tcPr>
            <w:tcW w:type="dxa" w:w="1042"/>
          </w:tcPr>
          <w:p>
            <w:r>
              <w:rPr>
                <w:sz w:val="17"/>
              </w:rPr>
            </w:r>
            <w:r>
              <w:rPr>
                <w:sz w:val="17"/>
              </w:rPr>
              <w:t>2020-05</w:t>
            </w:r>
          </w:p>
        </w:tc>
        <w:tc>
          <w:tcPr>
            <w:tcW w:type="dxa" w:w="3329"/>
          </w:tcPr>
          <w:p>
            <w:r>
              <w:rPr>
                <w:sz w:val="17"/>
              </w:rPr>
            </w:r>
            <w:r>
              <w:rPr>
                <w:sz w:val="17"/>
              </w:rPr>
              <w:t>Drawing principles (BBM-STD-67)</w:t>
            </w:r>
          </w:p>
        </w:tc>
        <w:tc>
          <w:tcPr>
            <w:tcW w:type="dxa" w:w="3129"/>
          </w:tcPr>
          <w:p>
            <w:r>
              <w:rPr>
                <w:sz w:val="17"/>
              </w:rPr>
            </w:r>
            <w:r>
              <w:rPr>
                <w:sz w:val="17"/>
              </w:rPr>
              <w:t>https:/​/​www.iso.org/​search.html?q=ISO%20128-1</w:t>
            </w:r>
          </w:p>
        </w:tc>
        <w:tc>
          <w:tcPr>
            <w:tcW w:type="dxa" w:w="1042"/>
          </w:tcPr>
          <w:p>
            <w:r>
              <w:rPr>
                <w:sz w:val="17"/>
              </w:rPr>
            </w:r>
            <w:r>
              <w:rPr>
                <w:sz w:val="17"/>
              </w:rPr>
              <w:t>2026-11-04</w:t>
            </w:r>
          </w:p>
        </w:tc>
      </w:tr>
      <w:tr>
        <w:trPr>
          <w:cantSplit/>
        </w:trPr>
        <w:tc>
          <w:tcPr>
            <w:tcW w:type="dxa" w:w="1220"/>
          </w:tcPr>
          <w:p>
            <w:r>
              <w:rPr>
                <w:sz w:val="17"/>
              </w:rPr>
            </w:r>
            <w:r>
              <w:rPr>
                <w:sz w:val="17"/>
              </w:rPr>
              <w:t>ED-ISO7200</w:t>
            </w:r>
          </w:p>
        </w:tc>
        <w:tc>
          <w:tcPr>
            <w:tcW w:type="dxa" w:w="2567"/>
          </w:tcPr>
          <w:p>
            <w:r>
              <w:rPr>
                <w:sz w:val="17"/>
              </w:rPr>
            </w:r>
            <w:r>
              <w:rPr>
                <w:sz w:val="17"/>
              </w:rPr>
              <w:t>ISO 7200 Title blocks and document headers</w:t>
            </w:r>
          </w:p>
        </w:tc>
        <w:tc>
          <w:tcPr>
            <w:tcW w:type="dxa" w:w="3070"/>
          </w:tcPr>
          <w:p>
            <w:r>
              <w:rPr>
                <w:sz w:val="17"/>
              </w:rPr>
            </w:r>
            <w:r>
              <w:rPr>
                <w:sz w:val="17"/>
              </w:rPr>
              <w:t>2004, ed.2, confirmed 2025</w:t>
            </w:r>
          </w:p>
        </w:tc>
        <w:tc>
          <w:tcPr>
            <w:tcW w:type="dxa" w:w="1042"/>
          </w:tcPr>
          <w:p>
            <w:r>
              <w:rPr>
                <w:sz w:val="17"/>
              </w:rPr>
            </w:r>
            <w:r>
              <w:rPr>
                <w:sz w:val="17"/>
              </w:rPr>
              <w:t>2004-02</w:t>
            </w:r>
          </w:p>
        </w:tc>
        <w:tc>
          <w:tcPr>
            <w:tcW w:type="dxa" w:w="3329"/>
          </w:tcPr>
          <w:p>
            <w:r>
              <w:rPr>
                <w:sz w:val="17"/>
              </w:rPr>
            </w:r>
            <w:r>
              <w:rPr>
                <w:sz w:val="17"/>
              </w:rPr>
              <w:t>Title-block fields (BBM-STD-67)</w:t>
            </w:r>
          </w:p>
        </w:tc>
        <w:tc>
          <w:tcPr>
            <w:tcW w:type="dxa" w:w="3129"/>
          </w:tcPr>
          <w:p>
            <w:r>
              <w:rPr>
                <w:sz w:val="17"/>
              </w:rPr>
            </w:r>
            <w:r>
              <w:rPr>
                <w:sz w:val="17"/>
              </w:rPr>
              <w:t>https:/​/​www.iso.org/​standard/​35446.html</w:t>
            </w:r>
          </w:p>
        </w:tc>
        <w:tc>
          <w:tcPr>
            <w:tcW w:type="dxa" w:w="1042"/>
          </w:tcPr>
          <w:p>
            <w:r>
              <w:rPr>
                <w:sz w:val="17"/>
              </w:rPr>
            </w:r>
            <w:r>
              <w:rPr>
                <w:sz w:val="17"/>
              </w:rPr>
              <w:t>2026-11-04</w:t>
            </w:r>
          </w:p>
        </w:tc>
      </w:tr>
      <w:tr>
        <w:trPr>
          <w:cantSplit/>
        </w:trPr>
        <w:tc>
          <w:tcPr>
            <w:tcW w:type="dxa" w:w="1220"/>
          </w:tcPr>
          <w:p>
            <w:r>
              <w:rPr>
                <w:sz w:val="17"/>
              </w:rPr>
            </w:r>
            <w:r>
              <w:rPr>
                <w:sz w:val="17"/>
              </w:rPr>
              <w:t>ED-ISO5457</w:t>
            </w:r>
          </w:p>
        </w:tc>
        <w:tc>
          <w:tcPr>
            <w:tcW w:type="dxa" w:w="2567"/>
          </w:tcPr>
          <w:p>
            <w:r>
              <w:rPr>
                <w:sz w:val="17"/>
              </w:rPr>
            </w:r>
            <w:r>
              <w:rPr>
                <w:sz w:val="17"/>
              </w:rPr>
              <w:t>ISO 5457 Sizes and layout of drawing sheets</w:t>
            </w:r>
          </w:p>
        </w:tc>
        <w:tc>
          <w:tcPr>
            <w:tcW w:type="dxa" w:w="3070"/>
          </w:tcPr>
          <w:p>
            <w:r>
              <w:rPr>
                <w:sz w:val="17"/>
              </w:rPr>
            </w:r>
            <w:r>
              <w:rPr>
                <w:sz w:val="17"/>
              </w:rPr>
              <w:t>1999 + Amd 1:2010; confirmed 2021</w:t>
            </w:r>
          </w:p>
        </w:tc>
        <w:tc>
          <w:tcPr>
            <w:tcW w:type="dxa" w:w="1042"/>
          </w:tcPr>
          <w:p>
            <w:r>
              <w:rPr>
                <w:sz w:val="17"/>
              </w:rPr>
            </w:r>
            <w:r>
              <w:rPr>
                <w:sz w:val="17"/>
              </w:rPr>
              <w:t>1999 /​ 2010-06</w:t>
            </w:r>
          </w:p>
        </w:tc>
        <w:tc>
          <w:tcPr>
            <w:tcW w:type="dxa" w:w="3329"/>
          </w:tcPr>
          <w:p>
            <w:r>
              <w:rPr>
                <w:sz w:val="17"/>
              </w:rPr>
            </w:r>
            <w:r>
              <w:rPr>
                <w:sz w:val="17"/>
              </w:rPr>
              <w:t>Sheet margins and layout (BBM-STD-67)</w:t>
            </w:r>
          </w:p>
        </w:tc>
        <w:tc>
          <w:tcPr>
            <w:tcW w:type="dxa" w:w="3129"/>
          </w:tcPr>
          <w:p>
            <w:r>
              <w:rPr>
                <w:sz w:val="17"/>
              </w:rPr>
            </w:r>
            <w:r>
              <w:rPr>
                <w:sz w:val="17"/>
              </w:rPr>
              <w:t>https:/​/​www.iso.org/​standard/​29017.html ; https:/​/​www.iso.org/​standard/​46218.html</w:t>
            </w:r>
          </w:p>
        </w:tc>
        <w:tc>
          <w:tcPr>
            <w:tcW w:type="dxa" w:w="1042"/>
          </w:tcPr>
          <w:p>
            <w:r>
              <w:rPr>
                <w:sz w:val="17"/>
              </w:rPr>
            </w:r>
            <w:r>
              <w:rPr>
                <w:sz w:val="17"/>
              </w:rPr>
              <w:t>2026-11-04</w:t>
            </w:r>
          </w:p>
        </w:tc>
      </w:tr>
      <w:tr>
        <w:trPr>
          <w:cantSplit/>
        </w:trPr>
        <w:tc>
          <w:tcPr>
            <w:tcW w:type="dxa" w:w="1220"/>
          </w:tcPr>
          <w:p>
            <w:r>
              <w:rPr>
                <w:sz w:val="17"/>
              </w:rPr>
            </w:r>
            <w:r>
              <w:rPr>
                <w:sz w:val="17"/>
              </w:rPr>
              <w:t>ED-ISO216</w:t>
            </w:r>
          </w:p>
        </w:tc>
        <w:tc>
          <w:tcPr>
            <w:tcW w:type="dxa" w:w="2567"/>
          </w:tcPr>
          <w:p>
            <w:r>
              <w:rPr>
                <w:sz w:val="17"/>
              </w:rPr>
            </w:r>
            <w:r>
              <w:rPr>
                <w:sz w:val="17"/>
              </w:rPr>
              <w:t>ISO 216 Paper sizes A and B series</w:t>
            </w:r>
          </w:p>
        </w:tc>
        <w:tc>
          <w:tcPr>
            <w:tcW w:type="dxa" w:w="3070"/>
          </w:tcPr>
          <w:p>
            <w:r>
              <w:rPr>
                <w:sz w:val="17"/>
              </w:rPr>
            </w:r>
            <w:r>
              <w:rPr>
                <w:sz w:val="17"/>
              </w:rPr>
              <w:t>2007; confirmed 2021</w:t>
            </w:r>
          </w:p>
        </w:tc>
        <w:tc>
          <w:tcPr>
            <w:tcW w:type="dxa" w:w="1042"/>
          </w:tcPr>
          <w:p>
            <w:r>
              <w:rPr>
                <w:sz w:val="17"/>
              </w:rPr>
            </w:r>
            <w:r>
              <w:rPr>
                <w:sz w:val="17"/>
              </w:rPr>
              <w:t>2007</w:t>
            </w:r>
          </w:p>
        </w:tc>
        <w:tc>
          <w:tcPr>
            <w:tcW w:type="dxa" w:w="3329"/>
          </w:tcPr>
          <w:p>
            <w:r>
              <w:rPr>
                <w:sz w:val="17"/>
              </w:rPr>
            </w:r>
            <w:r>
              <w:rPr>
                <w:sz w:val="17"/>
              </w:rPr>
              <w:t>Sheet sizes (BBM-STD-67)</w:t>
            </w:r>
          </w:p>
        </w:tc>
        <w:tc>
          <w:tcPr>
            <w:tcW w:type="dxa" w:w="3129"/>
          </w:tcPr>
          <w:p>
            <w:r>
              <w:rPr>
                <w:sz w:val="17"/>
              </w:rPr>
            </w:r>
            <w:r>
              <w:rPr>
                <w:sz w:val="17"/>
              </w:rPr>
              <w:t>https:/​/​www.iso.org/​standard/​36631.html</w:t>
            </w:r>
          </w:p>
        </w:tc>
        <w:tc>
          <w:tcPr>
            <w:tcW w:type="dxa" w:w="1042"/>
          </w:tcPr>
          <w:p>
            <w:r>
              <w:rPr>
                <w:sz w:val="17"/>
              </w:rPr>
            </w:r>
            <w:r>
              <w:rPr>
                <w:sz w:val="17"/>
              </w:rPr>
              <w:t>2026-11-04</w:t>
            </w:r>
          </w:p>
        </w:tc>
      </w:tr>
      <w:tr>
        <w:trPr>
          <w:cantSplit/>
        </w:trPr>
        <w:tc>
          <w:tcPr>
            <w:tcW w:type="dxa" w:w="1220"/>
          </w:tcPr>
          <w:p>
            <w:r>
              <w:rPr>
                <w:sz w:val="17"/>
              </w:rPr>
            </w:r>
            <w:r>
              <w:rPr>
                <w:sz w:val="17"/>
              </w:rPr>
              <w:t>ED-ISO10005</w:t>
            </w:r>
          </w:p>
        </w:tc>
        <w:tc>
          <w:tcPr>
            <w:tcW w:type="dxa" w:w="2567"/>
          </w:tcPr>
          <w:p>
            <w:r>
              <w:rPr>
                <w:sz w:val="17"/>
              </w:rPr>
            </w:r>
            <w:r>
              <w:rPr>
                <w:sz w:val="17"/>
              </w:rPr>
              <w:t>ISO 10005 Quality plans</w:t>
            </w:r>
          </w:p>
        </w:tc>
        <w:tc>
          <w:tcPr>
            <w:tcW w:type="dxa" w:w="3070"/>
          </w:tcPr>
          <w:p>
            <w:r>
              <w:rPr>
                <w:sz w:val="17"/>
              </w:rPr>
            </w:r>
            <w:r>
              <w:rPr>
                <w:sz w:val="17"/>
              </w:rPr>
              <w:t>2018, ed.3; confirmed 2023</w:t>
            </w:r>
          </w:p>
        </w:tc>
        <w:tc>
          <w:tcPr>
            <w:tcW w:type="dxa" w:w="1042"/>
          </w:tcPr>
          <w:p>
            <w:r>
              <w:rPr>
                <w:sz w:val="17"/>
              </w:rPr>
            </w:r>
            <w:r>
              <w:rPr>
                <w:sz w:val="17"/>
              </w:rPr>
              <w:t>2018-06</w:t>
            </w:r>
          </w:p>
        </w:tc>
        <w:tc>
          <w:tcPr>
            <w:tcW w:type="dxa" w:w="3329"/>
          </w:tcPr>
          <w:p>
            <w:r>
              <w:rPr>
                <w:sz w:val="17"/>
              </w:rPr>
            </w:r>
            <w:r>
              <w:rPr>
                <w:sz w:val="17"/>
              </w:rPr>
              <w:t>Quality plan structure (BBM-STD-68; office QMS BBM-STD-96, 97 QP-02)</w:t>
            </w:r>
          </w:p>
        </w:tc>
        <w:tc>
          <w:tcPr>
            <w:tcW w:type="dxa" w:w="3129"/>
          </w:tcPr>
          <w:p>
            <w:r>
              <w:rPr>
                <w:sz w:val="17"/>
              </w:rPr>
            </w:r>
            <w:r>
              <w:rPr>
                <w:sz w:val="17"/>
              </w:rPr>
              <w:t>https:/​/​www.iso.org/​standard/​70398.html</w:t>
            </w:r>
          </w:p>
        </w:tc>
        <w:tc>
          <w:tcPr>
            <w:tcW w:type="dxa" w:w="1042"/>
          </w:tcPr>
          <w:p>
            <w:r>
              <w:rPr>
                <w:sz w:val="17"/>
              </w:rPr>
            </w:r>
            <w:r>
              <w:rPr>
                <w:sz w:val="17"/>
              </w:rPr>
              <w:t>2026-11-04</w:t>
            </w:r>
          </w:p>
        </w:tc>
      </w:tr>
      <w:tr>
        <w:trPr>
          <w:cantSplit/>
        </w:trPr>
        <w:tc>
          <w:tcPr>
            <w:tcW w:type="dxa" w:w="1220"/>
          </w:tcPr>
          <w:p>
            <w:r>
              <w:rPr>
                <w:sz w:val="17"/>
              </w:rPr>
            </w:r>
            <w:r>
              <w:rPr>
                <w:sz w:val="17"/>
              </w:rPr>
              <w:t>ED-ISO19011</w:t>
            </w:r>
          </w:p>
        </w:tc>
        <w:tc>
          <w:tcPr>
            <w:tcW w:type="dxa" w:w="2567"/>
          </w:tcPr>
          <w:p>
            <w:r>
              <w:rPr>
                <w:sz w:val="17"/>
              </w:rPr>
            </w:r>
            <w:r>
              <w:rPr>
                <w:sz w:val="17"/>
              </w:rPr>
              <w:t>ISO 19011 Auditing management systems</w:t>
            </w:r>
          </w:p>
        </w:tc>
        <w:tc>
          <w:tcPr>
            <w:tcW w:type="dxa" w:w="3070"/>
          </w:tcPr>
          <w:p>
            <w:r>
              <w:rPr>
                <w:sz w:val="17"/>
              </w:rPr>
            </w:r>
            <w:r>
              <w:rPr>
                <w:sz w:val="17"/>
              </w:rPr>
              <w:t>ISO 19011:2026, edition 4, published May 2026 (stage 60.60); ISO 19011:2018 withdrawn 27 May 2026 (</w:t>
            </w:r>
            <w:r>
              <w:rPr>
                <w:color w:val="9A7B45"/>
                <w:sz w:val="17"/>
                <w:u w:val="single"/>
              </w:rPr>
              <w:t>O-DEC-184</w:t>
            </w:r>
            <w:r>
              <w:rPr>
                <w:sz w:val="17"/>
              </w:rPr>
              <w:t>)</w:t>
            </w:r>
          </w:p>
        </w:tc>
        <w:tc>
          <w:tcPr>
            <w:tcW w:type="dxa" w:w="1042"/>
          </w:tcPr>
          <w:p>
            <w:r>
              <w:rPr>
                <w:sz w:val="17"/>
              </w:rPr>
            </w:r>
            <w:r>
              <w:rPr>
                <w:sz w:val="17"/>
              </w:rPr>
              <w:t>2026-05</w:t>
            </w:r>
          </w:p>
        </w:tc>
        <w:tc>
          <w:tcPr>
            <w:tcW w:type="dxa" w:w="3329"/>
          </w:tcPr>
          <w:p>
            <w:r>
              <w:rPr>
                <w:sz w:val="17"/>
              </w:rPr>
            </w:r>
            <w:r>
              <w:rPr>
                <w:sz w:val="17"/>
              </w:rPr>
              <w:t>Auditor competence and independence, audit programme guidance (BBM-STD-68; BBM-STD-96 §9.2 and §11; BBM-STD-97 QP-13)</w:t>
            </w:r>
          </w:p>
        </w:tc>
        <w:tc>
          <w:tcPr>
            <w:tcW w:type="dxa" w:w="3129"/>
          </w:tcPr>
          <w:p>
            <w:r>
              <w:rPr>
                <w:sz w:val="17"/>
              </w:rPr>
            </w:r>
            <w:r>
              <w:rPr>
                <w:sz w:val="17"/>
              </w:rPr>
              <w:t>https:/​/​www.iso.org/​standard/​19011</w:t>
            </w:r>
          </w:p>
        </w:tc>
        <w:tc>
          <w:tcPr>
            <w:tcW w:type="dxa" w:w="1042"/>
          </w:tcPr>
          <w:p>
            <w:r>
              <w:rPr>
                <w:sz w:val="17"/>
              </w:rPr>
            </w:r>
            <w:r>
              <w:rPr>
                <w:sz w:val="17"/>
              </w:rPr>
              <w:t>2026-11-05</w:t>
            </w:r>
          </w:p>
        </w:tc>
      </w:tr>
      <w:tr>
        <w:trPr>
          <w:cantSplit/>
        </w:trPr>
        <w:tc>
          <w:tcPr>
            <w:tcW w:type="dxa" w:w="1220"/>
          </w:tcPr>
          <w:p>
            <w:r>
              <w:rPr>
                <w:sz w:val="17"/>
              </w:rPr>
            </w:r>
            <w:r>
              <w:rPr>
                <w:sz w:val="17"/>
              </w:rPr>
              <w:t>ED-ISO10006</w:t>
            </w:r>
          </w:p>
        </w:tc>
        <w:tc>
          <w:tcPr>
            <w:tcW w:type="dxa" w:w="2567"/>
          </w:tcPr>
          <w:p>
            <w:r>
              <w:rPr>
                <w:sz w:val="17"/>
              </w:rPr>
            </w:r>
            <w:r>
              <w:rPr>
                <w:sz w:val="17"/>
              </w:rPr>
              <w:t>ISO 10006 Quality management in projects</w:t>
            </w:r>
          </w:p>
        </w:tc>
        <w:tc>
          <w:tcPr>
            <w:tcW w:type="dxa" w:w="3070"/>
          </w:tcPr>
          <w:p>
            <w:r>
              <w:rPr>
                <w:sz w:val="17"/>
              </w:rPr>
            </w:r>
            <w:r>
              <w:rPr>
                <w:sz w:val="17"/>
              </w:rPr>
              <w:t>2017; confirmed 2023</w:t>
            </w:r>
          </w:p>
        </w:tc>
        <w:tc>
          <w:tcPr>
            <w:tcW w:type="dxa" w:w="1042"/>
          </w:tcPr>
          <w:p>
            <w:r>
              <w:rPr>
                <w:sz w:val="17"/>
              </w:rPr>
            </w:r>
            <w:r>
              <w:rPr>
                <w:sz w:val="17"/>
              </w:rPr>
              <w:t>2017</w:t>
            </w:r>
          </w:p>
        </w:tc>
        <w:tc>
          <w:tcPr>
            <w:tcW w:type="dxa" w:w="3329"/>
          </w:tcPr>
          <w:p>
            <w:r>
              <w:rPr>
                <w:sz w:val="17"/>
              </w:rPr>
            </w:r>
            <w:r>
              <w:rPr>
                <w:sz w:val="17"/>
              </w:rPr>
              <w:t>Project quality plans (BBM-STD-96 §8, BBM-STD-97 QP-02)</w:t>
            </w:r>
          </w:p>
        </w:tc>
        <w:tc>
          <w:tcPr>
            <w:tcW w:type="dxa" w:w="3129"/>
          </w:tcPr>
          <w:p>
            <w:r>
              <w:rPr>
                <w:sz w:val="17"/>
              </w:rPr>
            </w:r>
            <w:r>
              <w:rPr>
                <w:sz w:val="17"/>
              </w:rPr>
              <w:t>https:/​/​www.iso.org/​standard/​70376.html</w:t>
            </w:r>
          </w:p>
        </w:tc>
        <w:tc>
          <w:tcPr>
            <w:tcW w:type="dxa" w:w="1042"/>
          </w:tcPr>
          <w:p>
            <w:r>
              <w:rPr>
                <w:sz w:val="17"/>
              </w:rPr>
            </w:r>
            <w:r>
              <w:rPr>
                <w:sz w:val="17"/>
              </w:rPr>
              <w:t>2026-11-04</w:t>
            </w:r>
          </w:p>
        </w:tc>
      </w:tr>
      <w:tr>
        <w:trPr>
          <w:cantSplit/>
        </w:trPr>
        <w:tc>
          <w:tcPr>
            <w:tcW w:type="dxa" w:w="1220"/>
          </w:tcPr>
          <w:p>
            <w:r>
              <w:rPr>
                <w:sz w:val="17"/>
              </w:rPr>
            </w:r>
            <w:r>
              <w:rPr>
                <w:sz w:val="17"/>
              </w:rPr>
              <w:t>ED-ISO10002</w:t>
            </w:r>
          </w:p>
        </w:tc>
        <w:tc>
          <w:tcPr>
            <w:tcW w:type="dxa" w:w="2567"/>
          </w:tcPr>
          <w:p>
            <w:r>
              <w:rPr>
                <w:sz w:val="17"/>
              </w:rPr>
            </w:r>
            <w:r>
              <w:rPr>
                <w:sz w:val="17"/>
              </w:rPr>
              <w:t>ISO 10002 Complaints handling</w:t>
            </w:r>
          </w:p>
        </w:tc>
        <w:tc>
          <w:tcPr>
            <w:tcW w:type="dxa" w:w="3070"/>
          </w:tcPr>
          <w:p>
            <w:r>
              <w:rPr>
                <w:sz w:val="17"/>
              </w:rPr>
            </w:r>
            <w:r>
              <w:rPr>
                <w:sz w:val="17"/>
              </w:rPr>
              <w:t>2018, ed. 3 (published 2018-07-16; confirmed 2023-12-11, stage 90.93)</w:t>
            </w:r>
          </w:p>
        </w:tc>
        <w:tc>
          <w:tcPr>
            <w:tcW w:type="dxa" w:w="1042"/>
          </w:tcPr>
          <w:p>
            <w:r>
              <w:rPr>
                <w:sz w:val="17"/>
              </w:rPr>
            </w:r>
            <w:r>
              <w:rPr>
                <w:sz w:val="17"/>
              </w:rPr>
              <w:t>2018-07</w:t>
            </w:r>
          </w:p>
        </w:tc>
        <w:tc>
          <w:tcPr>
            <w:tcW w:type="dxa" w:w="3329"/>
          </w:tcPr>
          <w:p>
            <w:r>
              <w:rPr>
                <w:sz w:val="17"/>
              </w:rPr>
            </w:r>
            <w:r>
              <w:rPr>
                <w:sz w:val="17"/>
              </w:rPr>
              <w:t>Complaints (BBM-STD-97 QP-12)</w:t>
            </w:r>
          </w:p>
        </w:tc>
        <w:tc>
          <w:tcPr>
            <w:tcW w:type="dxa" w:w="3129"/>
          </w:tcPr>
          <w:p>
            <w:r>
              <w:rPr>
                <w:sz w:val="17"/>
              </w:rPr>
            </w:r>
            <w:r>
              <w:rPr>
                <w:sz w:val="17"/>
              </w:rPr>
              <w:t>https:/​/​www.iso.org/​standard/​71580.html</w:t>
            </w:r>
          </w:p>
        </w:tc>
        <w:tc>
          <w:tcPr>
            <w:tcW w:type="dxa" w:w="1042"/>
          </w:tcPr>
          <w:p>
            <w:r>
              <w:rPr>
                <w:sz w:val="17"/>
              </w:rPr>
            </w:r>
            <w:r>
              <w:rPr>
                <w:sz w:val="17"/>
              </w:rPr>
              <w:t>2026-11-04</w:t>
            </w:r>
          </w:p>
        </w:tc>
      </w:tr>
      <w:tr>
        <w:trPr>
          <w:cantSplit/>
        </w:trPr>
        <w:tc>
          <w:tcPr>
            <w:tcW w:type="dxa" w:w="1220"/>
          </w:tcPr>
          <w:p>
            <w:r>
              <w:rPr>
                <w:sz w:val="17"/>
              </w:rPr>
            </w:r>
            <w:r>
              <w:rPr>
                <w:sz w:val="17"/>
              </w:rPr>
              <w:t>ED-ISO10004</w:t>
            </w:r>
          </w:p>
        </w:tc>
        <w:tc>
          <w:tcPr>
            <w:tcW w:type="dxa" w:w="2567"/>
          </w:tcPr>
          <w:p>
            <w:r>
              <w:rPr>
                <w:sz w:val="17"/>
              </w:rPr>
            </w:r>
            <w:r>
              <w:rPr>
                <w:sz w:val="17"/>
              </w:rPr>
              <w:t>ISO 10004 Customer satisfaction: monitoring and measuring (ed.2, confirmed 2023, stage 90.93)</w:t>
            </w:r>
          </w:p>
        </w:tc>
        <w:tc>
          <w:tcPr>
            <w:tcW w:type="dxa" w:w="3070"/>
          </w:tcPr>
          <w:p>
            <w:r>
              <w:rPr>
                <w:sz w:val="17"/>
              </w:rPr>
            </w:r>
            <w:r>
              <w:rPr>
                <w:sz w:val="17"/>
              </w:rPr>
              <w:t>2018</w:t>
            </w:r>
          </w:p>
        </w:tc>
        <w:tc>
          <w:tcPr>
            <w:tcW w:type="dxa" w:w="1042"/>
          </w:tcPr>
          <w:p>
            <w:r>
              <w:rPr>
                <w:sz w:val="17"/>
              </w:rPr>
            </w:r>
            <w:r>
              <w:rPr>
                <w:sz w:val="17"/>
              </w:rPr>
              <w:t>2018-07</w:t>
            </w:r>
          </w:p>
        </w:tc>
        <w:tc>
          <w:tcPr>
            <w:tcW w:type="dxa" w:w="3329"/>
          </w:tcPr>
          <w:p>
            <w:r>
              <w:rPr>
                <w:sz w:val="17"/>
              </w:rPr>
            </w:r>
            <w:r>
              <w:rPr>
                <w:sz w:val="17"/>
              </w:rPr>
              <w:t>Client feedback and satisfaction KPIs (BBM-STD-97, BBM-STD-98)</w:t>
            </w:r>
          </w:p>
        </w:tc>
        <w:tc>
          <w:tcPr>
            <w:tcW w:type="dxa" w:w="3129"/>
          </w:tcPr>
          <w:p>
            <w:r>
              <w:rPr>
                <w:sz w:val="17"/>
              </w:rPr>
            </w:r>
            <w:r>
              <w:rPr>
                <w:sz w:val="17"/>
              </w:rPr>
              <w:t>https:/​/​www.iso.org/​standard/​71582.html</w:t>
            </w:r>
          </w:p>
        </w:tc>
        <w:tc>
          <w:tcPr>
            <w:tcW w:type="dxa" w:w="1042"/>
          </w:tcPr>
          <w:p>
            <w:r>
              <w:rPr>
                <w:sz w:val="17"/>
              </w:rPr>
            </w:r>
            <w:r>
              <w:rPr>
                <w:sz w:val="17"/>
              </w:rPr>
              <w:t>2026-11-04</w:t>
            </w:r>
          </w:p>
        </w:tc>
      </w:tr>
      <w:tr>
        <w:trPr>
          <w:cantSplit/>
        </w:trPr>
        <w:tc>
          <w:tcPr>
            <w:tcW w:type="dxa" w:w="1220"/>
          </w:tcPr>
          <w:p>
            <w:r>
              <w:rPr>
                <w:sz w:val="17"/>
              </w:rPr>
            </w:r>
            <w:r>
              <w:rPr>
                <w:sz w:val="17"/>
              </w:rPr>
              <w:t>ED-LEED</w:t>
            </w:r>
          </w:p>
        </w:tc>
        <w:tc>
          <w:tcPr>
            <w:tcW w:type="dxa" w:w="2567"/>
          </w:tcPr>
          <w:p>
            <w:r>
              <w:rPr>
                <w:sz w:val="17"/>
              </w:rPr>
            </w:r>
            <w:r>
              <w:rPr>
                <w:sz w:val="17"/>
              </w:rPr>
              <w:t>USGBC LEED</w:t>
            </w:r>
          </w:p>
        </w:tc>
        <w:tc>
          <w:tcPr>
            <w:tcW w:type="dxa" w:w="3070"/>
          </w:tcPr>
          <w:p>
            <w:r>
              <w:rPr>
                <w:sz w:val="17"/>
              </w:rPr>
            </w:r>
            <w:r>
              <w:rPr>
                <w:sz w:val="17"/>
              </w:rPr>
              <w:t>Version per project registration</w:t>
            </w:r>
          </w:p>
        </w:tc>
        <w:tc>
          <w:tcPr>
            <w:tcW w:type="dxa" w:w="1042"/>
          </w:tcPr>
          <w:p>
            <w:r>
              <w:rPr>
                <w:sz w:val="17"/>
              </w:rPr>
            </w:r>
            <w:r>
              <w:rPr>
                <w:sz w:val="17"/>
              </w:rPr>
              <w:t>per project</w:t>
            </w:r>
          </w:p>
        </w:tc>
        <w:tc>
          <w:tcPr>
            <w:tcW w:type="dxa" w:w="3329"/>
          </w:tcPr>
          <w:p>
            <w:r>
              <w:rPr>
                <w:sz w:val="17"/>
              </w:rPr>
            </w:r>
            <w:r>
              <w:rPr>
                <w:sz w:val="17"/>
              </w:rPr>
              <w:t>Client-targeted rating only (BBM-STD-97 QP-06)</w:t>
            </w:r>
          </w:p>
        </w:tc>
        <w:tc>
          <w:tcPr>
            <w:tcW w:type="dxa" w:w="3129"/>
          </w:tcPr>
          <w:p>
            <w:r>
              <w:rPr>
                <w:sz w:val="17"/>
              </w:rPr>
            </w:r>
            <w:r>
              <w:rPr>
                <w:sz w:val="17"/>
              </w:rPr>
              <w:t>https:/​/​www.usgbc.org/​leed</w:t>
            </w:r>
          </w:p>
        </w:tc>
        <w:tc>
          <w:tcPr>
            <w:tcW w:type="dxa" w:w="1042"/>
          </w:tcPr>
          <w:p>
            <w:r>
              <w:rPr>
                <w:sz w:val="17"/>
              </w:rPr>
            </w:r>
            <w:r>
              <w:rPr>
                <w:sz w:val="17"/>
              </w:rPr>
              <w:t>2026-11-04</w:t>
            </w:r>
          </w:p>
        </w:tc>
      </w:tr>
      <w:tr>
        <w:trPr>
          <w:cantSplit/>
        </w:trPr>
        <w:tc>
          <w:tcPr>
            <w:tcW w:type="dxa" w:w="1220"/>
          </w:tcPr>
          <w:p>
            <w:r>
              <w:rPr>
                <w:sz w:val="17"/>
              </w:rPr>
            </w:r>
            <w:r>
              <w:rPr>
                <w:sz w:val="17"/>
              </w:rPr>
              <w:t>ED-ISO9001</w:t>
            </w:r>
          </w:p>
        </w:tc>
        <w:tc>
          <w:tcPr>
            <w:tcW w:type="dxa" w:w="2567"/>
          </w:tcPr>
          <w:p>
            <w:r>
              <w:rPr>
                <w:sz w:val="17"/>
              </w:rPr>
            </w:r>
            <w:r>
              <w:rPr>
                <w:sz w:val="17"/>
              </w:rPr>
              <w:t>ISO 9001 Quality management systems</w:t>
            </w:r>
          </w:p>
        </w:tc>
        <w:tc>
          <w:tcPr>
            <w:tcW w:type="dxa" w:w="3070"/>
          </w:tcPr>
          <w:p>
            <w:r>
              <w:rPr>
                <w:sz w:val="17"/>
              </w:rPr>
            </w:r>
            <w:r>
              <w:rPr>
                <w:sz w:val="17"/>
              </w:rPr>
              <w:t>2026, ed.6 (replaces 9001:2015 + Amd 1:2024)</w:t>
            </w:r>
          </w:p>
        </w:tc>
        <w:tc>
          <w:tcPr>
            <w:tcW w:type="dxa" w:w="1042"/>
          </w:tcPr>
          <w:p>
            <w:r>
              <w:rPr>
                <w:sz w:val="17"/>
              </w:rPr>
            </w:r>
            <w:r>
              <w:rPr>
                <w:sz w:val="17"/>
              </w:rPr>
              <w:t>2026-09-16</w:t>
            </w:r>
          </w:p>
        </w:tc>
        <w:tc>
          <w:tcPr>
            <w:tcW w:type="dxa" w:w="3329"/>
          </w:tcPr>
          <w:p>
            <w:r>
              <w:rPr>
                <w:sz w:val="17"/>
              </w:rPr>
            </w:r>
            <w:r>
              <w:rPr>
                <w:sz w:val="17"/>
              </w:rPr>
              <w:t>Office QMS (BBM-STD-96, 97, 98) and QMS interface (BBM-STD-68); certificates to 2015 follow the certification body's transition period</w:t>
            </w:r>
          </w:p>
        </w:tc>
        <w:tc>
          <w:tcPr>
            <w:tcW w:type="dxa" w:w="3129"/>
          </w:tcPr>
          <w:p>
            <w:r>
              <w:rPr>
                <w:sz w:val="17"/>
              </w:rPr>
            </w:r>
            <w:r>
              <w:rPr>
                <w:sz w:val="17"/>
              </w:rPr>
              <w:t>https:/​/​www.iso.org/​standard/​88464.html</w:t>
            </w:r>
          </w:p>
        </w:tc>
        <w:tc>
          <w:tcPr>
            <w:tcW w:type="dxa" w:w="1042"/>
          </w:tcPr>
          <w:p>
            <w:r>
              <w:rPr>
                <w:sz w:val="17"/>
              </w:rPr>
            </w:r>
            <w:r>
              <w:rPr>
                <w:sz w:val="17"/>
              </w:rPr>
              <w:t>2026-11-04</w:t>
            </w:r>
          </w:p>
        </w:tc>
      </w:tr>
      <w:tr>
        <w:trPr>
          <w:cantSplit/>
        </w:trPr>
        <w:tc>
          <w:tcPr>
            <w:tcW w:type="dxa" w:w="1220"/>
          </w:tcPr>
          <w:p>
            <w:r>
              <w:rPr>
                <w:sz w:val="17"/>
              </w:rPr>
            </w:r>
            <w:r>
              <w:rPr>
                <w:sz w:val="17"/>
              </w:rPr>
              <w:t>ED-ISO27001</w:t>
            </w:r>
          </w:p>
        </w:tc>
        <w:tc>
          <w:tcPr>
            <w:tcW w:type="dxa" w:w="2567"/>
          </w:tcPr>
          <w:p>
            <w:r>
              <w:rPr>
                <w:sz w:val="17"/>
              </w:rPr>
            </w:r>
            <w:r>
              <w:rPr>
                <w:sz w:val="17"/>
              </w:rPr>
              <w:t>ISO/​IEC 27001 Information security management</w:t>
            </w:r>
          </w:p>
        </w:tc>
        <w:tc>
          <w:tcPr>
            <w:tcW w:type="dxa" w:w="3070"/>
          </w:tcPr>
          <w:p>
            <w:r>
              <w:rPr>
                <w:sz w:val="17"/>
              </w:rPr>
            </w:r>
            <w:r>
              <w:rPr>
                <w:sz w:val="17"/>
              </w:rPr>
              <w:t>2022, ed.3 + Amd 1:2024</w:t>
            </w:r>
          </w:p>
        </w:tc>
        <w:tc>
          <w:tcPr>
            <w:tcW w:type="dxa" w:w="1042"/>
          </w:tcPr>
          <w:p>
            <w:r>
              <w:rPr>
                <w:sz w:val="17"/>
              </w:rPr>
            </w:r>
            <w:r>
              <w:rPr>
                <w:sz w:val="17"/>
              </w:rPr>
              <w:t>2022-10 /​ 2024</w:t>
            </w:r>
          </w:p>
        </w:tc>
        <w:tc>
          <w:tcPr>
            <w:tcW w:type="dxa" w:w="3329"/>
          </w:tcPr>
          <w:p>
            <w:r>
              <w:rPr>
                <w:sz w:val="17"/>
              </w:rPr>
            </w:r>
            <w:r>
              <w:rPr>
                <w:sz w:val="17"/>
              </w:rPr>
              <w:t>CDE/​service-provider security evidence (BBM-STD-56, 87)</w:t>
            </w:r>
          </w:p>
        </w:tc>
        <w:tc>
          <w:tcPr>
            <w:tcW w:type="dxa" w:w="3129"/>
          </w:tcPr>
          <w:p>
            <w:r>
              <w:rPr>
                <w:sz w:val="17"/>
              </w:rPr>
            </w:r>
            <w:r>
              <w:rPr>
                <w:sz w:val="17"/>
              </w:rPr>
              <w:t>https:/​/​www.iso.org/​standard/​82875.html</w:t>
            </w:r>
          </w:p>
        </w:tc>
        <w:tc>
          <w:tcPr>
            <w:tcW w:type="dxa" w:w="1042"/>
          </w:tcPr>
          <w:p>
            <w:r>
              <w:rPr>
                <w:sz w:val="17"/>
              </w:rPr>
            </w:r>
            <w:r>
              <w:rPr>
                <w:sz w:val="17"/>
              </w:rPr>
              <w:t>2026-11-04</w:t>
            </w:r>
          </w:p>
        </w:tc>
      </w:tr>
      <w:tr>
        <w:trPr>
          <w:cantSplit/>
        </w:trPr>
        <w:tc>
          <w:tcPr>
            <w:tcW w:type="dxa" w:w="1220"/>
          </w:tcPr>
          <w:p>
            <w:r>
              <w:rPr>
                <w:sz w:val="17"/>
              </w:rPr>
            </w:r>
            <w:r>
              <w:rPr>
                <w:sz w:val="17"/>
              </w:rPr>
              <w:t>ED-ISO42001</w:t>
            </w:r>
          </w:p>
        </w:tc>
        <w:tc>
          <w:tcPr>
            <w:tcW w:type="dxa" w:w="2567"/>
          </w:tcPr>
          <w:p>
            <w:r>
              <w:rPr>
                <w:sz w:val="17"/>
              </w:rPr>
            </w:r>
            <w:r>
              <w:rPr>
                <w:sz w:val="17"/>
              </w:rPr>
              <w:t>ISO/​IEC 42001 AI management system</w:t>
            </w:r>
          </w:p>
        </w:tc>
        <w:tc>
          <w:tcPr>
            <w:tcW w:type="dxa" w:w="3070"/>
          </w:tcPr>
          <w:p>
            <w:r>
              <w:rPr>
                <w:sz w:val="17"/>
              </w:rPr>
            </w:r>
            <w:r>
              <w:rPr>
                <w:sz w:val="17"/>
              </w:rPr>
              <w:t>2023, ed.1</w:t>
            </w:r>
          </w:p>
        </w:tc>
        <w:tc>
          <w:tcPr>
            <w:tcW w:type="dxa" w:w="1042"/>
          </w:tcPr>
          <w:p>
            <w:r>
              <w:rPr>
                <w:sz w:val="17"/>
              </w:rPr>
            </w:r>
            <w:r>
              <w:rPr>
                <w:sz w:val="17"/>
              </w:rPr>
              <w:t>2023-12</w:t>
            </w:r>
          </w:p>
        </w:tc>
        <w:tc>
          <w:tcPr>
            <w:tcW w:type="dxa" w:w="3329"/>
          </w:tcPr>
          <w:p>
            <w:r>
              <w:rPr>
                <w:sz w:val="17"/>
              </w:rPr>
            </w:r>
            <w:r>
              <w:rPr>
                <w:sz w:val="17"/>
              </w:rPr>
              <w:t>AI governance (BBM-STD-92)</w:t>
            </w:r>
          </w:p>
        </w:tc>
        <w:tc>
          <w:tcPr>
            <w:tcW w:type="dxa" w:w="3129"/>
          </w:tcPr>
          <w:p>
            <w:r>
              <w:rPr>
                <w:sz w:val="17"/>
              </w:rPr>
            </w:r>
            <w:r>
              <w:rPr>
                <w:sz w:val="17"/>
              </w:rPr>
              <w:t>https:/​/​www.iso.org/​standard/​42001</w:t>
            </w:r>
          </w:p>
        </w:tc>
        <w:tc>
          <w:tcPr>
            <w:tcW w:type="dxa" w:w="1042"/>
          </w:tcPr>
          <w:p>
            <w:r>
              <w:rPr>
                <w:sz w:val="17"/>
              </w:rPr>
            </w:r>
            <w:r>
              <w:rPr>
                <w:sz w:val="17"/>
              </w:rPr>
              <w:t>2026-11-04</w:t>
            </w:r>
          </w:p>
        </w:tc>
      </w:tr>
      <w:tr>
        <w:trPr>
          <w:cantSplit/>
        </w:trPr>
        <w:tc>
          <w:tcPr>
            <w:tcW w:type="dxa" w:w="1220"/>
          </w:tcPr>
          <w:p>
            <w:r>
              <w:rPr>
                <w:sz w:val="17"/>
              </w:rPr>
            </w:r>
            <w:r>
              <w:rPr>
                <w:sz w:val="17"/>
              </w:rPr>
              <w:t>ED-ISO55001</w:t>
            </w:r>
          </w:p>
        </w:tc>
        <w:tc>
          <w:tcPr>
            <w:tcW w:type="dxa" w:w="2567"/>
          </w:tcPr>
          <w:p>
            <w:r>
              <w:rPr>
                <w:sz w:val="17"/>
              </w:rPr>
            </w:r>
            <w:r>
              <w:rPr>
                <w:sz w:val="17"/>
              </w:rPr>
              <w:t>ISO 55001 Asset management systems</w:t>
            </w:r>
          </w:p>
        </w:tc>
        <w:tc>
          <w:tcPr>
            <w:tcW w:type="dxa" w:w="3070"/>
          </w:tcPr>
          <w:p>
            <w:r>
              <w:rPr>
                <w:sz w:val="17"/>
              </w:rPr>
            </w:r>
            <w:r>
              <w:rPr>
                <w:sz w:val="17"/>
              </w:rPr>
              <w:t>2024, ed.2 (2014 withdrawn)</w:t>
            </w:r>
          </w:p>
        </w:tc>
        <w:tc>
          <w:tcPr>
            <w:tcW w:type="dxa" w:w="1042"/>
          </w:tcPr>
          <w:p>
            <w:r>
              <w:rPr>
                <w:sz w:val="17"/>
              </w:rPr>
            </w:r>
            <w:r>
              <w:rPr>
                <w:sz w:val="17"/>
              </w:rPr>
              <w:t>2024-07</w:t>
            </w:r>
          </w:p>
        </w:tc>
        <w:tc>
          <w:tcPr>
            <w:tcW w:type="dxa" w:w="3329"/>
          </w:tcPr>
          <w:p>
            <w:r>
              <w:rPr>
                <w:sz w:val="17"/>
              </w:rPr>
            </w:r>
            <w:r>
              <w:rPr>
                <w:sz w:val="17"/>
              </w:rPr>
              <w:t>Asset-management interface (BBM-STD-02, 75)</w:t>
            </w:r>
          </w:p>
        </w:tc>
        <w:tc>
          <w:tcPr>
            <w:tcW w:type="dxa" w:w="3129"/>
          </w:tcPr>
          <w:p>
            <w:r>
              <w:rPr>
                <w:sz w:val="17"/>
              </w:rPr>
            </w:r>
            <w:r>
              <w:rPr>
                <w:sz w:val="17"/>
              </w:rPr>
              <w:t>https:/​/​www.iso.org/​standard/​83054.html</w:t>
            </w:r>
          </w:p>
        </w:tc>
        <w:tc>
          <w:tcPr>
            <w:tcW w:type="dxa" w:w="1042"/>
          </w:tcPr>
          <w:p>
            <w:r>
              <w:rPr>
                <w:sz w:val="17"/>
              </w:rPr>
            </w:r>
            <w:r>
              <w:rPr>
                <w:sz w:val="17"/>
              </w:rPr>
              <w:t>2026-11-04</w:t>
            </w:r>
          </w:p>
        </w:tc>
      </w:tr>
      <w:tr>
        <w:trPr>
          <w:cantSplit/>
        </w:trPr>
        <w:tc>
          <w:tcPr>
            <w:tcW w:type="dxa" w:w="1220"/>
          </w:tcPr>
          <w:p>
            <w:r>
              <w:rPr>
                <w:sz w:val="17"/>
              </w:rPr>
            </w:r>
            <w:r>
              <w:rPr>
                <w:sz w:val="17"/>
              </w:rPr>
              <w:t>ED-ISO22057</w:t>
            </w:r>
          </w:p>
        </w:tc>
        <w:tc>
          <w:tcPr>
            <w:tcW w:type="dxa" w:w="2567"/>
          </w:tcPr>
          <w:p>
            <w:r>
              <w:rPr>
                <w:sz w:val="17"/>
              </w:rPr>
            </w:r>
            <w:r>
              <w:rPr>
                <w:sz w:val="17"/>
              </w:rPr>
              <w:t>ISO 22057 EPD data templates for BIM; RICS WLCA</w:t>
            </w:r>
          </w:p>
        </w:tc>
        <w:tc>
          <w:tcPr>
            <w:tcW w:type="dxa" w:w="3070"/>
          </w:tcPr>
          <w:p>
            <w:r>
              <w:rPr>
                <w:sz w:val="17"/>
              </w:rPr>
            </w:r>
            <w:r>
              <w:rPr>
                <w:sz w:val="17"/>
              </w:rPr>
              <w:t>ISO 22057:2022 (under revision); RICS whole life carbon assessment 2nd ed. effective 1 Jul 2024</w:t>
            </w:r>
          </w:p>
        </w:tc>
        <w:tc>
          <w:tcPr>
            <w:tcW w:type="dxa" w:w="1042"/>
          </w:tcPr>
          <w:p>
            <w:r>
              <w:rPr>
                <w:sz w:val="17"/>
              </w:rPr>
            </w:r>
            <w:r>
              <w:rPr>
                <w:sz w:val="17"/>
              </w:rPr>
              <w:t>2022 /​ 2024-07-01</w:t>
            </w:r>
          </w:p>
        </w:tc>
        <w:tc>
          <w:tcPr>
            <w:tcW w:type="dxa" w:w="3329"/>
          </w:tcPr>
          <w:p>
            <w:r>
              <w:rPr>
                <w:sz w:val="17"/>
              </w:rPr>
            </w:r>
            <w:r>
              <w:rPr>
                <w:sz w:val="17"/>
              </w:rPr>
              <w:t>Carbon data (BBM-STD-81)</w:t>
            </w:r>
          </w:p>
        </w:tc>
        <w:tc>
          <w:tcPr>
            <w:tcW w:type="dxa" w:w="3129"/>
          </w:tcPr>
          <w:p>
            <w:r>
              <w:rPr>
                <w:sz w:val="17"/>
              </w:rPr>
            </w:r>
            <w:r>
              <w:rPr>
                <w:sz w:val="17"/>
              </w:rPr>
              <w:t>https:/​/​www.iso.org/​standard/​72463.html</w:t>
            </w:r>
          </w:p>
        </w:tc>
        <w:tc>
          <w:tcPr>
            <w:tcW w:type="dxa" w:w="1042"/>
          </w:tcPr>
          <w:p>
            <w:r>
              <w:rPr>
                <w:sz w:val="17"/>
              </w:rPr>
            </w:r>
            <w:r>
              <w:rPr>
                <w:sz w:val="17"/>
              </w:rPr>
              <w:t>2026-11-04</w:t>
            </w:r>
          </w:p>
        </w:tc>
      </w:tr>
      <w:tr>
        <w:trPr>
          <w:cantSplit/>
        </w:trPr>
        <w:tc>
          <w:tcPr>
            <w:tcW w:type="dxa" w:w="1220"/>
          </w:tcPr>
          <w:p>
            <w:r>
              <w:rPr>
                <w:sz w:val="17"/>
              </w:rPr>
            </w:r>
            <w:r>
              <w:rPr>
                <w:sz w:val="17"/>
              </w:rPr>
              <w:t>ED-PAS1958</w:t>
            </w:r>
          </w:p>
        </w:tc>
        <w:tc>
          <w:tcPr>
            <w:tcW w:type="dxa" w:w="2567"/>
          </w:tcPr>
          <w:p>
            <w:r>
              <w:rPr>
                <w:sz w:val="17"/>
              </w:rPr>
            </w:r>
            <w:r>
              <w:rPr>
                <w:sz w:val="17"/>
              </w:rPr>
              <w:t>PAS 1958 Built environment data and information standards landscape. Guide</w:t>
            </w:r>
          </w:p>
        </w:tc>
        <w:tc>
          <w:tcPr>
            <w:tcW w:type="dxa" w:w="3070"/>
          </w:tcPr>
          <w:p>
            <w:r>
              <w:rPr>
                <w:sz w:val="17"/>
              </w:rPr>
            </w:r>
            <w:r>
              <w:rPr>
                <w:sz w:val="17"/>
              </w:rPr>
              <w:t>PAS 1958:2026, current</w:t>
            </w:r>
          </w:p>
        </w:tc>
        <w:tc>
          <w:tcPr>
            <w:tcW w:type="dxa" w:w="1042"/>
          </w:tcPr>
          <w:p>
            <w:r>
              <w:rPr>
                <w:sz w:val="17"/>
              </w:rPr>
            </w:r>
            <w:r>
              <w:rPr>
                <w:sz w:val="17"/>
              </w:rPr>
              <w:t>2026-03-31</w:t>
            </w:r>
          </w:p>
        </w:tc>
        <w:tc>
          <w:tcPr>
            <w:tcW w:type="dxa" w:w="3329"/>
          </w:tcPr>
          <w:p>
            <w:r>
              <w:rPr>
                <w:sz w:val="17"/>
              </w:rPr>
            </w:r>
            <w:r>
              <w:rPr>
                <w:sz w:val="17"/>
              </w:rPr>
              <w:t>Data/​AI readiness reference (BBM-STD-92)</w:t>
            </w:r>
          </w:p>
        </w:tc>
        <w:tc>
          <w:tcPr>
            <w:tcW w:type="dxa" w:w="3129"/>
          </w:tcPr>
          <w:p>
            <w:r>
              <w:rPr>
                <w:sz w:val="17"/>
              </w:rPr>
            </w:r>
            <w:r>
              <w:rPr>
                <w:sz w:val="17"/>
              </w:rPr>
              <w:t>https:/​/​knowledge.bsigroup.com/​search?query=PAS%201958</w:t>
            </w:r>
          </w:p>
        </w:tc>
        <w:tc>
          <w:tcPr>
            <w:tcW w:type="dxa" w:w="1042"/>
          </w:tcPr>
          <w:p>
            <w:r>
              <w:rPr>
                <w:sz w:val="17"/>
              </w:rPr>
            </w:r>
            <w:r>
              <w:rPr>
                <w:sz w:val="17"/>
              </w:rPr>
              <w:t>2026-11-04</w:t>
            </w:r>
          </w:p>
        </w:tc>
      </w:tr>
      <w:tr>
        <w:trPr>
          <w:cantSplit/>
        </w:trPr>
        <w:tc>
          <w:tcPr>
            <w:tcW w:type="dxa" w:w="1220"/>
          </w:tcPr>
          <w:p>
            <w:r>
              <w:rPr>
                <w:sz w:val="17"/>
              </w:rPr>
            </w:r>
            <w:r>
              <w:rPr>
                <w:sz w:val="17"/>
              </w:rPr>
              <w:t>ED-COBIE</w:t>
            </w:r>
          </w:p>
        </w:tc>
        <w:tc>
          <w:tcPr>
            <w:tcW w:type="dxa" w:w="2567"/>
          </w:tcPr>
          <w:p>
            <w:r>
              <w:rPr>
                <w:sz w:val="17"/>
              </w:rPr>
            </w:r>
            <w:r>
              <w:rPr>
                <w:sz w:val="17"/>
              </w:rPr>
              <w:t>COBie (NIBS NBIMS-US)</w:t>
            </w:r>
          </w:p>
        </w:tc>
        <w:tc>
          <w:tcPr>
            <w:tcW w:type="dxa" w:w="3070"/>
          </w:tcPr>
          <w:p>
            <w:r>
              <w:rPr>
                <w:sz w:val="17"/>
              </w:rPr>
            </w:r>
            <w:r>
              <w:rPr>
                <w:sz w:val="17"/>
              </w:rPr>
              <w:t>COBie 2.4 (NBIMS-US V3, 2015) default; COBie V3.0 published 2023 as part of NBIMS-US V4 (NIBS version history)</w:t>
            </w:r>
          </w:p>
        </w:tc>
        <w:tc>
          <w:tcPr>
            <w:tcW w:type="dxa" w:w="1042"/>
          </w:tcPr>
          <w:p>
            <w:r>
              <w:rPr>
                <w:sz w:val="17"/>
              </w:rPr>
            </w:r>
            <w:r>
              <w:rPr>
                <w:sz w:val="17"/>
              </w:rPr>
              <w:t>—</w:t>
            </w:r>
          </w:p>
        </w:tc>
        <w:tc>
          <w:tcPr>
            <w:tcW w:type="dxa" w:w="3329"/>
          </w:tcPr>
          <w:p>
            <w:r>
              <w:rPr>
                <w:sz w:val="17"/>
              </w:rPr>
            </w:r>
            <w:r>
              <w:rPr>
                <w:sz w:val="17"/>
              </w:rPr>
              <w:t>Delivered when the EIR requires; version as the EIR specifies; default COBie 2.4 unless the EIR names v3 (O-DEC-114)</w:t>
            </w:r>
          </w:p>
        </w:tc>
        <w:tc>
          <w:tcPr>
            <w:tcW w:type="dxa" w:w="3129"/>
          </w:tcPr>
          <w:p>
            <w:r>
              <w:rPr>
                <w:sz w:val="17"/>
              </w:rPr>
            </w:r>
            <w:r>
              <w:rPr>
                <w:sz w:val="17"/>
              </w:rPr>
              <w:t>https:/​/​nibs.org/​nbims/​v4/​resources/​ ; https:/​/​nibs.org/​nbims/​v3/​cobie/​2-7</w:t>
            </w:r>
          </w:p>
        </w:tc>
        <w:tc>
          <w:tcPr>
            <w:tcW w:type="dxa" w:w="1042"/>
          </w:tcPr>
          <w:p>
            <w:r>
              <w:rPr>
                <w:sz w:val="17"/>
              </w:rPr>
            </w:r>
            <w:r>
              <w:rPr>
                <w:sz w:val="17"/>
              </w:rPr>
              <w:t>2026-11-05</w:t>
            </w:r>
          </w:p>
        </w:tc>
      </w:tr>
      <w:tr>
        <w:trPr>
          <w:cantSplit/>
        </w:trPr>
        <w:tc>
          <w:tcPr>
            <w:tcW w:type="dxa" w:w="1220"/>
          </w:tcPr>
          <w:p>
            <w:r>
              <w:rPr>
                <w:sz w:val="17"/>
              </w:rPr>
            </w:r>
            <w:r>
              <w:rPr>
                <w:sz w:val="17"/>
              </w:rPr>
              <w:t>ED-IMI</w:t>
            </w:r>
          </w:p>
        </w:tc>
        <w:tc>
          <w:tcPr>
            <w:tcW w:type="dxa" w:w="2567"/>
          </w:tcPr>
          <w:p>
            <w:r>
              <w:rPr>
                <w:sz w:val="17"/>
              </w:rPr>
            </w:r>
            <w:r>
              <w:rPr>
                <w:sz w:val="17"/>
              </w:rPr>
              <w:t>IMI Framework (formerly UK BIM Framework, renamed May 2025) guidance</w:t>
            </w:r>
          </w:p>
        </w:tc>
        <w:tc>
          <w:tcPr>
            <w:tcW w:type="dxa" w:w="3070"/>
          </w:tcPr>
          <w:p>
            <w:r>
              <w:rPr>
                <w:sz w:val="17"/>
              </w:rPr>
            </w:r>
            <w:r>
              <w:rPr>
                <w:sz w:val="17"/>
              </w:rPr>
              <w:t>Guidance Parts A–F archived (A/​D/​E ed.2 Feb 2021 retained as archived explanatory editions)</w:t>
            </w:r>
          </w:p>
        </w:tc>
        <w:tc>
          <w:tcPr>
            <w:tcW w:type="dxa" w:w="1042"/>
          </w:tcPr>
          <w:p>
            <w:r>
              <w:rPr>
                <w:sz w:val="17"/>
              </w:rPr>
            </w:r>
            <w:r>
              <w:rPr>
                <w:sz w:val="17"/>
              </w:rPr>
              <w:t>2025-05</w:t>
            </w:r>
          </w:p>
        </w:tc>
        <w:tc>
          <w:tcPr>
            <w:tcW w:type="dxa" w:w="3329"/>
          </w:tcPr>
          <w:p>
            <w:r>
              <w:rPr>
                <w:sz w:val="17"/>
              </w:rPr>
            </w:r>
            <w:r>
              <w:rPr>
                <w:sz w:val="17"/>
              </w:rPr>
              <w:t>Explanatory only; not UAE statute</w:t>
            </w:r>
          </w:p>
        </w:tc>
        <w:tc>
          <w:tcPr>
            <w:tcW w:type="dxa" w:w="3129"/>
          </w:tcPr>
          <w:p>
            <w:r>
              <w:rPr>
                <w:sz w:val="17"/>
              </w:rPr>
            </w:r>
            <w:r>
              <w:rPr>
                <w:sz w:val="17"/>
              </w:rPr>
              <w:t>https:/​/​ukbimframework.org/​resources/​</w:t>
            </w:r>
          </w:p>
        </w:tc>
        <w:tc>
          <w:tcPr>
            <w:tcW w:type="dxa" w:w="1042"/>
          </w:tcPr>
          <w:p>
            <w:r>
              <w:rPr>
                <w:sz w:val="17"/>
              </w:rPr>
            </w:r>
            <w:r>
              <w:rPr>
                <w:sz w:val="17"/>
              </w:rPr>
              <w:t>2026-11-04</w:t>
            </w:r>
          </w:p>
        </w:tc>
      </w:tr>
      <w:tr>
        <w:trPr>
          <w:cantSplit/>
        </w:trPr>
        <w:tc>
          <w:tcPr>
            <w:tcW w:type="dxa" w:w="1220"/>
          </w:tcPr>
          <w:p>
            <w:r>
              <w:rPr>
                <w:sz w:val="17"/>
              </w:rPr>
            </w:r>
            <w:r>
              <w:rPr>
                <w:sz w:val="17"/>
              </w:rPr>
              <w:t>ED-INFO-PROTOCOL</w:t>
            </w:r>
          </w:p>
        </w:tc>
        <w:tc>
          <w:tcPr>
            <w:tcW w:type="dxa" w:w="2567"/>
          </w:tcPr>
          <w:p>
            <w:r>
              <w:rPr>
                <w:sz w:val="17"/>
              </w:rPr>
            </w:r>
            <w:r>
              <w:rPr>
                <w:sz w:val="17"/>
              </w:rPr>
              <w:t>IMI Framework Information Protocol template for BS EN ISO 19650-2</w:t>
            </w:r>
          </w:p>
        </w:tc>
        <w:tc>
          <w:tcPr>
            <w:tcW w:type="dxa" w:w="3070"/>
          </w:tcPr>
          <w:p>
            <w:r>
              <w:rPr>
                <w:sz w:val="17"/>
              </w:rPr>
            </w:r>
            <w:r>
              <w:rPr>
                <w:sz w:val="17"/>
              </w:rPr>
              <w:t>Template Ed 6 for new appointments; protocol guidance ed.3 (Aug 2022)</w:t>
            </w:r>
          </w:p>
        </w:tc>
        <w:tc>
          <w:tcPr>
            <w:tcW w:type="dxa" w:w="1042"/>
          </w:tcPr>
          <w:p>
            <w:r>
              <w:rPr>
                <w:sz w:val="17"/>
              </w:rPr>
            </w:r>
            <w:r>
              <w:rPr>
                <w:sz w:val="17"/>
              </w:rPr>
              <w:t>2022 /​ live</w:t>
            </w:r>
          </w:p>
        </w:tc>
        <w:tc>
          <w:tcPr>
            <w:tcW w:type="dxa" w:w="3329"/>
          </w:tcPr>
          <w:p>
            <w:r>
              <w:rPr>
                <w:sz w:val="17"/>
              </w:rPr>
            </w:r>
            <w:r>
              <w:rPr>
                <w:sz w:val="17"/>
              </w:rPr>
              <w:t>Protocol baseline for BBM-STD-56; the one dated entry all docs cite</w:t>
            </w:r>
          </w:p>
        </w:tc>
        <w:tc>
          <w:tcPr>
            <w:tcW w:type="dxa" w:w="3129"/>
          </w:tcPr>
          <w:p>
            <w:r>
              <w:rPr>
                <w:sz w:val="17"/>
              </w:rPr>
            </w:r>
            <w:r>
              <w:rPr>
                <w:sz w:val="17"/>
              </w:rPr>
              <w:t>https:/​/​ukbimframework.org/​resources/​</w:t>
            </w:r>
          </w:p>
        </w:tc>
        <w:tc>
          <w:tcPr>
            <w:tcW w:type="dxa" w:w="1042"/>
          </w:tcPr>
          <w:p>
            <w:r>
              <w:rPr>
                <w:sz w:val="17"/>
              </w:rPr>
            </w:r>
            <w:r>
              <w:rPr>
                <w:sz w:val="17"/>
              </w:rPr>
              <w:t>2026-11-04</w:t>
            </w:r>
          </w:p>
        </w:tc>
      </w:tr>
      <w:tr>
        <w:trPr>
          <w:cantSplit/>
        </w:trPr>
        <w:tc>
          <w:tcPr>
            <w:tcW w:type="dxa" w:w="1220"/>
          </w:tcPr>
          <w:p>
            <w:r>
              <w:rPr>
                <w:sz w:val="17"/>
              </w:rPr>
            </w:r>
            <w:r>
              <w:rPr>
                <w:sz w:val="17"/>
              </w:rPr>
              <w:t>ED-CIC-PROTOCOL</w:t>
            </w:r>
          </w:p>
        </w:tc>
        <w:tc>
          <w:tcPr>
            <w:tcW w:type="dxa" w:w="2567"/>
          </w:tcPr>
          <w:p>
            <w:r>
              <w:rPr>
                <w:sz w:val="17"/>
              </w:rPr>
            </w:r>
            <w:r>
              <w:rPr>
                <w:sz w:val="17"/>
              </w:rPr>
              <w:t>CIC BIM Protocol</w:t>
            </w:r>
          </w:p>
        </w:tc>
        <w:tc>
          <w:tcPr>
            <w:tcW w:type="dxa" w:w="3070"/>
          </w:tcPr>
          <w:p>
            <w:r>
              <w:rPr>
                <w:sz w:val="17"/>
              </w:rPr>
            </w:r>
            <w:r>
              <w:rPr>
                <w:sz w:val="17"/>
              </w:rPr>
              <w:t>2nd ed. 2018, legacy (PAS 1192 era)</w:t>
            </w:r>
          </w:p>
        </w:tc>
        <w:tc>
          <w:tcPr>
            <w:tcW w:type="dxa" w:w="1042"/>
          </w:tcPr>
          <w:p>
            <w:r>
              <w:rPr>
                <w:sz w:val="17"/>
              </w:rPr>
            </w:r>
            <w:r>
              <w:rPr>
                <w:sz w:val="17"/>
              </w:rPr>
              <w:t>2018</w:t>
            </w:r>
          </w:p>
        </w:tc>
        <w:tc>
          <w:tcPr>
            <w:tcW w:type="dxa" w:w="3329"/>
          </w:tcPr>
          <w:p>
            <w:r>
              <w:rPr>
                <w:sz w:val="17"/>
              </w:rPr>
            </w:r>
            <w:r>
              <w:rPr>
                <w:sz w:val="17"/>
              </w:rPr>
              <w:t>Do not use for new appointments</w:t>
            </w:r>
          </w:p>
        </w:tc>
        <w:tc>
          <w:tcPr>
            <w:tcW w:type="dxa" w:w="3129"/>
          </w:tcPr>
          <w:p>
            <w:r>
              <w:rPr>
                <w:sz w:val="17"/>
              </w:rPr>
            </w:r>
            <w:r>
              <w:rPr>
                <w:sz w:val="17"/>
              </w:rPr>
              <w:t>https:/​/​www.cic.org.uk/​shop/​cic-bim-protocol-2nd-edition</w:t>
            </w:r>
          </w:p>
        </w:tc>
        <w:tc>
          <w:tcPr>
            <w:tcW w:type="dxa" w:w="1042"/>
          </w:tcPr>
          <w:p>
            <w:r>
              <w:rPr>
                <w:sz w:val="17"/>
              </w:rPr>
            </w:r>
            <w:r>
              <w:rPr>
                <w:sz w:val="17"/>
              </w:rPr>
              <w:t>2026-11-04</w:t>
            </w:r>
          </w:p>
        </w:tc>
      </w:tr>
      <w:tr>
        <w:trPr/>
        <w:tc>
          <w:tcPr>
            <w:tcW w:type="dxa" w:w="1220"/>
          </w:tcPr>
          <w:p>
            <w:r>
              <w:rPr>
                <w:sz w:val="17"/>
              </w:rPr>
            </w:r>
            <w:r>
              <w:rPr>
                <w:sz w:val="17"/>
              </w:rPr>
              <w:t>ED-BS1192</w:t>
            </w:r>
          </w:p>
        </w:tc>
        <w:tc>
          <w:tcPr>
            <w:tcW w:type="dxa" w:w="2567"/>
          </w:tcPr>
          <w:p>
            <w:r>
              <w:rPr>
                <w:sz w:val="17"/>
              </w:rPr>
            </w:r>
            <w:r>
              <w:rPr>
                <w:sz w:val="17"/>
              </w:rPr>
              <w:t>BS 1192 /​ PAS 1192 family; BS 8536</w:t>
            </w:r>
          </w:p>
        </w:tc>
        <w:tc>
          <w:tcPr>
            <w:tcW w:type="dxa" w:w="3070"/>
          </w:tcPr>
          <w:p>
            <w:r>
              <w:rPr>
                <w:sz w:val="17"/>
              </w:rPr>
            </w:r>
            <w:r>
              <w:rPr>
                <w:sz w:val="17"/>
              </w:rPr>
              <w:t>WITHDRAWN: BS 1192:2007+A2:2016 16 Jan 2019; PAS 1192-2 18 Jan 2019; PAS 1192-3 18 Aug 2020; PAS 1192-5 1 Jul 2020; BS 1192-4 16 Sep 2022; PAS 1192-6 23 Jan 2025. BS 8536:2022 supersedes BS 8536-1/​-2</w:t>
            </w:r>
          </w:p>
        </w:tc>
        <w:tc>
          <w:tcPr>
            <w:tcW w:type="dxa" w:w="1042"/>
          </w:tcPr>
          <w:p>
            <w:r>
              <w:rPr>
                <w:sz w:val="17"/>
              </w:rPr>
            </w:r>
            <w:r>
              <w:rPr>
                <w:sz w:val="17"/>
              </w:rPr>
              <w:t>as listed</w:t>
            </w:r>
          </w:p>
        </w:tc>
        <w:tc>
          <w:tcPr>
            <w:tcW w:type="dxa" w:w="3329"/>
          </w:tcPr>
          <w:p>
            <w:r>
              <w:rPr>
                <w:sz w:val="17"/>
              </w:rPr>
            </w:r>
            <w:r>
              <w:rPr>
                <w:sz w:val="17"/>
              </w:rPr>
              <w:t>Successors ISO 19650-1/​-2/​-3/​-5/​-6. Legacy mapping only through §3.1; never cited as current</w:t>
            </w:r>
          </w:p>
        </w:tc>
        <w:tc>
          <w:tcPr>
            <w:tcW w:type="dxa" w:w="3129"/>
          </w:tcPr>
          <w:p>
            <w:r>
              <w:rPr>
                <w:sz w:val="17"/>
              </w:rPr>
            </w:r>
            <w:r>
              <w:rPr>
                <w:sz w:val="17"/>
              </w:rPr>
              <w:t>https:/​/​knowledge.bsigroup.com/​products/​specification-for-information-management-for-the-capital-delivery-phase-of-construction-projects-using-building-information-modelling</w:t>
            </w:r>
          </w:p>
        </w:tc>
        <w:tc>
          <w:tcPr>
            <w:tcW w:type="dxa" w:w="1042"/>
          </w:tcPr>
          <w:p>
            <w:r>
              <w:rPr>
                <w:sz w:val="17"/>
              </w:rPr>
            </w:r>
            <w:r>
              <w:rPr>
                <w:sz w:val="17"/>
              </w:rPr>
              <w:t>2026-11-04</w:t>
            </w:r>
          </w:p>
        </w:tc>
      </w:tr>
      <w:tr>
        <w:trPr/>
        <w:tc>
          <w:tcPr>
            <w:tcW w:type="dxa" w:w="1220"/>
          </w:tcPr>
          <w:p>
            <w:r>
              <w:rPr>
                <w:sz w:val="17"/>
              </w:rPr>
            </w:r>
            <w:r>
              <w:rPr>
                <w:sz w:val="17"/>
              </w:rPr>
              <w:t>ED-REVIT</w:t>
            </w:r>
          </w:p>
        </w:tc>
        <w:tc>
          <w:tcPr>
            <w:tcW w:type="dxa" w:w="2567"/>
          </w:tcPr>
          <w:p>
            <w:r>
              <w:rPr>
                <w:sz w:val="17"/>
              </w:rPr>
            </w:r>
            <w:r>
              <w:rPr>
                <w:sz w:val="17"/>
              </w:rPr>
              <w:t>Autodesk Revit supported releases and IFC exporter</w:t>
            </w:r>
          </w:p>
        </w:tc>
        <w:tc>
          <w:tcPr>
            <w:tcW w:type="dxa" w:w="3070"/>
          </w:tcPr>
          <w:p>
            <w:r>
              <w:rPr>
                <w:sz w:val="17"/>
              </w:rPr>
            </w:r>
            <w:r>
              <w:rPr>
                <w:sz w:val="17"/>
              </w:rPr>
              <w:t>Supported 2024, 2025, 2026, 2027; 2023 out of Autodesk support (legacy, existing projects only with risk acceptance and upgrade plan); latest update 2027.3; IFC exporter 27.4.0.30 exports IFC4x3</w:t>
            </w:r>
          </w:p>
        </w:tc>
        <w:tc>
          <w:tcPr>
            <w:tcW w:type="dxa" w:w="1042"/>
          </w:tcPr>
          <w:p>
            <w:r>
              <w:rPr>
                <w:sz w:val="17"/>
              </w:rPr>
            </w:r>
            <w:r>
              <w:rPr>
                <w:sz w:val="17"/>
              </w:rPr>
              <w:t>2026-09-15 /​ 2026-10-30</w:t>
            </w:r>
          </w:p>
        </w:tc>
        <w:tc>
          <w:tcPr>
            <w:tcW w:type="dxa" w:w="3329"/>
          </w:tcPr>
          <w:p>
            <w:r>
              <w:rPr>
                <w:sz w:val="17"/>
              </w:rPr>
            </w:r>
            <w:r>
              <w:rPr>
                <w:sz w:val="17"/>
              </w:rPr>
              <w:t>Matrix in BBM-STD-91 (O-DEC-120); IFC 4.3 RV only after a test export from the project build passes the project IDS</w:t>
            </w:r>
          </w:p>
        </w:tc>
        <w:tc>
          <w:tcPr>
            <w:tcW w:type="dxa" w:w="3129"/>
          </w:tcPr>
          <w:p>
            <w:r>
              <w:rPr>
                <w:sz w:val="17"/>
              </w:rPr>
            </w:r>
            <w:r>
              <w:rPr>
                <w:sz w:val="17"/>
              </w:rPr>
              <w:t>https:/​/​www.autodesk.com/​support/​account/​manage/​versions/​previous-versions ; https:/​/​github.com/​Autodesk/​revit-ifc/​releases</w:t>
            </w:r>
          </w:p>
        </w:tc>
        <w:tc>
          <w:tcPr>
            <w:tcW w:type="dxa" w:w="1042"/>
          </w:tcPr>
          <w:p>
            <w:r>
              <w:rPr>
                <w:sz w:val="17"/>
              </w:rPr>
            </w:r>
            <w:r>
              <w:rPr>
                <w:sz w:val="17"/>
              </w:rPr>
              <w:t>2026-11-04</w:t>
            </w:r>
          </w:p>
        </w:tc>
      </w:tr>
    </w:tbl>
    <w:p/>
    <w:p>
      <w:pPr/>
      <w:r>
        <w:rPr>
          <w:b/>
        </w:rPr>
        <w:t>UAE instruments</w:t>
      </w:r>
      <w:r>
        <w:t xml:space="preserve"> (requirement detail in BBM-STD-85; jurisdiction applicability per project through BBM-STD-57 and the BoD). There is no UAE federal BIM mandate, and no universal Abu Dhabi building-permit BIM threshold was found.</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63"/>
        <w:gridCol w:w="1651"/>
        <w:gridCol w:w="5559"/>
        <w:gridCol w:w="1103"/>
        <w:gridCol w:w="1848"/>
        <w:gridCol w:w="3131"/>
        <w:gridCol w:w="1043"/>
      </w:tblGrid>
      <w:tr>
        <w:trPr>
          <w:cantSplit/>
          <w:tblHeader/>
        </w:trPr>
        <w:tc>
          <w:tcPr>
            <w:tcW w:type="dxa" w:w="1063"/>
            <w:shd w:val="clear" w:color="auto" w:fill="111113"/>
          </w:tcPr>
          <w:p>
            <w:r>
              <w:rPr>
                <w:b/>
                <w:color w:val="FFFFFF"/>
                <w:sz w:val="17"/>
              </w:rPr>
            </w:r>
            <w:r>
              <w:rPr>
                <w:b/>
                <w:color w:val="FFFFFF"/>
                <w:sz w:val="17"/>
              </w:rPr>
              <w:t>ID</w:t>
            </w:r>
          </w:p>
        </w:tc>
        <w:tc>
          <w:tcPr>
            <w:tcW w:type="dxa" w:w="1651"/>
            <w:shd w:val="clear" w:color="auto" w:fill="111113"/>
          </w:tcPr>
          <w:p>
            <w:r>
              <w:rPr>
                <w:b/>
                <w:color w:val="FFFFFF"/>
                <w:sz w:val="17"/>
              </w:rPr>
            </w:r>
            <w:r>
              <w:rPr>
                <w:b/>
                <w:color w:val="FFFFFF"/>
                <w:sz w:val="17"/>
              </w:rPr>
              <w:t>Instrument</w:t>
            </w:r>
          </w:p>
        </w:tc>
        <w:tc>
          <w:tcPr>
            <w:tcW w:type="dxa" w:w="5559"/>
            <w:shd w:val="clear" w:color="auto" w:fill="111113"/>
          </w:tcPr>
          <w:p>
            <w:r>
              <w:rPr>
                <w:b/>
                <w:color w:val="FFFFFF"/>
                <w:sz w:val="17"/>
              </w:rPr>
            </w:r>
            <w:r>
              <w:rPr>
                <w:b/>
                <w:color w:val="FFFFFF"/>
                <w:sz w:val="17"/>
              </w:rPr>
              <w:t>Edition /​ status</w:t>
            </w:r>
          </w:p>
        </w:tc>
        <w:tc>
          <w:tcPr>
            <w:tcW w:type="dxa" w:w="1103"/>
            <w:shd w:val="clear" w:color="auto" w:fill="111113"/>
          </w:tcPr>
          <w:p>
            <w:r>
              <w:rPr>
                <w:b/>
                <w:color w:val="FFFFFF"/>
                <w:sz w:val="17"/>
              </w:rPr>
            </w:r>
            <w:r>
              <w:rPr>
                <w:b/>
                <w:color w:val="FFFFFF"/>
                <w:sz w:val="17"/>
              </w:rPr>
              <w:t>Date</w:t>
            </w:r>
          </w:p>
        </w:tc>
        <w:tc>
          <w:tcPr>
            <w:tcW w:type="dxa" w:w="1848"/>
            <w:shd w:val="clear" w:color="auto" w:fill="111113"/>
          </w:tcPr>
          <w:p>
            <w:r>
              <w:rPr>
                <w:b/>
                <w:color w:val="FFFFFF"/>
                <w:sz w:val="17"/>
              </w:rPr>
            </w:r>
            <w:r>
              <w:rPr>
                <w:b/>
                <w:color w:val="FFFFFF"/>
                <w:sz w:val="17"/>
              </w:rPr>
              <w:t>Office treatment</w:t>
            </w:r>
          </w:p>
        </w:tc>
        <w:tc>
          <w:tcPr>
            <w:tcW w:type="dxa" w:w="3131"/>
            <w:shd w:val="clear" w:color="auto" w:fill="111113"/>
          </w:tcPr>
          <w:p>
            <w:r>
              <w:rPr>
                <w:b/>
                <w:color w:val="FFFFFF"/>
                <w:sz w:val="17"/>
              </w:rPr>
            </w:r>
            <w:r>
              <w:rPr>
                <w:b/>
                <w:color w:val="FFFFFF"/>
                <w:sz w:val="17"/>
              </w:rPr>
              <w:t>Primary URL</w:t>
            </w:r>
          </w:p>
        </w:tc>
        <w:tc>
          <w:tcPr>
            <w:tcW w:type="dxa" w:w="1043"/>
            <w:shd w:val="clear" w:color="auto" w:fill="111113"/>
          </w:tcPr>
          <w:p>
            <w:r>
              <w:rPr>
                <w:b/>
                <w:color w:val="FFFFFF"/>
                <w:sz w:val="17"/>
              </w:rPr>
            </w:r>
            <w:r>
              <w:rPr>
                <w:b/>
                <w:color w:val="FFFFFF"/>
                <w:sz w:val="17"/>
              </w:rPr>
              <w:t>Checked</w:t>
            </w:r>
          </w:p>
        </w:tc>
      </w:tr>
      <w:tr>
        <w:trPr>
          <w:cantSplit/>
        </w:trPr>
        <w:tc>
          <w:tcPr>
            <w:tcW w:type="dxa" w:w="1063"/>
          </w:tcPr>
          <w:p>
            <w:r>
              <w:rPr>
                <w:sz w:val="17"/>
              </w:rPr>
            </w:r>
            <w:r>
              <w:rPr>
                <w:sz w:val="17"/>
              </w:rPr>
              <w:t>ED-DM-196-207</w:t>
            </w:r>
          </w:p>
        </w:tc>
        <w:tc>
          <w:tcPr>
            <w:tcW w:type="dxa" w:w="1651"/>
          </w:tcPr>
          <w:p>
            <w:r>
              <w:rPr>
                <w:sz w:val="17"/>
              </w:rPr>
            </w:r>
            <w:r>
              <w:rPr>
                <w:sz w:val="17"/>
              </w:rPr>
              <w:t>DM BIM circulars 196 (2013) and 207 (2015)</w:t>
            </w:r>
          </w:p>
        </w:tc>
        <w:tc>
          <w:tcPr>
            <w:tcW w:type="dxa" w:w="5559"/>
          </w:tcPr>
          <w:p>
            <w:r>
              <w:rPr>
                <w:sz w:val="17"/>
              </w:rPr>
            </w:r>
            <w:r>
              <w:rPr>
                <w:sz w:val="17"/>
              </w:rPr>
              <w:t>Earlier circulars, cited by circular 9-1-2</w:t>
            </w:r>
          </w:p>
        </w:tc>
        <w:tc>
          <w:tcPr>
            <w:tcW w:type="dxa" w:w="1103"/>
          </w:tcPr>
          <w:p>
            <w:r>
              <w:rPr>
                <w:sz w:val="17"/>
              </w:rPr>
            </w:r>
            <w:r>
              <w:rPr>
                <w:sz w:val="17"/>
              </w:rPr>
              <w:t>2013 /​ 2015</w:t>
            </w:r>
          </w:p>
        </w:tc>
        <w:tc>
          <w:tcPr>
            <w:tcW w:type="dxa" w:w="1848"/>
          </w:tcPr>
          <w:p>
            <w:r>
              <w:rPr>
                <w:sz w:val="17"/>
              </w:rPr>
            </w:r>
            <w:r>
              <w:rPr>
                <w:sz w:val="17"/>
              </w:rPr>
              <w:t>Historical context only</w:t>
            </w:r>
          </w:p>
        </w:tc>
        <w:tc>
          <w:tcPr>
            <w:tcW w:type="dxa" w:w="3131"/>
          </w:tcPr>
          <w:p>
            <w:r>
              <w:rPr>
                <w:sz w:val="17"/>
              </w:rPr>
            </w:r>
            <w:r>
              <w:rPr>
                <w:sz w:val="17"/>
              </w:rPr>
              <w:t>https:/​/​dmpmedia.dm.gov.ae/​uploads/​2023/​10/​تعميم-BIM-9-1-2.pdf</w:t>
            </w:r>
          </w:p>
        </w:tc>
        <w:tc>
          <w:tcPr>
            <w:tcW w:type="dxa" w:w="1043"/>
          </w:tcPr>
          <w:p>
            <w:r>
              <w:rPr>
                <w:sz w:val="17"/>
              </w:rPr>
            </w:r>
            <w:r>
              <w:rPr>
                <w:sz w:val="17"/>
              </w:rPr>
              <w:t>2026-11-04</w:t>
            </w:r>
          </w:p>
        </w:tc>
      </w:tr>
      <w:tr>
        <w:trPr>
          <w:cantSplit/>
        </w:trPr>
        <w:tc>
          <w:tcPr>
            <w:tcW w:type="dxa" w:w="1063"/>
          </w:tcPr>
          <w:p>
            <w:r>
              <w:rPr>
                <w:sz w:val="17"/>
              </w:rPr>
            </w:r>
            <w:r>
              <w:rPr>
                <w:sz w:val="17"/>
              </w:rPr>
              <w:t>ED-DM-CIRC-INDEX</w:t>
            </w:r>
          </w:p>
        </w:tc>
        <w:tc>
          <w:tcPr>
            <w:tcW w:type="dxa" w:w="1651"/>
          </w:tcPr>
          <w:p>
            <w:r>
              <w:rPr>
                <w:sz w:val="17"/>
              </w:rPr>
            </w:r>
            <w:r>
              <w:rPr>
                <w:sz w:val="17"/>
              </w:rPr>
              <w:t>DM Building and Planning Circulars index</w:t>
            </w:r>
          </w:p>
        </w:tc>
        <w:tc>
          <w:tcPr>
            <w:tcW w:type="dxa" w:w="5559"/>
          </w:tcPr>
          <w:p>
            <w:r>
              <w:rPr>
                <w:sz w:val="17"/>
              </w:rPr>
            </w:r>
            <w:r>
              <w:rPr>
                <w:sz w:val="17"/>
              </w:rPr>
              <w:t>Live official index (no dates per entry); the single DM circular index URL used by BBM-STD-57, 61 and 67</w:t>
            </w:r>
          </w:p>
        </w:tc>
        <w:tc>
          <w:tcPr>
            <w:tcW w:type="dxa" w:w="1103"/>
          </w:tcPr>
          <w:p>
            <w:r>
              <w:rPr>
                <w:sz w:val="17"/>
              </w:rPr>
            </w:r>
            <w:r>
              <w:rPr>
                <w:sz w:val="17"/>
              </w:rPr>
              <w:t>live</w:t>
            </w:r>
          </w:p>
        </w:tc>
        <w:tc>
          <w:tcPr>
            <w:tcW w:type="dxa" w:w="1848"/>
          </w:tcPr>
          <w:p>
            <w:r>
              <w:rPr>
                <w:sz w:val="17"/>
              </w:rPr>
            </w:r>
            <w:r>
              <w:rPr>
                <w:sz w:val="17"/>
              </w:rPr>
              <w:t>Watch source for new DM circulars (BBM-STD-57 §6)</w:t>
            </w:r>
          </w:p>
        </w:tc>
        <w:tc>
          <w:tcPr>
            <w:tcW w:type="dxa" w:w="3131"/>
          </w:tcPr>
          <w:p>
            <w:r>
              <w:rPr>
                <w:sz w:val="17"/>
              </w:rPr>
            </w:r>
            <w:r>
              <w:rPr>
                <w:sz w:val="17"/>
              </w:rPr>
              <w:t>https:/​/​www.dm.gov.ae/​building-planning-circulars-2/​</w:t>
            </w:r>
          </w:p>
        </w:tc>
        <w:tc>
          <w:tcPr>
            <w:tcW w:type="dxa" w:w="1043"/>
          </w:tcPr>
          <w:p>
            <w:r>
              <w:rPr>
                <w:sz w:val="17"/>
              </w:rPr>
            </w:r>
            <w:r>
              <w:rPr>
                <w:sz w:val="17"/>
              </w:rPr>
              <w:t>2026-11-04</w:t>
            </w:r>
          </w:p>
        </w:tc>
      </w:tr>
      <w:tr>
        <w:trPr/>
        <w:tc>
          <w:tcPr>
            <w:tcW w:type="dxa" w:w="1063"/>
          </w:tcPr>
          <w:p>
            <w:r>
              <w:rPr>
                <w:sz w:val="17"/>
              </w:rPr>
            </w:r>
            <w:r>
              <w:rPr>
                <w:sz w:val="17"/>
              </w:rPr>
              <w:t>ED-DM-9-1-1</w:t>
            </w:r>
          </w:p>
        </w:tc>
        <w:tc>
          <w:tcPr>
            <w:tcW w:type="dxa" w:w="1651"/>
          </w:tcPr>
          <w:p>
            <w:r>
              <w:rPr>
                <w:sz w:val="17"/>
              </w:rPr>
            </w:r>
            <w:r>
              <w:rPr>
                <w:sz w:val="17"/>
              </w:rPr>
              <w:t>DM circular 9-1-1 of 2021 on applying BIM</w:t>
            </w:r>
          </w:p>
        </w:tc>
        <w:tc>
          <w:tcPr>
            <w:tcW w:type="dxa" w:w="5559"/>
          </w:tcPr>
          <w:p>
            <w:r>
              <w:rPr>
                <w:sz w:val="17"/>
              </w:rPr>
            </w:r>
            <w:r>
              <w:rPr>
                <w:sz w:val="17"/>
              </w:rPr>
              <w:t>Dated 23 Aug 2021. BIM for architectural and mechanical works: over 20 floors; over 200,000 sq ft; specialised buildings (hospitals, universities and the like); all government projects; all projects by a foreign office subsidiary. BIM for structural works: over 40 floors; over 300,000 sq ft; specialised buildings; buildings by a foreign office subsidiary (</w:t>
            </w:r>
            <w:r>
              <w:rPr>
                <w:color w:val="9A7B45"/>
                <w:sz w:val="17"/>
                <w:u w:val="single"/>
              </w:rPr>
              <w:t>O-DEC-153</w:t>
            </w:r>
            <w:r>
              <w:rPr>
                <w:sz w:val="17"/>
              </w:rPr>
              <w:t>)</w:t>
            </w:r>
          </w:p>
        </w:tc>
        <w:tc>
          <w:tcPr>
            <w:tcW w:type="dxa" w:w="1103"/>
          </w:tcPr>
          <w:p>
            <w:r>
              <w:rPr>
                <w:sz w:val="17"/>
              </w:rPr>
            </w:r>
            <w:r>
              <w:rPr>
                <w:sz w:val="17"/>
              </w:rPr>
              <w:t>2021-08-23</w:t>
            </w:r>
          </w:p>
        </w:tc>
        <w:tc>
          <w:tcPr>
            <w:tcW w:type="dxa" w:w="1848"/>
          </w:tcPr>
          <w:p>
            <w:r>
              <w:rPr>
                <w:sz w:val="17"/>
              </w:rPr>
            </w:r>
            <w:r>
              <w:rPr>
                <w:sz w:val="17"/>
              </w:rPr>
              <w:t>2021 BIM-use scope; permit submission scope is 9-1-2 /​ 9-1-3; follow the widest scope that applies</w:t>
            </w:r>
          </w:p>
        </w:tc>
        <w:tc>
          <w:tcPr>
            <w:tcW w:type="dxa" w:w="3131"/>
          </w:tcPr>
          <w:p>
            <w:r>
              <w:rPr>
                <w:sz w:val="17"/>
              </w:rPr>
            </w:r>
            <w:r>
              <w:rPr>
                <w:sz w:val="17"/>
              </w:rPr>
              <w:t>https:/​/​dmpmedia.dm.gov.ae/​uploads/​2024/​11/​9-1-1-Application-of-Buildings-Information-Modelling.pdf</w:t>
            </w:r>
          </w:p>
        </w:tc>
        <w:tc>
          <w:tcPr>
            <w:tcW w:type="dxa" w:w="1043"/>
          </w:tcPr>
          <w:p>
            <w:r>
              <w:rPr>
                <w:sz w:val="17"/>
              </w:rPr>
            </w:r>
            <w:r>
              <w:rPr>
                <w:sz w:val="17"/>
              </w:rPr>
              <w:t>2026-11-05</w:t>
            </w:r>
          </w:p>
        </w:tc>
      </w:tr>
      <w:tr>
        <w:trPr>
          <w:cantSplit/>
        </w:trPr>
        <w:tc>
          <w:tcPr>
            <w:tcW w:type="dxa" w:w="1063"/>
          </w:tcPr>
          <w:p>
            <w:r>
              <w:rPr>
                <w:sz w:val="17"/>
              </w:rPr>
            </w:r>
            <w:r>
              <w:rPr>
                <w:sz w:val="17"/>
              </w:rPr>
              <w:t>ED-DM-9-1-2</w:t>
            </w:r>
          </w:p>
        </w:tc>
        <w:tc>
          <w:tcPr>
            <w:tcW w:type="dxa" w:w="1651"/>
          </w:tcPr>
          <w:p>
            <w:r>
              <w:rPr>
                <w:sz w:val="17"/>
              </w:rPr>
            </w:r>
            <w:r>
              <w:rPr>
                <w:sz w:val="17"/>
              </w:rPr>
              <w:t>DM circular 9-1-2 BIM with new building permits</w:t>
            </w:r>
          </w:p>
        </w:tc>
        <w:tc>
          <w:tcPr>
            <w:tcW w:type="dxa" w:w="5559"/>
          </w:tcPr>
          <w:p>
            <w:r>
              <w:rPr>
                <w:sz w:val="17"/>
              </w:rPr>
            </w:r>
            <w:r>
              <w:rPr>
                <w:sz w:val="17"/>
              </w:rPr>
              <w:t>Open BIM submission per the Dubai BIM Standard from 1 Jan 2024: over 20 floors (ARC) /​ 40 floors (STR); over 20,000 m² (ARC) /​ 30,000 m² (STR); specialised buildings (hospitals, universities); government projects except utility projects</w:t>
            </w:r>
          </w:p>
        </w:tc>
        <w:tc>
          <w:tcPr>
            <w:tcW w:type="dxa" w:w="1103"/>
          </w:tcPr>
          <w:p>
            <w:r>
              <w:rPr>
                <w:sz w:val="17"/>
              </w:rPr>
            </w:r>
            <w:r>
              <w:rPr>
                <w:sz w:val="17"/>
              </w:rPr>
              <w:t>2023-10-13</w:t>
            </w:r>
          </w:p>
        </w:tc>
        <w:tc>
          <w:tcPr>
            <w:tcW w:type="dxa" w:w="1848"/>
          </w:tcPr>
          <w:p>
            <w:r>
              <w:rPr>
                <w:sz w:val="17"/>
              </w:rPr>
            </w:r>
            <w:r>
              <w:rPr>
                <w:sz w:val="17"/>
              </w:rPr>
              <w:t>Permit BIM route in BBM-STD-57 §3 /​ BBM-STD-85</w:t>
            </w:r>
          </w:p>
        </w:tc>
        <w:tc>
          <w:tcPr>
            <w:tcW w:type="dxa" w:w="3131"/>
          </w:tcPr>
          <w:p>
            <w:r>
              <w:rPr>
                <w:sz w:val="17"/>
              </w:rPr>
            </w:r>
            <w:r>
              <w:rPr>
                <w:sz w:val="17"/>
              </w:rPr>
              <w:t>https:/​/​dmpmedia.dm.gov.ae/​uploads/​2023/​10/​تعميم-BIM-9-1-2.pdf</w:t>
            </w:r>
          </w:p>
        </w:tc>
        <w:tc>
          <w:tcPr>
            <w:tcW w:type="dxa" w:w="1043"/>
          </w:tcPr>
          <w:p>
            <w:r>
              <w:rPr>
                <w:sz w:val="17"/>
              </w:rPr>
            </w:r>
            <w:r>
              <w:rPr>
                <w:sz w:val="17"/>
              </w:rPr>
              <w:t>2026-11-04</w:t>
            </w:r>
          </w:p>
        </w:tc>
      </w:tr>
      <w:tr>
        <w:trPr/>
        <w:tc>
          <w:tcPr>
            <w:tcW w:type="dxa" w:w="1063"/>
          </w:tcPr>
          <w:p>
            <w:r>
              <w:rPr>
                <w:sz w:val="17"/>
              </w:rPr>
            </w:r>
            <w:r>
              <w:rPr>
                <w:sz w:val="17"/>
              </w:rPr>
              <w:t>ED-DM-9-1-3</w:t>
            </w:r>
          </w:p>
        </w:tc>
        <w:tc>
          <w:tcPr>
            <w:tcW w:type="dxa" w:w="1651"/>
          </w:tcPr>
          <w:p>
            <w:r>
              <w:rPr>
                <w:sz w:val="17"/>
              </w:rPr>
            </w:r>
            <w:r>
              <w:rPr>
                <w:sz w:val="17"/>
              </w:rPr>
              <w:t>DM circular 9-1-3 BIM with building permits</w:t>
            </w:r>
          </w:p>
        </w:tc>
        <w:tc>
          <w:tcPr>
            <w:tcW w:type="dxa" w:w="5559"/>
          </w:tcPr>
          <w:p>
            <w:r>
              <w:rPr>
                <w:sz w:val="17"/>
              </w:rPr>
            </w:r>
            <w:r>
              <w:rPr>
                <w:sz w:val="17"/>
              </w:rPr>
              <w:t>From 1 Apr 2026: ARC + STR BIM with the permit for new buildings above G+12 or 15,000 m² or more; listed alterations (add/​remove floors, +1,500 m² or more, full redesign, change of main use, relocation on plot) with the application; other alterations: final BIM before the completion certificate; drawings extracted from the model</w:t>
            </w:r>
          </w:p>
        </w:tc>
        <w:tc>
          <w:tcPr>
            <w:tcW w:type="dxa" w:w="1103"/>
          </w:tcPr>
          <w:p>
            <w:r>
              <w:rPr>
                <w:sz w:val="17"/>
              </w:rPr>
            </w:r>
            <w:r>
              <w:rPr>
                <w:sz w:val="17"/>
              </w:rPr>
              <w:t>2026-01-15; effective 2026-04-01</w:t>
            </w:r>
          </w:p>
        </w:tc>
        <w:tc>
          <w:tcPr>
            <w:tcW w:type="dxa" w:w="1848"/>
          </w:tcPr>
          <w:p>
            <w:r>
              <w:rPr>
                <w:sz w:val="17"/>
              </w:rPr>
            </w:r>
            <w:r>
              <w:rPr>
                <w:sz w:val="17"/>
              </w:rPr>
              <w:t>Permit BIM route in BBM-STD-57 §3 /​ BBM-STD-85</w:t>
            </w:r>
          </w:p>
        </w:tc>
        <w:tc>
          <w:tcPr>
            <w:tcW w:type="dxa" w:w="3131"/>
          </w:tcPr>
          <w:p>
            <w:r>
              <w:rPr>
                <w:sz w:val="17"/>
              </w:rPr>
            </w:r>
            <w:r>
              <w:rPr>
                <w:sz w:val="17"/>
              </w:rPr>
              <w:t>https:/​/​www.dm.gov.ae/​wp-content/​uploads/​2026/​02/​Circular-9-1-3.pdf</w:t>
            </w:r>
          </w:p>
        </w:tc>
        <w:tc>
          <w:tcPr>
            <w:tcW w:type="dxa" w:w="1043"/>
          </w:tcPr>
          <w:p>
            <w:r>
              <w:rPr>
                <w:sz w:val="17"/>
              </w:rPr>
            </w:r>
            <w:r>
              <w:rPr>
                <w:sz w:val="17"/>
              </w:rPr>
              <w:t>2026-11-04</w:t>
            </w:r>
          </w:p>
        </w:tc>
      </w:tr>
      <w:tr>
        <w:trPr/>
        <w:tc>
          <w:tcPr>
            <w:tcW w:type="dxa" w:w="1063"/>
          </w:tcPr>
          <w:p>
            <w:r>
              <w:rPr>
                <w:sz w:val="17"/>
              </w:rPr>
            </w:r>
            <w:r>
              <w:rPr>
                <w:sz w:val="17"/>
              </w:rPr>
              <w:t>ED-DUBAI-BIM-STD</w:t>
            </w:r>
          </w:p>
        </w:tc>
        <w:tc>
          <w:tcPr>
            <w:tcW w:type="dxa" w:w="1651"/>
          </w:tcPr>
          <w:p>
            <w:r>
              <w:rPr>
                <w:sz w:val="17"/>
              </w:rPr>
            </w:r>
            <w:r>
              <w:rPr>
                <w:sz w:val="17"/>
              </w:rPr>
              <w:t>Dubai BIM Standard and Model Attribute Matrix</w:t>
            </w:r>
          </w:p>
        </w:tc>
        <w:tc>
          <w:tcPr>
            <w:tcW w:type="dxa" w:w="5559"/>
          </w:tcPr>
          <w:p>
            <w:r>
              <w:rPr>
                <w:sz w:val="17"/>
              </w:rPr>
            </w:r>
            <w:r>
              <w:rPr>
                <w:sz w:val="17"/>
              </w:rPr>
              <w:t>Version 1.4 (changelog 8 Jun 2026): IFC4 schema, .ifc files (§6.1.1); authority Revit setup "Dubai BIM E-Submission (IFC4)Reference View"; Appendix B Model Attribute Matrix issued with 1.4 (file 5 Jun 2026, no separate version number; BIMStandardVersion = 1.4.0); Appendix A Model Element Matrix; Appendix C Usage Codes; DM IDS DMBIM_IDS_V1; CRS EPSG:3997 with DMD elevations; ZIP within the platform maximum (150 MB per changelog) (</w:t>
            </w:r>
            <w:r>
              <w:rPr>
                <w:color w:val="9A7B45"/>
                <w:sz w:val="17"/>
                <w:u w:val="single"/>
              </w:rPr>
              <w:t>O-DEC-154</w:t>
            </w:r>
            <w:r>
              <w:rPr>
                <w:sz w:val="17"/>
              </w:rPr>
              <w:t>); package re-read 2026-11-05 (server date 2 Nov 2026): still Version 1.4.0</w:t>
            </w:r>
          </w:p>
        </w:tc>
        <w:tc>
          <w:tcPr>
            <w:tcW w:type="dxa" w:w="1103"/>
          </w:tcPr>
          <w:p>
            <w:r>
              <w:rPr>
                <w:sz w:val="17"/>
              </w:rPr>
            </w:r>
            <w:r>
              <w:rPr>
                <w:sz w:val="17"/>
              </w:rPr>
              <w:t>2026-06-08</w:t>
            </w:r>
          </w:p>
        </w:tc>
        <w:tc>
          <w:tcPr>
            <w:tcW w:type="dxa" w:w="1848"/>
          </w:tcPr>
          <w:p>
            <w:r>
              <w:rPr>
                <w:sz w:val="17"/>
              </w:rPr>
            </w:r>
            <w:r>
              <w:rPr>
                <w:sz w:val="17"/>
              </w:rPr>
              <w:t>Office preset EXP-DM-PERMIT-IFC4-&lt;rev&gt; (O-DEC-131) built on the authority setup; re-checked at project start and before each submission (BBM-STD-85 §9)</w:t>
            </w:r>
          </w:p>
        </w:tc>
        <w:tc>
          <w:tcPr>
            <w:tcW w:type="dxa" w:w="3131"/>
          </w:tcPr>
          <w:p>
            <w:r>
              <w:rPr>
                <w:sz w:val="17"/>
              </w:rPr>
            </w:r>
            <w:r>
              <w:rPr>
                <w:sz w:val="17"/>
              </w:rPr>
              <w:t>https:/​/​buildindubai.gov.ae/​bim ; https:/​/​api.buildindubai.gov.ae/​assets/​BIM/​Documents/​DubaiBIMStandards.zip</w:t>
            </w:r>
          </w:p>
        </w:tc>
        <w:tc>
          <w:tcPr>
            <w:tcW w:type="dxa" w:w="1043"/>
          </w:tcPr>
          <w:p>
            <w:r>
              <w:rPr>
                <w:sz w:val="17"/>
              </w:rPr>
            </w:r>
            <w:r>
              <w:rPr>
                <w:sz w:val="17"/>
              </w:rPr>
              <w:t>2026-11-05</w:t>
            </w:r>
          </w:p>
        </w:tc>
      </w:tr>
      <w:tr>
        <w:trPr/>
        <w:tc>
          <w:tcPr>
            <w:tcW w:type="dxa" w:w="1063"/>
          </w:tcPr>
          <w:p>
            <w:r>
              <w:rPr>
                <w:sz w:val="17"/>
              </w:rPr>
            </w:r>
            <w:r>
              <w:rPr>
                <w:sz w:val="17"/>
              </w:rPr>
              <w:t>ED-DBC</w:t>
            </w:r>
          </w:p>
        </w:tc>
        <w:tc>
          <w:tcPr>
            <w:tcW w:type="dxa" w:w="1651"/>
          </w:tcPr>
          <w:p>
            <w:r>
              <w:rPr>
                <w:sz w:val="17"/>
              </w:rPr>
            </w:r>
            <w:r>
              <w:rPr>
                <w:sz w:val="17"/>
              </w:rPr>
              <w:t>Dubai Building Code (Decree 45/​2021) as amended by DM Administrative Resolution No. 225 of 2024</w:t>
            </w:r>
          </w:p>
        </w:tc>
        <w:tc>
          <w:tcPr>
            <w:tcW w:type="dxa" w:w="5559"/>
          </w:tcPr>
          <w:p>
            <w:r>
              <w:rPr>
                <w:sz w:val="17"/>
              </w:rPr>
            </w:r>
            <w:r>
              <w:rPr>
                <w:sz w:val="17"/>
              </w:rPr>
              <w:t>Apply the DBC plus all DM amending resolutions in force at permit submission. AR 225/​2024 (issued 16 Jul 2024, published 13 Aug 2024, in force 30 days later) applies to plots of 250 m² or less only and permits seven parameter changes: no lifts for G+2 or lower with 100 occupants or fewer; ground-floor lift lobby 1.8 m; typical-floor corridor and lift lobby 1.5 m; one shared WC per shop of 100 m² or less; no bulky-waste area; no recycling area in the refuse room; no extra 300 mm bay width beside columns/​walls (</w:t>
            </w:r>
            <w:r>
              <w:rPr>
                <w:color w:val="9A7B45"/>
                <w:sz w:val="17"/>
                <w:u w:val="single"/>
              </w:rPr>
              <w:t>O-DEC-155</w:t>
            </w:r>
            <w:r>
              <w:rPr>
                <w:sz w:val="17"/>
              </w:rPr>
              <w:t>)</w:t>
            </w:r>
          </w:p>
        </w:tc>
        <w:tc>
          <w:tcPr>
            <w:tcW w:type="dxa" w:w="1103"/>
          </w:tcPr>
          <w:p>
            <w:r>
              <w:rPr>
                <w:sz w:val="17"/>
              </w:rPr>
            </w:r>
            <w:r>
              <w:rPr>
                <w:sz w:val="17"/>
              </w:rPr>
              <w:t>2021 /​ 2024-08-13</w:t>
            </w:r>
          </w:p>
        </w:tc>
        <w:tc>
          <w:tcPr>
            <w:tcW w:type="dxa" w:w="1848"/>
          </w:tcPr>
          <w:p>
            <w:r>
              <w:rPr>
                <w:sz w:val="17"/>
              </w:rPr>
            </w:r>
            <w:r>
              <w:rPr>
                <w:sz w:val="17"/>
              </w:rPr>
              <w:t>Design basis (BBM-STD-12, 57, 85); DBC clause per AR 225 item recorded at project start</w:t>
            </w:r>
          </w:p>
        </w:tc>
        <w:tc>
          <w:tcPr>
            <w:tcW w:type="dxa" w:w="3131"/>
          </w:tcPr>
          <w:p>
            <w:r>
              <w:rPr>
                <w:sz w:val="17"/>
              </w:rPr>
            </w:r>
            <w:r>
              <w:rPr>
                <w:sz w:val="17"/>
              </w:rPr>
              <w:t>https:/​/​www.dm.gov.ae/​municipality-business/​laws-and-orders/​ ; https:/​/​dmpmedia.dm.gov.ae/​uploads/​2024/​08/​قرار-إداري-رقم-225-لسنة-2004.pdf</w:t>
            </w:r>
          </w:p>
        </w:tc>
        <w:tc>
          <w:tcPr>
            <w:tcW w:type="dxa" w:w="1043"/>
          </w:tcPr>
          <w:p>
            <w:r>
              <w:rPr>
                <w:sz w:val="17"/>
              </w:rPr>
            </w:r>
            <w:r>
              <w:rPr>
                <w:sz w:val="17"/>
              </w:rPr>
              <w:t>2026-11-05</w:t>
            </w:r>
          </w:p>
        </w:tc>
      </w:tr>
      <w:tr>
        <w:trPr/>
        <w:tc>
          <w:tcPr>
            <w:tcW w:type="dxa" w:w="1063"/>
          </w:tcPr>
          <w:p>
            <w:r>
              <w:rPr>
                <w:sz w:val="17"/>
              </w:rPr>
            </w:r>
            <w:r>
              <w:rPr>
                <w:sz w:val="17"/>
              </w:rPr>
              <w:t>ED-DXB-LAW-3-2026</w:t>
            </w:r>
          </w:p>
        </w:tc>
        <w:tc>
          <w:tcPr>
            <w:tcW w:type="dxa" w:w="1651"/>
          </w:tcPr>
          <w:p>
            <w:r>
              <w:rPr>
                <w:sz w:val="17"/>
              </w:rPr>
            </w:r>
            <w:r>
              <w:rPr>
                <w:sz w:val="17"/>
              </w:rPr>
              <w:t>Dubai Law No. 3 of 2026 on the Quality and Safety of Buildings (emirate law)</w:t>
            </w:r>
          </w:p>
        </w:tc>
        <w:tc>
          <w:tcPr>
            <w:tcW w:type="dxa" w:w="5559"/>
          </w:tcPr>
          <w:p>
            <w:r>
              <w:rPr>
                <w:sz w:val="17"/>
              </w:rPr>
            </w:r>
            <w:r>
              <w:rPr>
                <w:sz w:val="17"/>
              </w:rPr>
              <w:t>Issued 27 Feb 2026; Official Gazette issue 764, 12 Mar 2026; in force 60 days after publication, i.e. from 11 May 2026 (</w:t>
            </w:r>
            <w:r>
              <w:rPr>
                <w:color w:val="9A7B45"/>
                <w:sz w:val="17"/>
                <w:u w:val="single"/>
              </w:rPr>
              <w:t>O-DEC-156</w:t>
            </w:r>
            <w:r>
              <w:rPr>
                <w:sz w:val="17"/>
              </w:rPr>
              <w:t>); Quality &amp; Safety Certificate after 20 years from completion, valid 10 years (5 years if 40+ years); applied by DM circular 11-9-1 of 2026 (ED-DM-11-9-1)</w:t>
            </w:r>
          </w:p>
        </w:tc>
        <w:tc>
          <w:tcPr>
            <w:tcW w:type="dxa" w:w="1103"/>
          </w:tcPr>
          <w:p>
            <w:r>
              <w:rPr>
                <w:sz w:val="17"/>
              </w:rPr>
            </w:r>
            <w:r>
              <w:rPr>
                <w:sz w:val="17"/>
              </w:rPr>
              <w:t>2026-02-27</w:t>
            </w:r>
          </w:p>
        </w:tc>
        <w:tc>
          <w:tcPr>
            <w:tcW w:type="dxa" w:w="1848"/>
          </w:tcPr>
          <w:p>
            <w:r>
              <w:rPr>
                <w:sz w:val="17"/>
              </w:rPr>
            </w:r>
            <w:r>
              <w:rPr>
                <w:sz w:val="17"/>
              </w:rPr>
              <w:t>Asset-life obligation for existing buildings (BBM-STD-75, 76, 85); not a design-permit rule</w:t>
            </w:r>
          </w:p>
        </w:tc>
        <w:tc>
          <w:tcPr>
            <w:tcW w:type="dxa" w:w="3131"/>
          </w:tcPr>
          <w:p>
            <w:r>
              <w:rPr>
                <w:sz w:val="17"/>
              </w:rPr>
            </w:r>
            <w:r>
              <w:rPr>
                <w:sz w:val="17"/>
              </w:rPr>
              <w:t>https:/​/​dlp.dubai.gov.ae/​Legislation%20Reference/​2026/​Law%20No.%20%283%29%20of%202026%20Concerning%20the%20Quality%20and%20Safety%20of%20Buildings.html</w:t>
            </w:r>
          </w:p>
        </w:tc>
        <w:tc>
          <w:tcPr>
            <w:tcW w:type="dxa" w:w="1043"/>
          </w:tcPr>
          <w:p>
            <w:r>
              <w:rPr>
                <w:sz w:val="17"/>
              </w:rPr>
            </w:r>
            <w:r>
              <w:rPr>
                <w:sz w:val="17"/>
              </w:rPr>
              <w:t>2026-11-04</w:t>
            </w:r>
          </w:p>
        </w:tc>
      </w:tr>
      <w:tr>
        <w:trPr/>
        <w:tc>
          <w:tcPr>
            <w:tcW w:type="dxa" w:w="1063"/>
          </w:tcPr>
          <w:p>
            <w:r>
              <w:rPr>
                <w:sz w:val="17"/>
              </w:rPr>
            </w:r>
            <w:r>
              <w:rPr>
                <w:sz w:val="17"/>
              </w:rPr>
              <w:t>ED-DM-11-9-1</w:t>
            </w:r>
          </w:p>
        </w:tc>
        <w:tc>
          <w:tcPr>
            <w:tcW w:type="dxa" w:w="1651"/>
          </w:tcPr>
          <w:p>
            <w:r>
              <w:rPr>
                <w:sz w:val="17"/>
              </w:rPr>
            </w:r>
            <w:r>
              <w:rPr>
                <w:sz w:val="17"/>
              </w:rPr>
              <w:t>DM circular (11-9-1) of 2026 applying Law No. 3 of 2026 (parent row ED-DXB-LAW-3-2026), with the guidance manual "Building Quality and Safety Certificate" (attachment 11-9-1-1, May 2026)</w:t>
            </w:r>
          </w:p>
        </w:tc>
        <w:tc>
          <w:tcPr>
            <w:tcW w:type="dxa" w:w="5559"/>
          </w:tcPr>
          <w:p>
            <w:r>
              <w:rPr>
                <w:sz w:val="17"/>
              </w:rPr>
            </w:r>
            <w:r>
              <w:rPr>
                <w:sz w:val="17"/>
              </w:rPr>
              <w:t>Dated 1 Oct 2026, applies from that date: owners of buildings completed 20 or more years ago obtain a Building Quality and Safety Certificate after a technical assessment against the DM technical checklist and remediation of any defects found; valid 10 years (under 40 years since completion) or 5 years (40 years or more), renewed in the last 90 days before expiry by the same procedure; phased, first multi-storey buildings over 40 years old, each owner on DM notice with a deadline; the owner appoints an engineering office licensed in Dubai whose classification matches the building height; applications on the Build in Dubai e-service; Civil Defence and SIRA compliance certificates mandatory</w:t>
            </w:r>
          </w:p>
        </w:tc>
        <w:tc>
          <w:tcPr>
            <w:tcW w:type="dxa" w:w="1103"/>
          </w:tcPr>
          <w:p>
            <w:r>
              <w:rPr>
                <w:sz w:val="17"/>
              </w:rPr>
            </w:r>
            <w:r>
              <w:rPr>
                <w:sz w:val="17"/>
              </w:rPr>
              <w:t>2026-10-01</w:t>
            </w:r>
          </w:p>
        </w:tc>
        <w:tc>
          <w:tcPr>
            <w:tcW w:type="dxa" w:w="1848"/>
          </w:tcPr>
          <w:p>
            <w:r>
              <w:rPr>
                <w:sz w:val="17"/>
              </w:rPr>
            </w:r>
            <w:r>
              <w:rPr>
                <w:sz w:val="17"/>
              </w:rPr>
              <w:t xml:space="preserve">Existing-building assessment service: </w:t>
            </w:r>
            <w:r>
              <w:rPr>
                <w:color w:val="9A7B45"/>
                <w:sz w:val="17"/>
                <w:u w:val="single"/>
              </w:rPr>
              <w:t>BBM-STD-75</w:t>
            </w:r>
            <w:r>
              <w:rPr>
                <w:sz w:val="17"/>
              </w:rPr>
              <w:t xml:space="preserve"> §7, </w:t>
            </w:r>
            <w:r>
              <w:rPr>
                <w:color w:val="9A7B45"/>
                <w:sz w:val="17"/>
                <w:u w:val="single"/>
              </w:rPr>
              <w:t>BBM-STD-85</w:t>
            </w:r>
            <w:r>
              <w:rPr>
                <w:sz w:val="17"/>
              </w:rPr>
              <w:t xml:space="preserve"> §4 and §11; the office acts only as the appointed engineering office (</w:t>
            </w:r>
            <w:r>
              <w:rPr>
                <w:color w:val="9A7B45"/>
                <w:sz w:val="17"/>
                <w:u w:val="single"/>
              </w:rPr>
              <w:t>O-DEC-185</w:t>
            </w:r>
            <w:r>
              <w:rPr>
                <w:sz w:val="17"/>
              </w:rPr>
              <w:t>)</w:t>
            </w:r>
          </w:p>
        </w:tc>
        <w:tc>
          <w:tcPr>
            <w:tcW w:type="dxa" w:w="3131"/>
          </w:tcPr>
          <w:p>
            <w:r>
              <w:rPr>
                <w:sz w:val="17"/>
              </w:rPr>
            </w:r>
            <w:r>
              <w:rPr>
                <w:sz w:val="17"/>
              </w:rPr>
              <w:t>https:/​/​dmpmedia.dm.gov.ae/​uploads/​2026/​10/​11-9-1.pdf ; https:/​/​dmpmedia.dm.gov.ae/​uploads/​2026/​10/​11-9-1-1.pdf</w:t>
            </w:r>
          </w:p>
        </w:tc>
        <w:tc>
          <w:tcPr>
            <w:tcW w:type="dxa" w:w="1043"/>
          </w:tcPr>
          <w:p>
            <w:r>
              <w:rPr>
                <w:sz w:val="17"/>
              </w:rPr>
            </w:r>
            <w:r>
              <w:rPr>
                <w:sz w:val="17"/>
              </w:rPr>
              <w:t>2026-11-05</w:t>
            </w:r>
          </w:p>
        </w:tc>
      </w:tr>
      <w:tr>
        <w:trPr/>
        <w:tc>
          <w:tcPr>
            <w:tcW w:type="dxa" w:w="1063"/>
          </w:tcPr>
          <w:p>
            <w:r>
              <w:rPr>
                <w:sz w:val="17"/>
              </w:rPr>
            </w:r>
            <w:r>
              <w:rPr>
                <w:sz w:val="17"/>
              </w:rPr>
              <w:t>ED-UAE-FLS</w:t>
            </w:r>
          </w:p>
        </w:tc>
        <w:tc>
          <w:tcPr>
            <w:tcW w:type="dxa" w:w="1651"/>
          </w:tcPr>
          <w:p>
            <w:r>
              <w:rPr>
                <w:sz w:val="17"/>
              </w:rPr>
            </w:r>
            <w:r>
              <w:rPr>
                <w:sz w:val="17"/>
              </w:rPr>
              <w:t>UAE Fire &amp; Life Safety Code of Practice</w:t>
            </w:r>
          </w:p>
        </w:tc>
        <w:tc>
          <w:tcPr>
            <w:tcW w:type="dxa" w:w="5559"/>
          </w:tcPr>
          <w:p>
            <w:r>
              <w:rPr>
                <w:sz w:val="17"/>
              </w:rPr>
            </w:r>
            <w:r>
              <w:rPr>
                <w:sz w:val="17"/>
              </w:rPr>
              <w:t xml:space="preserve">September 2018 edition; emirate amendments (rule-based, </w:t>
            </w:r>
            <w:r>
              <w:rPr>
                <w:color w:val="9A7B45"/>
                <w:sz w:val="17"/>
                <w:u w:val="single"/>
              </w:rPr>
              <w:t>O-DEC-160</w:t>
            </w:r>
            <w:r>
              <w:rPr>
                <w:sz w:val="17"/>
              </w:rPr>
              <w:t>): the edition plus the emirate Civil Defence amendments current at project start, checked on the emirate Civil Defence code page and circulars, recorded in BEP §1.12. Abu Dhabi: ADCDA Circular No. 3 of 2026 (12 Mar 2026, 54 decisions amending the 2018 edition) and an ADCDA smoke-management duct circular are reported by secondary sources only; neither was found on adcda.gov.ae on 2026-11-05, so they apply only from the ADCDA text obtained at project start</w:t>
            </w:r>
          </w:p>
        </w:tc>
        <w:tc>
          <w:tcPr>
            <w:tcW w:type="dxa" w:w="1103"/>
          </w:tcPr>
          <w:p>
            <w:r>
              <w:rPr>
                <w:sz w:val="17"/>
              </w:rPr>
            </w:r>
            <w:r>
              <w:rPr>
                <w:sz w:val="17"/>
              </w:rPr>
              <w:t>2018-09</w:t>
            </w:r>
          </w:p>
        </w:tc>
        <w:tc>
          <w:tcPr>
            <w:tcW w:type="dxa" w:w="1848"/>
          </w:tcPr>
          <w:p>
            <w:r>
              <w:rPr>
                <w:sz w:val="17"/>
              </w:rPr>
            </w:r>
            <w:r>
              <w:rPr>
                <w:sz w:val="17"/>
              </w:rPr>
              <w:t>Fire basis; Fire_Rating per O-DEC-119</w:t>
            </w:r>
          </w:p>
        </w:tc>
        <w:tc>
          <w:tcPr>
            <w:tcW w:type="dxa" w:w="3131"/>
          </w:tcPr>
          <w:p>
            <w:r>
              <w:rPr>
                <w:sz w:val="17"/>
              </w:rPr>
            </w:r>
            <w:r>
              <w:rPr>
                <w:sz w:val="17"/>
              </w:rPr>
              <w:t>https:/​/​www.dcd.gov.ae/​portal/​preventive-safety/​uae-fire-and-life-safety-code-of-practice.jsp ; https:/​/​www.adcda.gov.ae/​</w:t>
            </w:r>
          </w:p>
        </w:tc>
        <w:tc>
          <w:tcPr>
            <w:tcW w:type="dxa" w:w="1043"/>
          </w:tcPr>
          <w:p>
            <w:r>
              <w:rPr>
                <w:sz w:val="17"/>
              </w:rPr>
            </w:r>
            <w:r>
              <w:rPr>
                <w:sz w:val="17"/>
              </w:rPr>
              <w:t>2026-11-05</w:t>
            </w:r>
          </w:p>
        </w:tc>
      </w:tr>
      <w:tr>
        <w:trPr>
          <w:cantSplit/>
        </w:trPr>
        <w:tc>
          <w:tcPr>
            <w:tcW w:type="dxa" w:w="1063"/>
          </w:tcPr>
          <w:p>
            <w:r>
              <w:rPr>
                <w:sz w:val="17"/>
              </w:rPr>
            </w:r>
            <w:r>
              <w:rPr>
                <w:sz w:val="17"/>
              </w:rPr>
              <w:t>ED-ADIBC</w:t>
            </w:r>
          </w:p>
        </w:tc>
        <w:tc>
          <w:tcPr>
            <w:tcW w:type="dxa" w:w="1651"/>
          </w:tcPr>
          <w:p>
            <w:r>
              <w:rPr>
                <w:sz w:val="17"/>
              </w:rPr>
            </w:r>
            <w:r>
              <w:rPr>
                <w:sz w:val="17"/>
              </w:rPr>
              <w:t>Abu Dhabi International Building Codes</w:t>
            </w:r>
          </w:p>
        </w:tc>
        <w:tc>
          <w:tcPr>
            <w:tcW w:type="dxa" w:w="5559"/>
          </w:tcPr>
          <w:p>
            <w:r>
              <w:rPr>
                <w:sz w:val="17"/>
              </w:rPr>
            </w:r>
            <w:r>
              <w:rPr>
                <w:sz w:val="17"/>
              </w:rPr>
              <w:t>The ADIBC edition published by DMT and in force at project start (2013 edition at 2026-11-05; Executive Council Resolution 7C 26/​2013, effective 1 Oct 2013); a later edition is rule-based (</w:t>
            </w:r>
            <w:r>
              <w:rPr>
                <w:color w:val="9A7B45"/>
                <w:sz w:val="17"/>
                <w:u w:val="single"/>
              </w:rPr>
              <w:t>O-DEC-160</w:t>
            </w:r>
            <w:r>
              <w:rPr>
                <w:sz w:val="17"/>
              </w:rPr>
              <w:t>): checked on the DMT codes page at project start</w:t>
            </w:r>
          </w:p>
        </w:tc>
        <w:tc>
          <w:tcPr>
            <w:tcW w:type="dxa" w:w="1103"/>
          </w:tcPr>
          <w:p>
            <w:r>
              <w:rPr>
                <w:sz w:val="17"/>
              </w:rPr>
            </w:r>
            <w:r>
              <w:rPr>
                <w:sz w:val="17"/>
              </w:rPr>
              <w:t>2013</w:t>
            </w:r>
          </w:p>
        </w:tc>
        <w:tc>
          <w:tcPr>
            <w:tcW w:type="dxa" w:w="1848"/>
          </w:tcPr>
          <w:p>
            <w:r>
              <w:rPr>
                <w:sz w:val="17"/>
              </w:rPr>
            </w:r>
            <w:r>
              <w:rPr>
                <w:sz w:val="17"/>
              </w:rPr>
              <w:t>Abu Dhabi design basis</w:t>
            </w:r>
          </w:p>
        </w:tc>
        <w:tc>
          <w:tcPr>
            <w:tcW w:type="dxa" w:w="3131"/>
          </w:tcPr>
          <w:p>
            <w:r>
              <w:rPr>
                <w:sz w:val="17"/>
              </w:rPr>
            </w:r>
            <w:r>
              <w:rPr>
                <w:sz w:val="17"/>
              </w:rPr>
              <w:t>https:/​/​www.dmt.gov.ae/​-/​media/​Project/​DMT/​DMT/​Codes/​3-ADIMC-2013_1-12-2013.pdf</w:t>
            </w:r>
          </w:p>
        </w:tc>
        <w:tc>
          <w:tcPr>
            <w:tcW w:type="dxa" w:w="1043"/>
          </w:tcPr>
          <w:p>
            <w:r>
              <w:rPr>
                <w:sz w:val="17"/>
              </w:rPr>
            </w:r>
            <w:r>
              <w:rPr>
                <w:sz w:val="17"/>
              </w:rPr>
              <w:t>2026-11-04</w:t>
            </w:r>
          </w:p>
        </w:tc>
      </w:tr>
      <w:tr>
        <w:trPr>
          <w:cantSplit/>
        </w:trPr>
        <w:tc>
          <w:tcPr>
            <w:tcW w:type="dxa" w:w="1063"/>
          </w:tcPr>
          <w:p>
            <w:r>
              <w:rPr>
                <w:sz w:val="17"/>
              </w:rPr>
            </w:r>
            <w:r>
              <w:rPr>
                <w:sz w:val="17"/>
              </w:rPr>
              <w:t>ED-ADC9-2026</w:t>
            </w:r>
          </w:p>
        </w:tc>
        <w:tc>
          <w:tcPr>
            <w:tcW w:type="dxa" w:w="1651"/>
          </w:tcPr>
          <w:p>
            <w:r>
              <w:rPr>
                <w:sz w:val="17"/>
              </w:rPr>
            </w:r>
            <w:r>
              <w:rPr>
                <w:sz w:val="17"/>
              </w:rPr>
              <w:t>Abu Dhabi UPPC Circular No. 9 of 2026, supervision consultant and contractor roles</w:t>
            </w:r>
          </w:p>
        </w:tc>
        <w:tc>
          <w:tcPr>
            <w:tcW w:type="dxa" w:w="5559"/>
          </w:tcPr>
          <w:p>
            <w:r>
              <w:rPr>
                <w:sz w:val="17"/>
              </w:rPr>
            </w:r>
            <w:r>
              <w:rPr>
                <w:sz w:val="17"/>
              </w:rPr>
              <w:t>Issued 2026-10-14</w:t>
            </w:r>
          </w:p>
        </w:tc>
        <w:tc>
          <w:tcPr>
            <w:tcW w:type="dxa" w:w="1103"/>
          </w:tcPr>
          <w:p>
            <w:r>
              <w:rPr>
                <w:sz w:val="17"/>
              </w:rPr>
            </w:r>
            <w:r>
              <w:rPr>
                <w:sz w:val="17"/>
              </w:rPr>
              <w:t>2026-10-14</w:t>
            </w:r>
          </w:p>
        </w:tc>
        <w:tc>
          <w:tcPr>
            <w:tcW w:type="dxa" w:w="1848"/>
          </w:tcPr>
          <w:p>
            <w:r>
              <w:rPr>
                <w:sz w:val="17"/>
              </w:rPr>
            </w:r>
            <w:r>
              <w:rPr>
                <w:sz w:val="17"/>
              </w:rPr>
              <w:t>Supervision roles, phase notices and joint phase reports (BBM-STD-97 QP-09)</w:t>
            </w:r>
          </w:p>
        </w:tc>
        <w:tc>
          <w:tcPr>
            <w:tcW w:type="dxa" w:w="3131"/>
          </w:tcPr>
          <w:p>
            <w:r>
              <w:rPr>
                <w:sz w:val="17"/>
              </w:rPr>
            </w:r>
            <w:r>
              <w:rPr>
                <w:sz w:val="17"/>
              </w:rPr>
              <w:t>https:/​/​www.Project.ae/​en/​article/​c2qm3pn-uppc-issues-circular-streamline-construction</w:t>
            </w:r>
          </w:p>
        </w:tc>
        <w:tc>
          <w:tcPr>
            <w:tcW w:type="dxa" w:w="1043"/>
          </w:tcPr>
          <w:p>
            <w:r>
              <w:rPr>
                <w:sz w:val="17"/>
              </w:rPr>
            </w:r>
            <w:r>
              <w:rPr>
                <w:sz w:val="17"/>
              </w:rPr>
              <w:t>2026-11-04</w:t>
            </w:r>
          </w:p>
        </w:tc>
      </w:tr>
      <w:tr>
        <w:trPr>
          <w:cantSplit/>
        </w:trPr>
        <w:tc>
          <w:tcPr>
            <w:tcW w:type="dxa" w:w="1063"/>
          </w:tcPr>
          <w:p>
            <w:r>
              <w:rPr>
                <w:sz w:val="17"/>
              </w:rPr>
            </w:r>
            <w:r>
              <w:rPr>
                <w:sz w:val="17"/>
              </w:rPr>
              <w:t>ED-DDA-CIRC-400</w:t>
            </w:r>
          </w:p>
        </w:tc>
        <w:tc>
          <w:tcPr>
            <w:tcW w:type="dxa" w:w="1651"/>
          </w:tcPr>
          <w:p>
            <w:r>
              <w:rPr>
                <w:sz w:val="17"/>
              </w:rPr>
            </w:r>
            <w:r>
              <w:rPr>
                <w:sz w:val="17"/>
              </w:rPr>
              <w:t>DDA Circular 400: Drawings Submission Standards</w:t>
            </w:r>
          </w:p>
        </w:tc>
        <w:tc>
          <w:tcPr>
            <w:tcW w:type="dxa" w:w="5559"/>
          </w:tcPr>
          <w:p>
            <w:r>
              <w:rPr>
                <w:sz w:val="17"/>
              </w:rPr>
            </w:r>
            <w:r>
              <w:rPr>
                <w:sz w:val="17"/>
              </w:rPr>
              <w:t>Dated 29 Sep 2021: A1 DWF drawings, monochrome except perspectives and shaded area diagrams, discipline tabs and sheet naming; the current Final Design Approval service checklist governs where it differs</w:t>
            </w:r>
          </w:p>
        </w:tc>
        <w:tc>
          <w:tcPr>
            <w:tcW w:type="dxa" w:w="1103"/>
          </w:tcPr>
          <w:p>
            <w:r>
              <w:rPr>
                <w:sz w:val="17"/>
              </w:rPr>
            </w:r>
            <w:r>
              <w:rPr>
                <w:sz w:val="17"/>
              </w:rPr>
              <w:t>2021-09-29</w:t>
            </w:r>
          </w:p>
        </w:tc>
        <w:tc>
          <w:tcPr>
            <w:tcW w:type="dxa" w:w="1848"/>
          </w:tcPr>
          <w:p>
            <w:r>
              <w:rPr>
                <w:sz w:val="17"/>
              </w:rPr>
            </w:r>
            <w:r>
              <w:rPr>
                <w:sz w:val="17"/>
              </w:rPr>
              <w:t>DDA drawing submissions (BBM-STD-57 §3, BBM-STD-61, BBM-STD-67)</w:t>
            </w:r>
          </w:p>
        </w:tc>
        <w:tc>
          <w:tcPr>
            <w:tcW w:type="dxa" w:w="3131"/>
          </w:tcPr>
          <w:p>
            <w:r>
              <w:rPr>
                <w:sz w:val="17"/>
              </w:rPr>
            </w:r>
            <w:r>
              <w:rPr>
                <w:sz w:val="17"/>
              </w:rPr>
              <w:t>https:/​/​dda.gov.ae/​-/​media/​436DDFA50D8B4AC1A075607917327616.pdf</w:t>
            </w:r>
          </w:p>
        </w:tc>
        <w:tc>
          <w:tcPr>
            <w:tcW w:type="dxa" w:w="1043"/>
          </w:tcPr>
          <w:p>
            <w:r>
              <w:rPr>
                <w:sz w:val="17"/>
              </w:rPr>
            </w:r>
            <w:r>
              <w:rPr>
                <w:sz w:val="17"/>
              </w:rPr>
              <w:t>2026-11-04</w:t>
            </w:r>
          </w:p>
        </w:tc>
      </w:tr>
      <w:tr>
        <w:trPr>
          <w:cantSplit/>
        </w:trPr>
        <w:tc>
          <w:tcPr>
            <w:tcW w:type="dxa" w:w="1063"/>
          </w:tcPr>
          <w:p>
            <w:r>
              <w:rPr>
                <w:sz w:val="17"/>
              </w:rPr>
            </w:r>
            <w:r>
              <w:rPr>
                <w:sz w:val="17"/>
              </w:rPr>
              <w:t>ED-AUH-PLANNING</w:t>
            </w:r>
          </w:p>
        </w:tc>
        <w:tc>
          <w:tcPr>
            <w:tcW w:type="dxa" w:w="1651"/>
          </w:tcPr>
          <w:p>
            <w:r>
              <w:rPr>
                <w:sz w:val="17"/>
              </w:rPr>
            </w:r>
            <w:r>
              <w:rPr>
                <w:sz w:val="17"/>
              </w:rPr>
              <w:t>Abu Dhabi planning and area-definition regulations</w:t>
            </w:r>
          </w:p>
        </w:tc>
        <w:tc>
          <w:tcPr>
            <w:tcW w:type="dxa" w:w="5559"/>
          </w:tcPr>
          <w:p>
            <w:r>
              <w:rPr>
                <w:sz w:val="17"/>
              </w:rPr>
            </w:r>
            <w:r>
              <w:rPr>
                <w:sz w:val="17"/>
              </w:rPr>
              <w:t>Abu Dhabi Capital Development Code (DMT) for plots in Abu Dhabi City Municipality; Al Ain and Project: the DMT development code of that municipality, title and edition recorded at project start (</w:t>
            </w:r>
            <w:r>
              <w:rPr>
                <w:color w:val="9A7B45"/>
                <w:sz w:val="17"/>
                <w:u w:val="single"/>
              </w:rPr>
              <w:t>O-DEC-161</w:t>
            </w:r>
            <w:r>
              <w:rPr>
                <w:sz w:val="17"/>
              </w:rPr>
              <w:t>)</w:t>
            </w:r>
          </w:p>
        </w:tc>
        <w:tc>
          <w:tcPr>
            <w:tcW w:type="dxa" w:w="1103"/>
          </w:tcPr>
          <w:p>
            <w:r>
              <w:rPr>
                <w:sz w:val="17"/>
              </w:rPr>
            </w:r>
            <w:r>
              <w:rPr>
                <w:sz w:val="17"/>
              </w:rPr>
              <w:t>2022</w:t>
            </w:r>
          </w:p>
        </w:tc>
        <w:tc>
          <w:tcPr>
            <w:tcW w:type="dxa" w:w="1848"/>
          </w:tcPr>
          <w:p>
            <w:r>
              <w:rPr>
                <w:sz w:val="17"/>
              </w:rPr>
            </w:r>
            <w:r>
              <w:rPr>
                <w:sz w:val="17"/>
              </w:rPr>
              <w:t>Area definitions (BBM-STD-58 §3.1)</w:t>
            </w:r>
          </w:p>
        </w:tc>
        <w:tc>
          <w:tcPr>
            <w:tcW w:type="dxa" w:w="3131"/>
          </w:tcPr>
          <w:p>
            <w:r>
              <w:rPr>
                <w:sz w:val="17"/>
              </w:rPr>
            </w:r>
            <w:r>
              <w:rPr>
                <w:sz w:val="17"/>
              </w:rPr>
              <w:t>https:/​/​www.dmt.gov.ae/​-/​media/​Project/​DMT/​DMT/​E-Library/​Abu-Dhabi-Capital-Development-Code.pdf</w:t>
            </w:r>
          </w:p>
        </w:tc>
        <w:tc>
          <w:tcPr>
            <w:tcW w:type="dxa" w:w="1043"/>
          </w:tcPr>
          <w:p>
            <w:r>
              <w:rPr>
                <w:sz w:val="17"/>
              </w:rPr>
            </w:r>
            <w:r>
              <w:rPr>
                <w:sz w:val="17"/>
              </w:rPr>
              <w:t>2026-11-05</w:t>
            </w:r>
          </w:p>
        </w:tc>
      </w:tr>
      <w:tr>
        <w:trPr/>
        <w:tc>
          <w:tcPr>
            <w:tcW w:type="dxa" w:w="1063"/>
          </w:tcPr>
          <w:p>
            <w:r>
              <w:rPr>
                <w:sz w:val="17"/>
              </w:rPr>
            </w:r>
            <w:r>
              <w:rPr>
                <w:sz w:val="17"/>
              </w:rPr>
              <w:t>ED-UTILITY-REGS</w:t>
            </w:r>
          </w:p>
        </w:tc>
        <w:tc>
          <w:tcPr>
            <w:tcW w:type="dxa" w:w="1651"/>
          </w:tcPr>
          <w:p>
            <w:r>
              <w:rPr>
                <w:sz w:val="17"/>
              </w:rPr>
            </w:r>
            <w:r>
              <w:rPr>
                <w:sz w:val="17"/>
              </w:rPr>
              <w:t>Utility authority regulations (Dubai DEWA; Abu Dhabi utility)</w:t>
            </w:r>
          </w:p>
        </w:tc>
        <w:tc>
          <w:tcPr>
            <w:tcW w:type="dxa" w:w="5559"/>
          </w:tcPr>
          <w:p>
            <w:r>
              <w:rPr>
                <w:sz w:val="17"/>
              </w:rPr>
            </w:r>
            <w:r>
              <w:rPr>
                <w:sz w:val="17"/>
              </w:rPr>
              <w:t>Dubai: DEWA Regulations for Electrical Installations, 2017 Edition. Abu Dhabi: Abu Dhabi Emirate Guideline for Infrastructure Services Standards, 2nd edition, January 2017 (index of ADDC /​ RSB water and electricity codes). Other utilities (district cooling, gas, telecom): the provider's current regulation recorded at project start (</w:t>
            </w:r>
            <w:r>
              <w:rPr>
                <w:color w:val="9A7B45"/>
                <w:sz w:val="17"/>
                <w:u w:val="single"/>
              </w:rPr>
              <w:t>O-DEC-161</w:t>
            </w:r>
            <w:r>
              <w:rPr>
                <w:sz w:val="17"/>
              </w:rPr>
              <w:t>)</w:t>
            </w:r>
          </w:p>
        </w:tc>
        <w:tc>
          <w:tcPr>
            <w:tcW w:type="dxa" w:w="1103"/>
          </w:tcPr>
          <w:p>
            <w:r>
              <w:rPr>
                <w:sz w:val="17"/>
              </w:rPr>
            </w:r>
            <w:r>
              <w:rPr>
                <w:sz w:val="17"/>
              </w:rPr>
              <w:t>2017 /​ 2017-01</w:t>
            </w:r>
          </w:p>
        </w:tc>
        <w:tc>
          <w:tcPr>
            <w:tcW w:type="dxa" w:w="1848"/>
          </w:tcPr>
          <w:p>
            <w:r>
              <w:rPr>
                <w:sz w:val="17"/>
              </w:rPr>
            </w:r>
            <w:r>
              <w:rPr>
                <w:sz w:val="17"/>
              </w:rPr>
              <w:t>MEP design basis, utility separations and NOCs (BBM-STD-50 §4.1, BBM-STD-57 §3, BBM-STD-60 §3)</w:t>
            </w:r>
          </w:p>
        </w:tc>
        <w:tc>
          <w:tcPr>
            <w:tcW w:type="dxa" w:w="3131"/>
          </w:tcPr>
          <w:p>
            <w:r>
              <w:rPr>
                <w:sz w:val="17"/>
              </w:rPr>
            </w:r>
            <w:r>
              <w:rPr>
                <w:sz w:val="17"/>
              </w:rPr>
              <w:t>https:/​/​www.dewa.gov.ae/​-/​media/​DEWA_Regulations_for_Electrical_Installations_2017_Edition.ashx ; https:/​/​www.dmt.gov.ae/​-/​media/​Project/​DMT/​ADM/​E-Library/​Abu-Dhabi-Emirate-Guideline-for-Infrastructure-Services-Standards.pdf</w:t>
            </w:r>
          </w:p>
        </w:tc>
        <w:tc>
          <w:tcPr>
            <w:tcW w:type="dxa" w:w="1043"/>
          </w:tcPr>
          <w:p>
            <w:r>
              <w:rPr>
                <w:sz w:val="17"/>
              </w:rPr>
            </w:r>
            <w:r>
              <w:rPr>
                <w:sz w:val="17"/>
              </w:rPr>
              <w:t>2026-11-05</w:t>
            </w:r>
          </w:p>
        </w:tc>
      </w:tr>
      <w:tr>
        <w:trPr>
          <w:cantSplit/>
        </w:trPr>
        <w:tc>
          <w:tcPr>
            <w:tcW w:type="dxa" w:w="1063"/>
          </w:tcPr>
          <w:p>
            <w:r>
              <w:rPr>
                <w:sz w:val="17"/>
              </w:rPr>
            </w:r>
            <w:r>
              <w:rPr>
                <w:sz w:val="17"/>
              </w:rPr>
              <w:t>ED-ADM-BIM</w:t>
            </w:r>
          </w:p>
        </w:tc>
        <w:tc>
          <w:tcPr>
            <w:tcW w:type="dxa" w:w="1651"/>
          </w:tcPr>
          <w:p>
            <w:r>
              <w:rPr>
                <w:sz w:val="17"/>
              </w:rPr>
            </w:r>
            <w:r>
              <w:rPr>
                <w:sz w:val="17"/>
              </w:rPr>
              <w:t>ADM BIM Code of Practice; Infrastructure Documentation Guidelines; Infrastructure BIM Object Catalogue</w:t>
            </w:r>
          </w:p>
        </w:tc>
        <w:tc>
          <w:tcPr>
            <w:tcW w:type="dxa" w:w="5559"/>
          </w:tcPr>
          <w:p>
            <w:r>
              <w:rPr>
                <w:sz w:val="17"/>
              </w:rPr>
            </w:r>
            <w:r>
              <w:rPr>
                <w:sz w:val="17"/>
              </w:rPr>
              <w:t>CoP Oct 2020 (cover v1, headers v1.1); Guidelines v1.0 Oct 2020; Object Catalogue v2.0 May 2021</w:t>
            </w:r>
          </w:p>
        </w:tc>
        <w:tc>
          <w:tcPr>
            <w:tcW w:type="dxa" w:w="1103"/>
          </w:tcPr>
          <w:p>
            <w:r>
              <w:rPr>
                <w:sz w:val="17"/>
              </w:rPr>
            </w:r>
            <w:r>
              <w:rPr>
                <w:sz w:val="17"/>
              </w:rPr>
              <w:t>2020–2021</w:t>
            </w:r>
          </w:p>
        </w:tc>
        <w:tc>
          <w:tcPr>
            <w:tcW w:type="dxa" w:w="1848"/>
          </w:tcPr>
          <w:p>
            <w:r>
              <w:rPr>
                <w:sz w:val="17"/>
              </w:rPr>
            </w:r>
            <w:r>
              <w:rPr>
                <w:sz w:val="17"/>
              </w:rPr>
              <w:t>Abu Dhabi BIM context; infrastructure scope</w:t>
            </w:r>
          </w:p>
        </w:tc>
        <w:tc>
          <w:tcPr>
            <w:tcW w:type="dxa" w:w="3131"/>
          </w:tcPr>
          <w:p>
            <w:r>
              <w:rPr>
                <w:sz w:val="17"/>
              </w:rPr>
            </w:r>
            <w:r>
              <w:rPr>
                <w:sz w:val="17"/>
              </w:rPr>
              <w:t>https:/​/​www.dmt.gov.ae/​adm/​-/​media/​Project/​DMT/​ADM/​E-Library/​0001-Jan-2022-Doc/​ADM-BIM-005Code-of-Practice.pdf</w:t>
            </w:r>
          </w:p>
        </w:tc>
        <w:tc>
          <w:tcPr>
            <w:tcW w:type="dxa" w:w="1043"/>
          </w:tcPr>
          <w:p>
            <w:r>
              <w:rPr>
                <w:sz w:val="17"/>
              </w:rPr>
            </w:r>
            <w:r>
              <w:rPr>
                <w:sz w:val="17"/>
              </w:rPr>
              <w:t>2026-11-04</w:t>
            </w:r>
          </w:p>
        </w:tc>
      </w:tr>
      <w:tr>
        <w:trPr>
          <w:cantSplit/>
        </w:trPr>
        <w:tc>
          <w:tcPr>
            <w:tcW w:type="dxa" w:w="1063"/>
          </w:tcPr>
          <w:p>
            <w:r>
              <w:rPr>
                <w:sz w:val="17"/>
              </w:rPr>
            </w:r>
            <w:r>
              <w:rPr>
                <w:sz w:val="17"/>
              </w:rPr>
              <w:t>ED-ESTIDAMA</w:t>
            </w:r>
          </w:p>
        </w:tc>
        <w:tc>
          <w:tcPr>
            <w:tcW w:type="dxa" w:w="1651"/>
          </w:tcPr>
          <w:p>
            <w:r>
              <w:rPr>
                <w:sz w:val="17"/>
              </w:rPr>
            </w:r>
            <w:r>
              <w:rPr>
                <w:sz w:val="17"/>
              </w:rPr>
              <w:t>Estidama Pearl Rating System</w:t>
            </w:r>
          </w:p>
        </w:tc>
        <w:tc>
          <w:tcPr>
            <w:tcW w:type="dxa" w:w="5559"/>
          </w:tcPr>
          <w:p>
            <w:r>
              <w:rPr>
                <w:sz w:val="17"/>
              </w:rPr>
            </w:r>
            <w:r>
              <w:rPr>
                <w:sz w:val="17"/>
              </w:rPr>
              <w:t>Private projects minimum 1 Pearl; government-funded minimum 2 Pearl</w:t>
            </w:r>
          </w:p>
        </w:tc>
        <w:tc>
          <w:tcPr>
            <w:tcW w:type="dxa" w:w="1103"/>
          </w:tcPr>
          <w:p>
            <w:r>
              <w:rPr>
                <w:sz w:val="17"/>
              </w:rPr>
            </w:r>
            <w:r>
              <w:rPr>
                <w:sz w:val="17"/>
              </w:rPr>
              <w:t>2025-01-08</w:t>
            </w:r>
          </w:p>
        </w:tc>
        <w:tc>
          <w:tcPr>
            <w:tcW w:type="dxa" w:w="1848"/>
          </w:tcPr>
          <w:p>
            <w:r>
              <w:rPr>
                <w:sz w:val="17"/>
              </w:rPr>
            </w:r>
            <w:r>
              <w:rPr>
                <w:sz w:val="17"/>
              </w:rPr>
              <w:t>Statutory minimum (BBM-STD-57, 81, 85)</w:t>
            </w:r>
          </w:p>
        </w:tc>
        <w:tc>
          <w:tcPr>
            <w:tcW w:type="dxa" w:w="3131"/>
          </w:tcPr>
          <w:p>
            <w:r>
              <w:rPr>
                <w:sz w:val="17"/>
              </w:rPr>
            </w:r>
            <w:r>
              <w:rPr>
                <w:sz w:val="17"/>
              </w:rPr>
              <w:t>https:/​/​www.dmt.gov.ae/​en/​adm/​Media-Centre/​News/​08Jan2025</w:t>
            </w:r>
          </w:p>
        </w:tc>
        <w:tc>
          <w:tcPr>
            <w:tcW w:type="dxa" w:w="1043"/>
          </w:tcPr>
          <w:p>
            <w:r>
              <w:rPr>
                <w:sz w:val="17"/>
              </w:rPr>
            </w:r>
            <w:r>
              <w:rPr>
                <w:sz w:val="17"/>
              </w:rPr>
              <w:t>2026-11-04</w:t>
            </w:r>
          </w:p>
        </w:tc>
      </w:tr>
      <w:tr>
        <w:trPr>
          <w:cantSplit/>
        </w:trPr>
        <w:tc>
          <w:tcPr>
            <w:tcW w:type="dxa" w:w="1063"/>
          </w:tcPr>
          <w:p>
            <w:r>
              <w:rPr>
                <w:sz w:val="17"/>
              </w:rPr>
            </w:r>
            <w:r>
              <w:rPr>
                <w:sz w:val="17"/>
              </w:rPr>
              <w:t>ED-ALSAFAT</w:t>
            </w:r>
          </w:p>
        </w:tc>
        <w:tc>
          <w:tcPr>
            <w:tcW w:type="dxa" w:w="1651"/>
          </w:tcPr>
          <w:p>
            <w:r>
              <w:rPr>
                <w:sz w:val="17"/>
              </w:rPr>
            </w:r>
            <w:r>
              <w:rPr>
                <w:sz w:val="17"/>
              </w:rPr>
              <w:t>Al Sa'fat Dubai Green Building System</w:t>
            </w:r>
          </w:p>
        </w:tc>
        <w:tc>
          <w:tcPr>
            <w:tcW w:type="dxa" w:w="5559"/>
          </w:tcPr>
          <w:p>
            <w:r>
              <w:rPr>
                <w:sz w:val="17"/>
              </w:rPr>
            </w:r>
            <w:r>
              <w:rPr>
                <w:sz w:val="17"/>
              </w:rPr>
              <w:t>2nd edition: Silver Sa'fa mandatory for all new buildings in Dubai</w:t>
            </w:r>
          </w:p>
        </w:tc>
        <w:tc>
          <w:tcPr>
            <w:tcW w:type="dxa" w:w="1103"/>
          </w:tcPr>
          <w:p>
            <w:r>
              <w:rPr>
                <w:sz w:val="17"/>
              </w:rPr>
            </w:r>
            <w:r>
              <w:rPr>
                <w:sz w:val="17"/>
              </w:rPr>
              <w:t>2023-01</w:t>
            </w:r>
          </w:p>
        </w:tc>
        <w:tc>
          <w:tcPr>
            <w:tcW w:type="dxa" w:w="1848"/>
          </w:tcPr>
          <w:p>
            <w:r>
              <w:rPr>
                <w:sz w:val="17"/>
              </w:rPr>
            </w:r>
            <w:r>
              <w:rPr>
                <w:sz w:val="17"/>
              </w:rPr>
              <w:t>Statutory minimum (BBM-STD-57, 81, 85)</w:t>
            </w:r>
          </w:p>
        </w:tc>
        <w:tc>
          <w:tcPr>
            <w:tcW w:type="dxa" w:w="3131"/>
          </w:tcPr>
          <w:p>
            <w:r>
              <w:rPr>
                <w:sz w:val="17"/>
              </w:rPr>
            </w:r>
            <w:r>
              <w:rPr>
                <w:sz w:val="17"/>
              </w:rPr>
              <w:t>https:/​/​www.dm.gov.ae/​municipality-business/​al-safat-dubai-green-building-system/​</w:t>
            </w:r>
          </w:p>
        </w:tc>
        <w:tc>
          <w:tcPr>
            <w:tcW w:type="dxa" w:w="1043"/>
          </w:tcPr>
          <w:p>
            <w:r>
              <w:rPr>
                <w:sz w:val="17"/>
              </w:rPr>
            </w:r>
            <w:r>
              <w:rPr>
                <w:sz w:val="17"/>
              </w:rPr>
              <w:t>2026-11-04</w:t>
            </w:r>
          </w:p>
        </w:tc>
      </w:tr>
      <w:tr>
        <w:trPr>
          <w:cantSplit/>
        </w:trPr>
        <w:tc>
          <w:tcPr>
            <w:tcW w:type="dxa" w:w="1063"/>
          </w:tcPr>
          <w:p>
            <w:r>
              <w:rPr>
                <w:sz w:val="17"/>
              </w:rPr>
            </w:r>
            <w:r>
              <w:rPr>
                <w:sz w:val="17"/>
              </w:rPr>
              <w:t>ED-UAE-PDPL</w:t>
            </w:r>
          </w:p>
        </w:tc>
        <w:tc>
          <w:tcPr>
            <w:tcW w:type="dxa" w:w="1651"/>
          </w:tcPr>
          <w:p>
            <w:r>
              <w:rPr>
                <w:sz w:val="17"/>
              </w:rPr>
            </w:r>
            <w:r>
              <w:rPr>
                <w:sz w:val="17"/>
              </w:rPr>
              <w:t>Federal Decree-Law No. 45 of 2021 on the Protection of Personal Data</w:t>
            </w:r>
          </w:p>
        </w:tc>
        <w:tc>
          <w:tcPr>
            <w:tcW w:type="dxa" w:w="5559"/>
          </w:tcPr>
          <w:p>
            <w:r>
              <w:rPr>
                <w:sz w:val="17"/>
              </w:rPr>
            </w:r>
            <w:r>
              <w:rPr>
                <w:sz w:val="17"/>
              </w:rPr>
              <w:t>Active; executive regulations as listed on uaelegislation.gov.ae at project start</w:t>
            </w:r>
          </w:p>
        </w:tc>
        <w:tc>
          <w:tcPr>
            <w:tcW w:type="dxa" w:w="1103"/>
          </w:tcPr>
          <w:p>
            <w:r>
              <w:rPr>
                <w:sz w:val="17"/>
              </w:rPr>
            </w:r>
            <w:r>
              <w:rPr>
                <w:sz w:val="17"/>
              </w:rPr>
              <w:t>effective 2022-01-02</w:t>
            </w:r>
          </w:p>
        </w:tc>
        <w:tc>
          <w:tcPr>
            <w:tcW w:type="dxa" w:w="1848"/>
          </w:tcPr>
          <w:p>
            <w:r>
              <w:rPr>
                <w:sz w:val="17"/>
              </w:rPr>
            </w:r>
            <w:r>
              <w:rPr>
                <w:sz w:val="17"/>
              </w:rPr>
              <w:t>Personal data (BBM-STD-03, 90)</w:t>
            </w:r>
          </w:p>
        </w:tc>
        <w:tc>
          <w:tcPr>
            <w:tcW w:type="dxa" w:w="3131"/>
          </w:tcPr>
          <w:p>
            <w:r>
              <w:rPr>
                <w:sz w:val="17"/>
              </w:rPr>
            </w:r>
            <w:r>
              <w:rPr>
                <w:sz w:val="17"/>
              </w:rPr>
              <w:t>https:/​/​uaelegislation.gov.ae/​en/​legislations/​1972</w:t>
            </w:r>
          </w:p>
        </w:tc>
        <w:tc>
          <w:tcPr>
            <w:tcW w:type="dxa" w:w="1043"/>
          </w:tcPr>
          <w:p>
            <w:r>
              <w:rPr>
                <w:sz w:val="17"/>
              </w:rPr>
            </w:r>
            <w:r>
              <w:rPr>
                <w:sz w:val="17"/>
              </w:rPr>
              <w:t>2026-11-04</w:t>
            </w:r>
          </w:p>
        </w:tc>
      </w:tr>
      <w:tr>
        <w:trPr/>
        <w:tc>
          <w:tcPr>
            <w:tcW w:type="dxa" w:w="1063"/>
          </w:tcPr>
          <w:p>
            <w:r>
              <w:rPr>
                <w:sz w:val="17"/>
              </w:rPr>
            </w:r>
            <w:r>
              <w:rPr>
                <w:sz w:val="17"/>
              </w:rPr>
              <w:t>ED-UAE-CTL</w:t>
            </w:r>
          </w:p>
        </w:tc>
        <w:tc>
          <w:tcPr>
            <w:tcW w:type="dxa" w:w="1651"/>
          </w:tcPr>
          <w:p>
            <w:r>
              <w:rPr>
                <w:sz w:val="17"/>
              </w:rPr>
            </w:r>
            <w:r>
              <w:rPr>
                <w:sz w:val="17"/>
              </w:rPr>
              <w:t>Federal Decree-Law No. 25 of 2025 (Civil Transactions Law)</w:t>
            </w:r>
          </w:p>
        </w:tc>
        <w:tc>
          <w:tcPr>
            <w:tcW w:type="dxa" w:w="5559"/>
          </w:tcPr>
          <w:p>
            <w:r>
              <w:rPr>
                <w:sz w:val="17"/>
              </w:rPr>
            </w:r>
            <w:r>
              <w:rPr>
                <w:sz w:val="17"/>
              </w:rPr>
              <w:t>Decennial liability Art. 821 (engineer and contractor jointly, 10 years from delivery); Art. 823 bars exemption clauses; Art. 824 three-year claim period. Contracts signed before 1 Jun 2026: Federal Law 5/​1985 Art. 880. Corrigendum in the annex of Official Gazette No. 821 (14 Apr 2026) checked: the text as corrected lists no change to Art. 821–824, and the official Art. 821, 823 and 824 read as quoted here (read 2026-11-05)</w:t>
            </w:r>
          </w:p>
        </w:tc>
        <w:tc>
          <w:tcPr>
            <w:tcW w:type="dxa" w:w="1103"/>
          </w:tcPr>
          <w:p>
            <w:r>
              <w:rPr>
                <w:sz w:val="17"/>
              </w:rPr>
            </w:r>
            <w:r>
              <w:rPr>
                <w:sz w:val="17"/>
              </w:rPr>
              <w:t>effective 2026-06-01</w:t>
            </w:r>
          </w:p>
        </w:tc>
        <w:tc>
          <w:tcPr>
            <w:tcW w:type="dxa" w:w="1848"/>
          </w:tcPr>
          <w:p>
            <w:r>
              <w:rPr>
                <w:sz w:val="17"/>
              </w:rPr>
            </w:r>
            <w:r>
              <w:rPr>
                <w:sz w:val="17"/>
              </w:rPr>
              <w:t>Retention minimum 10 years after handover + 3 years; final schedule ruled by the legal owner (BBM-STD-90)</w:t>
            </w:r>
          </w:p>
        </w:tc>
        <w:tc>
          <w:tcPr>
            <w:tcW w:type="dxa" w:w="3131"/>
          </w:tcPr>
          <w:p>
            <w:r>
              <w:rPr>
                <w:sz w:val="17"/>
              </w:rPr>
            </w:r>
            <w:r>
              <w:rPr>
                <w:sz w:val="17"/>
              </w:rPr>
              <w:t>https:/​/​uaelegislation.gov.ae/​en/​legislations/​4011 ; https:/​/​www.lexismiddleeast.com/​gazette/​UnitedArabEmirates/​2026_821_Annex/​en</w:t>
            </w:r>
          </w:p>
        </w:tc>
        <w:tc>
          <w:tcPr>
            <w:tcW w:type="dxa" w:w="1043"/>
          </w:tcPr>
          <w:p>
            <w:r>
              <w:rPr>
                <w:sz w:val="17"/>
              </w:rPr>
            </w:r>
            <w:r>
              <w:rPr>
                <w:sz w:val="17"/>
              </w:rPr>
              <w:t>2026-11-05</w:t>
            </w:r>
          </w:p>
        </w:tc>
      </w:tr>
      <w:tr>
        <w:trPr/>
        <w:tc>
          <w:tcPr>
            <w:tcW w:type="dxa" w:w="1063"/>
          </w:tcPr>
          <w:p>
            <w:r>
              <w:rPr>
                <w:sz w:val="17"/>
              </w:rPr>
            </w:r>
            <w:r>
              <w:rPr>
                <w:sz w:val="17"/>
              </w:rPr>
              <w:t>ED-SIRA</w:t>
            </w:r>
          </w:p>
        </w:tc>
        <w:tc>
          <w:tcPr>
            <w:tcW w:type="dxa" w:w="1651"/>
          </w:tcPr>
          <w:p>
            <w:r>
              <w:rPr>
                <w:sz w:val="17"/>
              </w:rPr>
            </w:r>
            <w:r>
              <w:rPr>
                <w:sz w:val="17"/>
              </w:rPr>
              <w:t>Dubai SIRA security-system requirements</w:t>
            </w:r>
          </w:p>
        </w:tc>
        <w:tc>
          <w:tcPr>
            <w:tcW w:type="dxa" w:w="5559"/>
          </w:tcPr>
          <w:p>
            <w:r>
              <w:rPr>
                <w:sz w:val="17"/>
              </w:rPr>
            </w:r>
            <w:r>
              <w:rPr>
                <w:sz w:val="17"/>
              </w:rPr>
              <w:t>Law No. 12 of 2016 regulating the security industry in Dubai and its Implementing Bylaw (Resolution No. 1 of 2018); SIRA Administrative Resolution No. 13 of 2025 approving the Preventive Systems Manual (issued 14 Apr 2025, in force on Official Gazette publication): camera views, ANPR, access control, guards and system health monitoring per establishment type; Security Plan Certificate (SPC) and Security System Certification e-services (</w:t>
            </w:r>
            <w:r>
              <w:rPr>
                <w:color w:val="9A7B45"/>
                <w:sz w:val="17"/>
                <w:u w:val="single"/>
              </w:rPr>
              <w:t>O-DEC-186</w:t>
            </w:r>
            <w:r>
              <w:rPr>
                <w:sz w:val="17"/>
              </w:rPr>
              <w:t>)</w:t>
            </w:r>
          </w:p>
        </w:tc>
        <w:tc>
          <w:tcPr>
            <w:tcW w:type="dxa" w:w="1103"/>
          </w:tcPr>
          <w:p>
            <w:r>
              <w:rPr>
                <w:sz w:val="17"/>
              </w:rPr>
            </w:r>
            <w:r>
              <w:rPr>
                <w:sz w:val="17"/>
              </w:rPr>
              <w:t>2025-04-14</w:t>
            </w:r>
          </w:p>
        </w:tc>
        <w:tc>
          <w:tcPr>
            <w:tcW w:type="dxa" w:w="1848"/>
          </w:tcPr>
          <w:p>
            <w:r>
              <w:rPr>
                <w:sz w:val="17"/>
              </w:rPr>
            </w:r>
            <w:r>
              <w:rPr>
                <w:sz w:val="17"/>
              </w:rPr>
              <w:t>Security-system drawings follow the Manual chapter for the establishment type; the SPC is stamped by a SIRA-licensed security consultancy and installer, not by the office; classified per BBM-STD-87; SIRA compliance certificate needed for ED-DM-11-9-1</w:t>
            </w:r>
          </w:p>
        </w:tc>
        <w:tc>
          <w:tcPr>
            <w:tcW w:type="dxa" w:w="3131"/>
          </w:tcPr>
          <w:p>
            <w:r>
              <w:rPr>
                <w:sz w:val="17"/>
              </w:rPr>
            </w:r>
            <w:r>
              <w:rPr>
                <w:sz w:val="17"/>
              </w:rPr>
              <w:t>https:/​/​dlp.dubai.gov.ae/​Legislation%20Reference/​2025/​Administrative%20Resolution%20No.%20%2813%29%20of%202025%20Approving%20the%20Preventive.html ; https:/​/​www.sira.gov.ae/​en/​services/​security-plans-certification</w:t>
            </w:r>
          </w:p>
        </w:tc>
        <w:tc>
          <w:tcPr>
            <w:tcW w:type="dxa" w:w="1043"/>
          </w:tcPr>
          <w:p>
            <w:r>
              <w:rPr>
                <w:sz w:val="17"/>
              </w:rPr>
            </w:r>
            <w:r>
              <w:rPr>
                <w:sz w:val="17"/>
              </w:rPr>
              <w:t>2026-11-05</w:t>
            </w:r>
          </w:p>
        </w:tc>
      </w:tr>
      <w:tr>
        <w:trPr/>
        <w:tc>
          <w:tcPr>
            <w:tcW w:type="dxa" w:w="1063"/>
          </w:tcPr>
          <w:p>
            <w:r>
              <w:rPr>
                <w:sz w:val="17"/>
              </w:rPr>
            </w:r>
            <w:r>
              <w:rPr>
                <w:sz w:val="17"/>
              </w:rPr>
              <w:t>ED-UAE-CRS</w:t>
            </w:r>
          </w:p>
        </w:tc>
        <w:tc>
          <w:tcPr>
            <w:tcW w:type="dxa" w:w="1651"/>
          </w:tcPr>
          <w:p>
            <w:r>
              <w:rPr>
                <w:sz w:val="17"/>
              </w:rPr>
            </w:r>
            <w:r>
              <w:rPr>
                <w:sz w:val="17"/>
              </w:rPr>
              <w:t xml:space="preserve">Project coordinate reference systems (CRS register keys CRS-DXB, CRS-AUH, CRS-OTH in </w:t>
            </w:r>
            <w:r>
              <w:rPr>
                <w:color w:val="9A7B45"/>
                <w:sz w:val="17"/>
                <w:u w:val="single"/>
              </w:rPr>
              <w:t>BBM-STD-86</w:t>
            </w:r>
            <w:r>
              <w:rPr>
                <w:sz w:val="17"/>
              </w:rPr>
              <w:t xml:space="preserve"> §2)</w:t>
            </w:r>
          </w:p>
        </w:tc>
        <w:tc>
          <w:tcPr>
            <w:tcW w:type="dxa" w:w="5559"/>
          </w:tcPr>
          <w:p>
            <w:r>
              <w:rPr>
                <w:sz w:val="17"/>
              </w:rPr>
            </w:r>
            <w:r>
              <w:rPr>
                <w:sz w:val="17"/>
              </w:rPr>
              <w:t>Dubai: DLTM, EPSG:3997 "WGS 84 /​ Dubai Local TM", required by the Dubai BIM Standard 1.4 §4.1.2; WGS 84 based, so no datum transformation for WGS 84 data; vertical DMD (Port Rashid datum, no EPSG code) (</w:t>
            </w:r>
            <w:r>
              <w:rPr>
                <w:color w:val="9A7B45"/>
                <w:sz w:val="17"/>
                <w:u w:val="single"/>
              </w:rPr>
              <w:t>O-DEC-157</w:t>
            </w:r>
            <w:r>
              <w:rPr>
                <w:sz w:val="17"/>
              </w:rPr>
              <w:t>). Abu Dhabi: WGS 84 (ITRF2000) /​ UTM 40N EPSG:32640 east of 54°E, UTM 39N EPSG:32639 west of 54°E; vertical Ras Ghumays, EPSG:5843 (</w:t>
            </w:r>
            <w:r>
              <w:rPr>
                <w:color w:val="9A7B45"/>
                <w:sz w:val="17"/>
                <w:u w:val="single"/>
              </w:rPr>
              <w:t>O-DEC-159</w:t>
            </w:r>
            <w:r>
              <w:rPr>
                <w:sz w:val="17"/>
              </w:rPr>
              <w:t>)</w:t>
            </w:r>
          </w:p>
        </w:tc>
        <w:tc>
          <w:tcPr>
            <w:tcW w:type="dxa" w:w="1103"/>
          </w:tcPr>
          <w:p>
            <w:r>
              <w:rPr>
                <w:sz w:val="17"/>
              </w:rPr>
            </w:r>
            <w:r>
              <w:rPr>
                <w:sz w:val="17"/>
              </w:rPr>
              <w:t>2026-06-08 /​ 2023-02</w:t>
            </w:r>
          </w:p>
        </w:tc>
        <w:tc>
          <w:tcPr>
            <w:tcW w:type="dxa" w:w="1848"/>
          </w:tcPr>
          <w:p>
            <w:r>
              <w:rPr>
                <w:sz w:val="17"/>
              </w:rPr>
            </w:r>
            <w:r>
              <w:rPr>
                <w:sz w:val="17"/>
              </w:rPr>
              <w:t>Register and procedure in BBM-STD-86; zone chosen from the plot, never one emirate-wide code</w:t>
            </w:r>
          </w:p>
        </w:tc>
        <w:tc>
          <w:tcPr>
            <w:tcW w:type="dxa" w:w="3131"/>
          </w:tcPr>
          <w:p>
            <w:r>
              <w:rPr>
                <w:sz w:val="17"/>
              </w:rPr>
            </w:r>
            <w:r>
              <w:rPr>
                <w:sz w:val="17"/>
              </w:rPr>
              <w:t>https:/​/​epsg.io/​3997 ; https:/​/​admobility.gov.ae/​services/​-/​media/​As-Built-Data-Submission-Standards.pdf ; https:/​/​epsg.io/​5843</w:t>
            </w:r>
          </w:p>
        </w:tc>
        <w:tc>
          <w:tcPr>
            <w:tcW w:type="dxa" w:w="1043"/>
          </w:tcPr>
          <w:p>
            <w:r>
              <w:rPr>
                <w:sz w:val="17"/>
              </w:rPr>
            </w:r>
            <w:r>
              <w:rPr>
                <w:sz w:val="17"/>
              </w:rPr>
              <w:t>2026-11-05</w:t>
            </w:r>
          </w:p>
        </w:tc>
      </w:tr>
      <w:tr>
        <w:trPr>
          <w:cantSplit/>
        </w:trPr>
        <w:tc>
          <w:tcPr>
            <w:tcW w:type="dxa" w:w="1063"/>
          </w:tcPr>
          <w:p>
            <w:r>
              <w:rPr>
                <w:sz w:val="17"/>
              </w:rPr>
            </w:r>
            <w:r>
              <w:rPr>
                <w:sz w:val="17"/>
              </w:rPr>
              <w:t>ED-UAE-NATIONAL</w:t>
            </w:r>
          </w:p>
        </w:tc>
        <w:tc>
          <w:tcPr>
            <w:tcW w:type="dxa" w:w="1651"/>
          </w:tcPr>
          <w:p>
            <w:r>
              <w:rPr>
                <w:sz w:val="17"/>
              </w:rPr>
            </w:r>
            <w:r>
              <w:rPr>
                <w:sz w:val="17"/>
              </w:rPr>
              <w:t>UAE federal BIM mandate</w:t>
            </w:r>
          </w:p>
        </w:tc>
        <w:tc>
          <w:tcPr>
            <w:tcW w:type="dxa" w:w="5559"/>
          </w:tcPr>
          <w:p>
            <w:r>
              <w:rPr>
                <w:sz w:val="17"/>
              </w:rPr>
            </w:r>
            <w:r>
              <w:rPr>
                <w:sz w:val="17"/>
              </w:rPr>
              <w:t>None found; MoEI green building codes (2022) noted</w:t>
            </w:r>
          </w:p>
        </w:tc>
        <w:tc>
          <w:tcPr>
            <w:tcW w:type="dxa" w:w="1103"/>
          </w:tcPr>
          <w:p>
            <w:r>
              <w:rPr>
                <w:sz w:val="17"/>
              </w:rPr>
            </w:r>
            <w:r>
              <w:rPr>
                <w:sz w:val="17"/>
              </w:rPr>
              <w:t>2022</w:t>
            </w:r>
          </w:p>
        </w:tc>
        <w:tc>
          <w:tcPr>
            <w:tcW w:type="dxa" w:w="1848"/>
          </w:tcPr>
          <w:p>
            <w:r>
              <w:rPr>
                <w:sz w:val="17"/>
              </w:rPr>
            </w:r>
            <w:r>
              <w:rPr>
                <w:sz w:val="17"/>
              </w:rPr>
              <w:t>No federal BIM rule is assumed</w:t>
            </w:r>
          </w:p>
        </w:tc>
        <w:tc>
          <w:tcPr>
            <w:tcW w:type="dxa" w:w="3131"/>
          </w:tcPr>
          <w:p>
            <w:r>
              <w:rPr>
                <w:sz w:val="17"/>
              </w:rPr>
            </w:r>
            <w:r>
              <w:rPr>
                <w:sz w:val="17"/>
              </w:rPr>
              <w:t>https:/​/​www.Project.ae/​en/​details/​1395303033593</w:t>
            </w:r>
          </w:p>
        </w:tc>
        <w:tc>
          <w:tcPr>
            <w:tcW w:type="dxa" w:w="1043"/>
          </w:tcPr>
          <w:p>
            <w:r>
              <w:rPr>
                <w:sz w:val="17"/>
              </w:rPr>
            </w:r>
            <w:r>
              <w:rPr>
                <w:sz w:val="17"/>
              </w:rPr>
              <w:t>2026-11-04</w:t>
            </w:r>
          </w:p>
        </w:tc>
      </w:tr>
    </w:tbl>
    <w:p/>
    <w:p>
      <w:pPr>
        <w:sectPr>
          <w:pgSz w:w="16838" w:h="11906" w:orient="landscape"/>
          <w:pgMar w:top="1701" w:right="720" w:bottom="720" w:left="720" w:header="454" w:footer="200" w:gutter="0"/>
          <w:cols w:space="708"/>
          <w:docGrid w:linePitch="360"/>
        </w:sectPr>
      </w:pPr>
    </w:p>
    <w:p>
      <w:pPr/>
      <w:r>
        <w:t>For every adoption record retain publisher/source URL, standard identifier, edition, published/draft/withdrawn status, national adoption, jurisdiction, applicable clauses, contractual incorporation, verification date, licensed access route and approving function. Licensed texts remain in their controlled permitted store. No copied paid-standard paragraphs or licence keys belong here.</w:t>
      </w:r>
    </w:p>
    <w:p>
      <w:pPr/>
      <w:r>
        <w:t>ISO clause pointers are paraphrased reading directions: ISO 19650-1 clause 5 concerns requirements; ISO 19650-2 clauses 5.1.4 and 5.1.5 concern the project's information standard and production methods. Check the licensed publication before a formal compliance assertion. Public catalogue pages prove scope and edition only.</w:t>
      </w:r>
    </w:p>
    <w:p>
      <w:pPr>
        <w:pStyle w:val="Heading2"/>
      </w:pPr>
      <w:r>
        <w:t>3.1 Legacy transition worksheet</w:t>
      </w:r>
    </w:p>
    <w:p>
      <w:pPr/>
      <w:r>
        <w:t>The following is an office mapping method for BS 1192-era project records, not a reproduced BS code table. Compare the actual historical project standard and signed appointment before adopting a mapping. Preserve every issued literal and its original meaning.</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290"/>
        <w:gridCol w:w="3244"/>
        <w:gridCol w:w="4932"/>
      </w:tblGrid>
      <w:tr>
        <w:trPr>
          <w:cantSplit/>
          <w:tblHeader/>
        </w:trPr>
        <w:tc>
          <w:tcPr>
            <w:tcW w:type="dxa" w:w="2290"/>
            <w:shd w:val="clear" w:color="auto" w:fill="111113"/>
          </w:tcPr>
          <w:p>
            <w:r>
              <w:rPr>
                <w:b/>
                <w:color w:val="FFFFFF"/>
                <w:sz w:val="17"/>
              </w:rPr>
            </w:r>
            <w:r>
              <w:rPr>
                <w:b/>
                <w:color w:val="FFFFFF"/>
                <w:sz w:val="17"/>
              </w:rPr>
              <w:t>Legacy component or record</w:t>
            </w:r>
          </w:p>
        </w:tc>
        <w:tc>
          <w:tcPr>
            <w:tcW w:type="dxa" w:w="3244"/>
            <w:shd w:val="clear" w:color="auto" w:fill="111113"/>
          </w:tcPr>
          <w:p>
            <w:r>
              <w:rPr>
                <w:b/>
                <w:color w:val="FFFFFF"/>
                <w:sz w:val="17"/>
              </w:rPr>
            </w:r>
            <w:r>
              <w:rPr>
                <w:b/>
                <w:color w:val="FFFFFF"/>
                <w:sz w:val="17"/>
              </w:rPr>
              <w:t>Current treatment</w:t>
            </w:r>
          </w:p>
        </w:tc>
        <w:tc>
          <w:tcPr>
            <w:tcW w:type="dxa" w:w="4932"/>
            <w:shd w:val="clear" w:color="auto" w:fill="111113"/>
          </w:tcPr>
          <w:p>
            <w:r>
              <w:rPr>
                <w:b/>
                <w:color w:val="FFFFFF"/>
                <w:sz w:val="17"/>
              </w:rPr>
            </w:r>
            <w:r>
              <w:rPr>
                <w:b/>
                <w:color w:val="FFFFFF"/>
                <w:sz w:val="17"/>
              </w:rPr>
              <w:t>Approval or unsupported condition</w:t>
            </w:r>
          </w:p>
        </w:tc>
      </w:tr>
      <w:tr>
        <w:trPr>
          <w:cantSplit/>
        </w:trPr>
        <w:tc>
          <w:tcPr>
            <w:tcW w:type="dxa" w:w="2290"/>
          </w:tcPr>
          <w:p>
            <w:r>
              <w:rPr>
                <w:sz w:val="17"/>
              </w:rPr>
            </w:r>
            <w:r>
              <w:rPr>
                <w:sz w:val="17"/>
              </w:rPr>
              <w:t>Project; originator</w:t>
            </w:r>
          </w:p>
        </w:tc>
        <w:tc>
          <w:tcPr>
            <w:tcW w:type="dxa" w:w="3244"/>
          </w:tcPr>
          <w:p>
            <w:r>
              <w:rPr>
                <w:sz w:val="17"/>
              </w:rPr>
            </w:r>
            <w:r>
              <w:rPr>
                <w:sz w:val="17"/>
              </w:rPr>
              <w:t>PROJ; ORG</w:t>
            </w:r>
          </w:p>
        </w:tc>
        <w:tc>
          <w:tcPr>
            <w:tcW w:type="dxa" w:w="4932"/>
          </w:tcPr>
          <w:p>
            <w:r>
              <w:rPr>
                <w:sz w:val="17"/>
              </w:rPr>
            </w:r>
            <w:r>
              <w:rPr>
                <w:sz w:val="17"/>
              </w:rPr>
              <w:t>Verify allocated project/​organisation codes; CLIENT is an additional office token, not a claimed BS requirement</w:t>
            </w:r>
          </w:p>
        </w:tc>
      </w:tr>
      <w:tr>
        <w:trPr>
          <w:cantSplit/>
        </w:trPr>
        <w:tc>
          <w:tcPr>
            <w:tcW w:type="dxa" w:w="2290"/>
          </w:tcPr>
          <w:p>
            <w:r>
              <w:rPr>
                <w:sz w:val="17"/>
              </w:rPr>
            </w:r>
            <w:r>
              <w:rPr>
                <w:sz w:val="17"/>
              </w:rPr>
              <w:t>Volume or system; level or location</w:t>
            </w:r>
          </w:p>
        </w:tc>
        <w:tc>
          <w:tcPr>
            <w:tcW w:type="dxa" w:w="3244"/>
          </w:tcPr>
          <w:p>
            <w:r>
              <w:rPr>
                <w:sz w:val="17"/>
              </w:rPr>
            </w:r>
            <w:r>
              <w:rPr>
                <w:sz w:val="17"/>
              </w:rPr>
              <w:t>VOLUME; LEVEL</w:t>
            </w:r>
          </w:p>
        </w:tc>
        <w:tc>
          <w:tcPr>
            <w:tcW w:type="dxa" w:w="4932"/>
          </w:tcPr>
          <w:p>
            <w:r>
              <w:rPr>
                <w:sz w:val="17"/>
              </w:rPr>
            </w:r>
            <w:r>
              <w:rPr>
                <w:sz w:val="17"/>
              </w:rPr>
              <w:t>Confirm scope and granularity; no inferred ZZ for an unknown division</w:t>
            </w:r>
          </w:p>
        </w:tc>
      </w:tr>
      <w:tr>
        <w:trPr>
          <w:cantSplit/>
        </w:trPr>
        <w:tc>
          <w:tcPr>
            <w:tcW w:type="dxa" w:w="2290"/>
          </w:tcPr>
          <w:p>
            <w:r>
              <w:rPr>
                <w:sz w:val="17"/>
              </w:rPr>
            </w:r>
            <w:r>
              <w:rPr>
                <w:sz w:val="17"/>
              </w:rPr>
              <w:t>Type; role; number</w:t>
            </w:r>
          </w:p>
        </w:tc>
        <w:tc>
          <w:tcPr>
            <w:tcW w:type="dxa" w:w="3244"/>
          </w:tcPr>
          <w:p>
            <w:r>
              <w:rPr>
                <w:sz w:val="17"/>
              </w:rPr>
            </w:r>
            <w:r>
              <w:rPr>
                <w:sz w:val="17"/>
              </w:rPr>
              <w:t>TYPE; ROLE; NUMBER</w:t>
            </w:r>
          </w:p>
        </w:tc>
        <w:tc>
          <w:tcPr>
            <w:tcW w:type="dxa" w:w="4932"/>
          </w:tcPr>
          <w:p>
            <w:r>
              <w:rPr>
                <w:sz w:val="17"/>
              </w:rPr>
            </w:r>
            <w:r>
              <w:rPr>
                <w:sz w:val="17"/>
              </w:rPr>
              <w:t>Validate code meanings and number namespace; use a controlled alias where meanings differ</w:t>
            </w:r>
          </w:p>
        </w:tc>
      </w:tr>
      <w:tr>
        <w:trPr>
          <w:cantSplit/>
        </w:trPr>
        <w:tc>
          <w:tcPr>
            <w:tcW w:type="dxa" w:w="2290"/>
          </w:tcPr>
          <w:p>
            <w:r>
              <w:rPr>
                <w:sz w:val="17"/>
              </w:rPr>
            </w:r>
            <w:r>
              <w:rPr>
                <w:sz w:val="17"/>
              </w:rPr>
              <w:t>Legacy suitability/​status literal</w:t>
            </w:r>
          </w:p>
        </w:tc>
        <w:tc>
          <w:tcPr>
            <w:tcW w:type="dxa" w:w="3244"/>
          </w:tcPr>
          <w:p>
            <w:r>
              <w:rPr>
                <w:sz w:val="17"/>
              </w:rPr>
            </w:r>
            <w:r>
              <w:rPr>
                <w:sz w:val="17"/>
              </w:rPr>
              <w:t>Preserve old literal and meaning; map to one SU value only after use/​recipient review</w:t>
            </w:r>
          </w:p>
        </w:tc>
        <w:tc>
          <w:tcPr>
            <w:tcW w:type="dxa" w:w="4932"/>
          </w:tcPr>
          <w:p>
            <w:r>
              <w:rPr>
                <w:sz w:val="17"/>
              </w:rPr>
            </w:r>
            <w:r>
              <w:rPr>
                <w:sz w:val="17"/>
              </w:rPr>
              <w:t>A similar-looking S code is not an automatic ISO/​SU equivalent. Unknown meaning holds the affected use</w:t>
            </w:r>
          </w:p>
        </w:tc>
      </w:tr>
      <w:tr>
        <w:trPr>
          <w:cantSplit/>
        </w:trPr>
        <w:tc>
          <w:tcPr>
            <w:tcW w:type="dxa" w:w="2290"/>
          </w:tcPr>
          <w:p>
            <w:r>
              <w:rPr>
                <w:sz w:val="17"/>
              </w:rPr>
            </w:r>
            <w:r>
              <w:rPr>
                <w:sz w:val="17"/>
              </w:rPr>
              <w:t>Legacy revision literal</w:t>
            </w:r>
          </w:p>
        </w:tc>
        <w:tc>
          <w:tcPr>
            <w:tcW w:type="dxa" w:w="3244"/>
          </w:tcPr>
          <w:p>
            <w:r>
              <w:rPr>
                <w:sz w:val="17"/>
              </w:rPr>
            </w:r>
            <w:r>
              <w:rPr>
                <w:sz w:val="17"/>
              </w:rPr>
              <w:t>Retain issued literal; use an explicit old-to-new revision map for future issues</w:t>
            </w:r>
          </w:p>
        </w:tc>
        <w:tc>
          <w:tcPr>
            <w:tcW w:type="dxa" w:w="4932"/>
          </w:tcPr>
          <w:p>
            <w:r>
              <w:rPr>
                <w:sz w:val="17"/>
              </w:rPr>
            </w:r>
            <w:r>
              <w:rPr>
                <w:sz w:val="17"/>
              </w:rPr>
              <w:t>Rnn continues where already adopted; other series need the appointment authority's decision, never an arithmetic conversion</w:t>
            </w:r>
          </w:p>
        </w:tc>
      </w:tr>
      <w:tr>
        <w:trPr>
          <w:cantSplit/>
        </w:trPr>
        <w:tc>
          <w:tcPr>
            <w:tcW w:type="dxa" w:w="2290"/>
          </w:tcPr>
          <w:p>
            <w:r>
              <w:rPr>
                <w:sz w:val="17"/>
              </w:rPr>
            </w:r>
            <w:r>
              <w:rPr>
                <w:sz w:val="17"/>
              </w:rPr>
              <w:t>Internal ORG-PROJ-DISC-PHASE-SEQUENCE</w:t>
            </w:r>
          </w:p>
        </w:tc>
        <w:tc>
          <w:tcPr>
            <w:tcW w:type="dxa" w:w="3244"/>
          </w:tcPr>
          <w:p>
            <w:r>
              <w:rPr>
                <w:sz w:val="17"/>
              </w:rPr>
            </w:r>
            <w:r>
              <w:rPr>
                <w:sz w:val="17"/>
              </w:rPr>
              <w:t>Mapped internal WIP alias only, linked to one eight-token external identity; never issued (O-DEC-102)</w:t>
            </w:r>
          </w:p>
        </w:tc>
        <w:tc>
          <w:tcPr>
            <w:tcW w:type="dxa" w:w="4932"/>
          </w:tcPr>
          <w:p>
            <w:r>
              <w:rPr>
                <w:sz w:val="17"/>
              </w:rPr>
            </w:r>
            <w:r>
              <w:rPr>
                <w:sz w:val="17"/>
              </w:rPr>
              <w:t>Trade maps to role through BBM-STD-93; the PHASE token is retired (stage is permitted-use metadata); multi-token descriptors require registered handling</w:t>
            </w:r>
          </w:p>
        </w:tc>
      </w:tr>
    </w:tbl>
    <w:p/>
    <w:p>
      <w:pPr/>
      <w:r>
        <w:t>The workbook Legacy map records the old literal, current meaning, applicability, ChangeID, approver, effective revision and retained-history URI. For the synthetic example, LEG-SYN-COORD is explicitly defined as coordination in its fictitious project standard and maps to SU-COORD. It is not represented as a BS 1192 code. Review and notify all affected CAD, Revit and CDE users before the next applicable exchange.</w:t>
      </w:r>
    </w:p>
    <w:p>
      <w:pPr>
        <w:pStyle w:val="Heading1"/>
      </w:pPr>
      <w:r>
        <w:t>4 Shared naming and metadata register</w:t>
      </w:r>
    </w:p>
    <w:p>
      <w:pPr/>
      <w:r>
        <w:t xml:space="preserve">Retain O3-POL-01 in </w:t>
      </w:r>
      <w:r>
        <w:rPr>
          <w:color w:val="9A7B45"/>
          <w:u w:val="single"/>
        </w:rPr>
        <w:t>Clash Matrix section 2</w:t>
      </w:r>
      <w:r>
        <w:t xml:space="preserve"> and BEP 8.3 as the existing policy authority (O-DEC-102). This table implements that decision, rather than establishing another grammar. Register one appointment mapping when the recipient requires different tokens or codes. The eight-token external identity is CLIENT-ORG-PROJ-VOLUME-LEVEL-TYPE-ROLE-NUMBER.ext. Tokens are uppercase, separated by single hyphens; NUMBER has four digits; the approved extension is lowercase. Revision and suitability are metadata.</w:t>
      </w:r>
    </w:p>
    <w:p>
      <w:pPr/>
      <w:r>
        <w:rPr>
          <w:b/>
        </w:rPr>
        <w:t>Code values live in one place: BBM-STD-93 Code dictionary (O-DEC-103, O-DEC-104).</w:t>
      </w:r>
      <w:r>
        <w:t xml:space="preserve"> This section keeps only the token order and validation rules. Short summary for orientation; BBM-STD-93 governs where they differ: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785"/>
        <w:gridCol w:w="8681"/>
      </w:tblGrid>
      <w:tr>
        <w:trPr>
          <w:cantSplit/>
          <w:tblHeader/>
        </w:trPr>
        <w:tc>
          <w:tcPr>
            <w:tcW w:type="dxa" w:w="1785"/>
            <w:shd w:val="clear" w:color="auto" w:fill="111113"/>
          </w:tcPr>
          <w:p>
            <w:r>
              <w:rPr>
                <w:b/>
                <w:color w:val="FFFFFF"/>
                <w:sz w:val="17"/>
              </w:rPr>
            </w:r>
            <w:r>
              <w:rPr>
                <w:b/>
                <w:color w:val="FFFFFF"/>
                <w:sz w:val="17"/>
              </w:rPr>
              <w:t>Token /​ metadata</w:t>
            </w:r>
          </w:p>
        </w:tc>
        <w:tc>
          <w:tcPr>
            <w:tcW w:type="dxa" w:w="8681"/>
            <w:shd w:val="clear" w:color="auto" w:fill="111113"/>
          </w:tcPr>
          <w:p>
            <w:r>
              <w:rPr>
                <w:b/>
                <w:color w:val="FFFFFF"/>
                <w:sz w:val="17"/>
              </w:rPr>
            </w:r>
            <w:r>
              <w:rPr>
                <w:b/>
                <w:color w:val="FFFFFF"/>
                <w:sz w:val="17"/>
              </w:rPr>
              <w:t>Rule (values in BBM-STD-93)</w:t>
            </w:r>
          </w:p>
        </w:tc>
      </w:tr>
      <w:tr>
        <w:trPr>
          <w:cantSplit/>
        </w:trPr>
        <w:tc>
          <w:tcPr>
            <w:tcW w:type="dxa" w:w="1785"/>
          </w:tcPr>
          <w:p>
            <w:r>
              <w:rPr>
                <w:sz w:val="17"/>
              </w:rPr>
            </w:r>
            <w:r>
              <w:rPr>
                <w:sz w:val="17"/>
              </w:rPr>
              <w:t>CLIENT /​ ORG /​ PROJ</w:t>
            </w:r>
          </w:p>
        </w:tc>
        <w:tc>
          <w:tcPr>
            <w:tcW w:type="dxa" w:w="8681"/>
          </w:tcPr>
          <w:p>
            <w:r>
              <w:rPr>
                <w:sz w:val="17"/>
              </w:rPr>
            </w:r>
            <w:r>
              <w:rPr>
                <w:sz w:val="17"/>
              </w:rPr>
              <w:t>Allocated project lists; fictional example CLI /​ OFF /​ P001, never a client identity</w:t>
            </w:r>
          </w:p>
        </w:tc>
      </w:tr>
      <w:tr>
        <w:trPr>
          <w:cantSplit/>
        </w:trPr>
        <w:tc>
          <w:tcPr>
            <w:tcW w:type="dxa" w:w="1785"/>
          </w:tcPr>
          <w:p>
            <w:r>
              <w:rPr>
                <w:sz w:val="17"/>
              </w:rPr>
            </w:r>
            <w:r>
              <w:rPr>
                <w:sz w:val="17"/>
              </w:rPr>
              <w:t>VOLUME /​ LEVEL</w:t>
            </w:r>
          </w:p>
        </w:tc>
        <w:tc>
          <w:tcPr>
            <w:tcW w:type="dxa" w:w="8681"/>
          </w:tcPr>
          <w:p>
            <w:r>
              <w:rPr>
                <w:sz w:val="17"/>
              </w:rPr>
            </w:r>
            <w:r>
              <w:rPr>
                <w:sz w:val="17"/>
              </w:rPr>
              <w:t>Registered zone and level codes; ZZ only where whole scope is explicitly adopted; never omit a token</w:t>
            </w:r>
          </w:p>
        </w:tc>
      </w:tr>
      <w:tr>
        <w:trPr>
          <w:cantSplit/>
        </w:trPr>
        <w:tc>
          <w:tcPr>
            <w:tcW w:type="dxa" w:w="1785"/>
          </w:tcPr>
          <w:p>
            <w:r>
              <w:rPr>
                <w:sz w:val="17"/>
              </w:rPr>
            </w:r>
            <w:r>
              <w:rPr>
                <w:sz w:val="17"/>
              </w:rPr>
              <w:t>TYPE</w:t>
            </w:r>
          </w:p>
        </w:tc>
        <w:tc>
          <w:tcPr>
            <w:tcW w:type="dxa" w:w="8681"/>
          </w:tcPr>
          <w:p>
            <w:r>
              <w:rPr>
                <w:sz w:val="17"/>
              </w:rPr>
            </w:r>
            <w:r>
              <w:rPr>
                <w:sz w:val="17"/>
              </w:rPr>
              <w:t>Registered container type codes (e.g. M3 model, DR drawing)</w:t>
            </w:r>
          </w:p>
        </w:tc>
      </w:tr>
      <w:tr>
        <w:trPr>
          <w:cantSplit/>
        </w:trPr>
        <w:tc>
          <w:tcPr>
            <w:tcW w:type="dxa" w:w="1785"/>
          </w:tcPr>
          <w:p>
            <w:r>
              <w:rPr>
                <w:sz w:val="17"/>
              </w:rPr>
            </w:r>
            <w:r>
              <w:rPr>
                <w:sz w:val="17"/>
              </w:rPr>
              <w:t>ROLE</w:t>
            </w:r>
          </w:p>
        </w:tc>
        <w:tc>
          <w:tcPr>
            <w:tcW w:type="dxa" w:w="8681"/>
          </w:tcPr>
          <w:p>
            <w:r>
              <w:rPr>
                <w:sz w:val="17"/>
              </w:rPr>
            </w:r>
            <w:r>
              <w:rPr>
                <w:sz w:val="17"/>
              </w:rPr>
              <w:t>One-letter ROLE from BBM-STD-93 (A, S, M, E, L, P, F, I, C, G, Q, W, Z). A trade alias is not a role code</w:t>
            </w:r>
          </w:p>
        </w:tc>
      </w:tr>
      <w:tr>
        <w:trPr>
          <w:cantSplit/>
        </w:trPr>
        <w:tc>
          <w:tcPr>
            <w:tcW w:type="dxa" w:w="1785"/>
          </w:tcPr>
          <w:p>
            <w:r>
              <w:rPr>
                <w:sz w:val="17"/>
              </w:rPr>
            </w:r>
            <w:r>
              <w:rPr>
                <w:sz w:val="17"/>
              </w:rPr>
              <w:t>NUMBER</w:t>
            </w:r>
          </w:p>
        </w:tc>
        <w:tc>
          <w:tcPr>
            <w:tcW w:type="dxa" w:w="8681"/>
          </w:tcPr>
          <w:p>
            <w:r>
              <w:rPr>
                <w:sz w:val="17"/>
              </w:rPr>
            </w:r>
            <w:r>
              <w:rPr>
                <w:sz w:val="17"/>
              </w:rPr>
              <w:t>Four digits, unique in the recorded numbering namespace</w:t>
            </w:r>
          </w:p>
        </w:tc>
      </w:tr>
      <w:tr>
        <w:trPr>
          <w:cantSplit/>
        </w:trPr>
        <w:tc>
          <w:tcPr>
            <w:tcW w:type="dxa" w:w="1785"/>
          </w:tcPr>
          <w:p>
            <w:r>
              <w:rPr>
                <w:sz w:val="17"/>
              </w:rPr>
            </w:r>
            <w:r>
              <w:rPr>
                <w:sz w:val="17"/>
              </w:rPr>
              <w:t>Extension</w:t>
            </w:r>
          </w:p>
        </w:tc>
        <w:tc>
          <w:tcPr>
            <w:tcW w:type="dxa" w:w="8681"/>
          </w:tcPr>
          <w:p>
            <w:r>
              <w:rPr>
                <w:sz w:val="17"/>
              </w:rPr>
            </w:r>
            <w:r>
              <w:rPr>
                <w:sz w:val="17"/>
              </w:rPr>
              <w:t>Lowercase; same-stem variants map to one logical container and declared source revision</w:t>
            </w:r>
          </w:p>
        </w:tc>
      </w:tr>
      <w:tr>
        <w:trPr>
          <w:cantSplit/>
        </w:trPr>
        <w:tc>
          <w:tcPr>
            <w:tcW w:type="dxa" w:w="1785"/>
          </w:tcPr>
          <w:p>
            <w:r>
              <w:rPr>
                <w:sz w:val="17"/>
              </w:rPr>
            </w:r>
            <w:r>
              <w:rPr>
                <w:sz w:val="17"/>
              </w:rPr>
              <w:t>Revision</w:t>
            </w:r>
          </w:p>
        </w:tc>
        <w:tc>
          <w:tcPr>
            <w:tcW w:type="dxa" w:w="8681"/>
          </w:tcPr>
          <w:p>
            <w:r>
              <w:rPr>
                <w:sz w:val="17"/>
              </w:rPr>
            </w:r>
            <w:r>
              <w:rPr>
                <w:sz w:val="17"/>
              </w:rPr>
              <w:t>R00 initial WIP, then R01, R02…, expanding beyond R99; per container, never recycled; unchanged containers keep their revision (O-DEC-113)</w:t>
            </w:r>
          </w:p>
        </w:tc>
      </w:tr>
      <w:tr>
        <w:trPr>
          <w:cantSplit/>
        </w:trPr>
        <w:tc>
          <w:tcPr>
            <w:tcW w:type="dxa" w:w="1785"/>
          </w:tcPr>
          <w:p>
            <w:r>
              <w:rPr>
                <w:sz w:val="17"/>
              </w:rPr>
            </w:r>
            <w:r>
              <w:rPr>
                <w:sz w:val="17"/>
              </w:rPr>
              <w:t>Suitability</w:t>
            </w:r>
          </w:p>
        </w:tc>
        <w:tc>
          <w:tcPr>
            <w:tcW w:type="dxa" w:w="8681"/>
          </w:tcPr>
          <w:p>
            <w:r>
              <w:rPr>
                <w:sz w:val="17"/>
              </w:rPr>
            </w:r>
            <w:r>
              <w:rPr>
                <w:sz w:val="17"/>
              </w:rPr>
              <w:t>SU-WIP, SU-COORD, SU-INFO, SU-REVIEW, SU-ISSUE only; mapping to UK National Annex S0–S7/​A/​B/​CR in BBM-STD-93 (O-DEC-104)</w:t>
            </w:r>
          </w:p>
        </w:tc>
      </w:tr>
      <w:tr>
        <w:trPr>
          <w:cantSplit/>
        </w:trPr>
        <w:tc>
          <w:tcPr>
            <w:tcW w:type="dxa" w:w="1785"/>
          </w:tcPr>
          <w:p>
            <w:r>
              <w:rPr>
                <w:sz w:val="17"/>
              </w:rPr>
            </w:r>
            <w:r>
              <w:rPr>
                <w:sz w:val="17"/>
              </w:rPr>
              <w:t>CDE state</w:t>
            </w:r>
          </w:p>
        </w:tc>
        <w:tc>
          <w:tcPr>
            <w:tcW w:type="dxa" w:w="8681"/>
          </w:tcPr>
          <w:p>
            <w:r>
              <w:rPr>
                <w:sz w:val="17"/>
              </w:rPr>
            </w:r>
            <w:r>
              <w:rPr>
                <w:sz w:val="17"/>
              </w:rPr>
              <w:t>WIP, Shared, Published, Archive. Distinct from workspace WIP/​PRODUCTION/​DEPLOYED folders</w:t>
            </w:r>
          </w:p>
        </w:tc>
      </w:tr>
      <w:tr>
        <w:trPr>
          <w:cantSplit/>
        </w:trPr>
        <w:tc>
          <w:tcPr>
            <w:tcW w:type="dxa" w:w="1785"/>
          </w:tcPr>
          <w:p>
            <w:r>
              <w:rPr>
                <w:sz w:val="17"/>
              </w:rPr>
            </w:r>
            <w:r>
              <w:rPr>
                <w:sz w:val="17"/>
              </w:rPr>
              <w:t>Release evidence</w:t>
            </w:r>
          </w:p>
        </w:tc>
        <w:tc>
          <w:tcPr>
            <w:tcW w:type="dxa" w:w="8681"/>
          </w:tcPr>
          <w:p>
            <w:r>
              <w:rPr>
                <w:sz w:val="17"/>
              </w:rPr>
            </w:r>
            <w:r>
              <w:rPr>
                <w:sz w:val="17"/>
              </w:rPr>
              <w:t>Exact identity/​revision, source/​export manifest, permitted use, author/​checker/​authoriser, recipients and separate receiving decision</w:t>
            </w:r>
          </w:p>
        </w:tc>
      </w:tr>
    </w:tbl>
    <w:p/>
    <w:p>
      <w:pPr/>
      <w:r>
        <w:t>These SU codes are local. They are not ISO/national-annex suitability codes, issue severities or RACI letters. SU-ISSUE does not prove statutory approval or recipient acceptance. An .ifc extension does not mean issued for construction.</w:t>
      </w:r>
    </w:p>
    <w:p>
      <w:pPr/>
      <w:r>
        <w:t>CAD, Revit and CDE use the same external register. Retain internal view names DISC-LEVEL[-ZONE]-TYPE-DESC (3-letter discipline code from BBM-STD-93), sheet numbers DISC-CAT-INDEX (1-letter ROLE prefix from BBM-STD-93) and the registered STD00-STARTING-VIEW exception under Manual 12.3/BEP 8.3. Preserve approved legacy WIP aliases through a one-to-one alias-to-external-ID map. Never rename issued records to clean up a convention.</w:t>
      </w:r>
    </w:p>
    <w:p>
      <w:pPr>
        <w:pStyle w:val="Heading2"/>
      </w:pPr>
      <w:r>
        <w:t>4.1 Validation fixtures</w:t>
      </w:r>
    </w:p>
    <w:p>
      <w:pPr/>
      <w:r>
        <w:t>The workbook Test pack specifies positive and adverse cases for a future CAD/Revit/CDE validation implementation. Expected outcomes below are test specifications, not executed host evidence.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547"/>
        <w:gridCol w:w="4057"/>
        <w:gridCol w:w="5862"/>
      </w:tblGrid>
      <w:tr>
        <w:trPr>
          <w:cantSplit/>
          <w:tblHeader/>
        </w:trPr>
        <w:tc>
          <w:tcPr>
            <w:tcW w:type="dxa" w:w="547"/>
            <w:shd w:val="clear" w:color="auto" w:fill="111113"/>
          </w:tcPr>
          <w:p>
            <w:r>
              <w:rPr>
                <w:b/>
                <w:color w:val="FFFFFF"/>
                <w:sz w:val="17"/>
              </w:rPr>
            </w:r>
            <w:r>
              <w:rPr>
                <w:b/>
                <w:color w:val="FFFFFF"/>
                <w:sz w:val="17"/>
              </w:rPr>
              <w:t>Case</w:t>
            </w:r>
          </w:p>
        </w:tc>
        <w:tc>
          <w:tcPr>
            <w:tcW w:type="dxa" w:w="4057"/>
            <w:shd w:val="clear" w:color="auto" w:fill="111113"/>
          </w:tcPr>
          <w:p>
            <w:r>
              <w:rPr>
                <w:b/>
                <w:color w:val="FFFFFF"/>
                <w:sz w:val="17"/>
              </w:rPr>
            </w:r>
            <w:r>
              <w:rPr>
                <w:b/>
                <w:color w:val="FFFFFF"/>
                <w:sz w:val="17"/>
              </w:rPr>
              <w:t>Input</w:t>
            </w:r>
          </w:p>
        </w:tc>
        <w:tc>
          <w:tcPr>
            <w:tcW w:type="dxa" w:w="5862"/>
            <w:shd w:val="clear" w:color="auto" w:fill="111113"/>
          </w:tcPr>
          <w:p>
            <w:r>
              <w:rPr>
                <w:b/>
                <w:color w:val="FFFFFF"/>
                <w:sz w:val="17"/>
              </w:rPr>
            </w:r>
            <w:r>
              <w:rPr>
                <w:b/>
                <w:color w:val="FFFFFF"/>
                <w:sz w:val="17"/>
              </w:rPr>
              <w:t>Expected result and reason</w:t>
            </w:r>
          </w:p>
        </w:tc>
      </w:tr>
      <w:tr>
        <w:trPr>
          <w:cantSplit/>
        </w:trPr>
        <w:tc>
          <w:tcPr>
            <w:tcW w:type="dxa" w:w="547"/>
          </w:tcPr>
          <w:p>
            <w:r>
              <w:rPr>
                <w:sz w:val="17"/>
              </w:rPr>
            </w:r>
            <w:r>
              <w:rPr>
                <w:sz w:val="17"/>
              </w:rPr>
              <w:t>N01</w:t>
            </w:r>
          </w:p>
        </w:tc>
        <w:tc>
          <w:tcPr>
            <w:tcW w:type="dxa" w:w="4057"/>
          </w:tcPr>
          <w:p>
            <w:r>
              <w:rPr>
                <w:sz w:val="17"/>
              </w:rPr>
            </w:r>
            <w:r>
              <w:rPr>
                <w:sz w:val="17"/>
              </w:rPr>
              <w:t>CLI-OFF-P001-Z01-L01-M3-A-0001.ifc</w:t>
            </w:r>
          </w:p>
        </w:tc>
        <w:tc>
          <w:tcPr>
            <w:tcW w:type="dxa" w:w="5862"/>
          </w:tcPr>
          <w:p>
            <w:r>
              <w:rPr>
                <w:sz w:val="17"/>
              </w:rPr>
            </w:r>
            <w:r>
              <w:rPr>
                <w:sz w:val="17"/>
              </w:rPr>
              <w:t>Accept syntax and dictionary membership when manifest/​revision/​permission checks also pass</w:t>
            </w:r>
          </w:p>
        </w:tc>
      </w:tr>
      <w:tr>
        <w:trPr>
          <w:cantSplit/>
        </w:trPr>
        <w:tc>
          <w:tcPr>
            <w:tcW w:type="dxa" w:w="547"/>
          </w:tcPr>
          <w:p>
            <w:r>
              <w:rPr>
                <w:sz w:val="17"/>
              </w:rPr>
            </w:r>
            <w:r>
              <w:rPr>
                <w:sz w:val="17"/>
              </w:rPr>
              <w:t>N02</w:t>
            </w:r>
          </w:p>
        </w:tc>
        <w:tc>
          <w:tcPr>
            <w:tcW w:type="dxa" w:w="4057"/>
          </w:tcPr>
          <w:p>
            <w:r>
              <w:rPr>
                <w:sz w:val="17"/>
              </w:rPr>
            </w:r>
            <w:r>
              <w:rPr>
                <w:sz w:val="17"/>
              </w:rPr>
              <w:t>CLI-OFF-P001-Z01-M3-A-0001.ifc</w:t>
            </w:r>
          </w:p>
        </w:tc>
        <w:tc>
          <w:tcPr>
            <w:tcW w:type="dxa" w:w="5862"/>
          </w:tcPr>
          <w:p>
            <w:r>
              <w:rPr>
                <w:sz w:val="17"/>
              </w:rPr>
            </w:r>
            <w:r>
              <w:rPr>
                <w:sz w:val="17"/>
              </w:rPr>
              <w:t>Reject missing LEVEL; no token shift</w:t>
            </w:r>
          </w:p>
        </w:tc>
      </w:tr>
      <w:tr>
        <w:trPr>
          <w:cantSplit/>
        </w:trPr>
        <w:tc>
          <w:tcPr>
            <w:tcW w:type="dxa" w:w="547"/>
          </w:tcPr>
          <w:p>
            <w:r>
              <w:rPr>
                <w:sz w:val="17"/>
              </w:rPr>
            </w:r>
            <w:r>
              <w:rPr>
                <w:sz w:val="17"/>
              </w:rPr>
              <w:t>N03</w:t>
            </w:r>
          </w:p>
        </w:tc>
        <w:tc>
          <w:tcPr>
            <w:tcW w:type="dxa" w:w="4057"/>
          </w:tcPr>
          <w:p>
            <w:r>
              <w:rPr>
                <w:sz w:val="17"/>
              </w:rPr>
            </w:r>
            <w:r>
              <w:rPr>
                <w:sz w:val="17"/>
              </w:rPr>
              <w:t>CLI-OFF-P001-Z01-L01-M3-A-001.ifc</w:t>
            </w:r>
          </w:p>
        </w:tc>
        <w:tc>
          <w:tcPr>
            <w:tcW w:type="dxa" w:w="5862"/>
          </w:tcPr>
          <w:p>
            <w:r>
              <w:rPr>
                <w:sz w:val="17"/>
              </w:rPr>
            </w:r>
            <w:r>
              <w:rPr>
                <w:sz w:val="17"/>
              </w:rPr>
              <w:t>Reject sequence width</w:t>
            </w:r>
          </w:p>
        </w:tc>
      </w:tr>
      <w:tr>
        <w:trPr>
          <w:cantSplit/>
        </w:trPr>
        <w:tc>
          <w:tcPr>
            <w:tcW w:type="dxa" w:w="547"/>
          </w:tcPr>
          <w:p>
            <w:r>
              <w:rPr>
                <w:sz w:val="17"/>
              </w:rPr>
            </w:r>
            <w:r>
              <w:rPr>
                <w:sz w:val="17"/>
              </w:rPr>
              <w:t>N04</w:t>
            </w:r>
          </w:p>
        </w:tc>
        <w:tc>
          <w:tcPr>
            <w:tcW w:type="dxa" w:w="4057"/>
          </w:tcPr>
          <w:p>
            <w:r>
              <w:rPr>
                <w:sz w:val="17"/>
              </w:rPr>
            </w:r>
            <w:r>
              <w:rPr>
                <w:sz w:val="17"/>
              </w:rPr>
              <w:t>CLI-OFF-P001-Z01-L01-M3-A-0001-R01.ifc</w:t>
            </w:r>
          </w:p>
        </w:tc>
        <w:tc>
          <w:tcPr>
            <w:tcW w:type="dxa" w:w="5862"/>
          </w:tcPr>
          <w:p>
            <w:r>
              <w:rPr>
                <w:sz w:val="17"/>
              </w:rPr>
            </w:r>
            <w:r>
              <w:rPr>
                <w:sz w:val="17"/>
              </w:rPr>
              <w:t>Reject revision embedded in external identity</w:t>
            </w:r>
          </w:p>
        </w:tc>
      </w:tr>
      <w:tr>
        <w:trPr>
          <w:cantSplit/>
        </w:trPr>
        <w:tc>
          <w:tcPr>
            <w:tcW w:type="dxa" w:w="547"/>
          </w:tcPr>
          <w:p>
            <w:r>
              <w:rPr>
                <w:sz w:val="17"/>
              </w:rPr>
            </w:r>
            <w:r>
              <w:rPr>
                <w:sz w:val="17"/>
              </w:rPr>
              <w:t>N05</w:t>
            </w:r>
          </w:p>
        </w:tc>
        <w:tc>
          <w:tcPr>
            <w:tcW w:type="dxa" w:w="4057"/>
          </w:tcPr>
          <w:p>
            <w:r>
              <w:rPr>
                <w:sz w:val="17"/>
              </w:rPr>
            </w:r>
            <w:r>
              <w:rPr>
                <w:sz w:val="17"/>
              </w:rPr>
              <w:t>CLI-OFF-P001-Z99-L01-M3-A-0001.ifc</w:t>
            </w:r>
          </w:p>
        </w:tc>
        <w:tc>
          <w:tcPr>
            <w:tcW w:type="dxa" w:w="5862"/>
          </w:tcPr>
          <w:p>
            <w:r>
              <w:rPr>
                <w:sz w:val="17"/>
              </w:rPr>
            </w:r>
            <w:r>
              <w:rPr>
                <w:sz w:val="17"/>
              </w:rPr>
              <w:t>Reject unregistered volume even when a regex matches</w:t>
            </w:r>
          </w:p>
        </w:tc>
      </w:tr>
      <w:tr>
        <w:trPr>
          <w:cantSplit/>
        </w:trPr>
        <w:tc>
          <w:tcPr>
            <w:tcW w:type="dxa" w:w="547"/>
          </w:tcPr>
          <w:p>
            <w:r>
              <w:rPr>
                <w:sz w:val="17"/>
              </w:rPr>
            </w:r>
            <w:r>
              <w:rPr>
                <w:sz w:val="17"/>
              </w:rPr>
              <w:t>N06</w:t>
            </w:r>
          </w:p>
        </w:tc>
        <w:tc>
          <w:tcPr>
            <w:tcW w:type="dxa" w:w="4057"/>
          </w:tcPr>
          <w:p>
            <w:r>
              <w:rPr>
                <w:sz w:val="17"/>
              </w:rPr>
            </w:r>
            <w:r>
              <w:rPr>
                <w:sz w:val="17"/>
              </w:rPr>
              <w:t>Same container and revision, conflicting payload hashes</w:t>
            </w:r>
          </w:p>
        </w:tc>
        <w:tc>
          <w:tcPr>
            <w:tcW w:type="dxa" w:w="5862"/>
          </w:tcPr>
          <w:p>
            <w:r>
              <w:rPr>
                <w:sz w:val="17"/>
              </w:rPr>
            </w:r>
            <w:r>
              <w:rPr>
                <w:sz w:val="17"/>
              </w:rPr>
              <w:t>Reject unrecorded overwrite; investigate source/​history</w:t>
            </w:r>
          </w:p>
        </w:tc>
      </w:tr>
      <w:tr>
        <w:trPr>
          <w:cantSplit/>
        </w:trPr>
        <w:tc>
          <w:tcPr>
            <w:tcW w:type="dxa" w:w="547"/>
          </w:tcPr>
          <w:p>
            <w:r>
              <w:rPr>
                <w:sz w:val="17"/>
              </w:rPr>
            </w:r>
            <w:r>
              <w:rPr>
                <w:sz w:val="17"/>
              </w:rPr>
              <w:t>N07</w:t>
            </w:r>
          </w:p>
        </w:tc>
        <w:tc>
          <w:tcPr>
            <w:tcW w:type="dxa" w:w="4057"/>
          </w:tcPr>
          <w:p>
            <w:r>
              <w:rPr>
                <w:sz w:val="17"/>
              </w:rPr>
            </w:r>
            <w:r>
              <w:rPr>
                <w:sz w:val="17"/>
              </w:rPr>
              <w:t>Same stem .rvt and .ifc, same manifest source</w:t>
            </w:r>
          </w:p>
        </w:tc>
        <w:tc>
          <w:tcPr>
            <w:tcW w:type="dxa" w:w="5862"/>
          </w:tcPr>
          <w:p>
            <w:r>
              <w:rPr>
                <w:sz w:val="17"/>
              </w:rPr>
            </w:r>
            <w:r>
              <w:rPr>
                <w:sz w:val="17"/>
              </w:rPr>
              <w:t>Permit declared representations; still test schema and receiver</w:t>
            </w:r>
          </w:p>
        </w:tc>
      </w:tr>
      <w:tr>
        <w:trPr>
          <w:cantSplit/>
        </w:trPr>
        <w:tc>
          <w:tcPr>
            <w:tcW w:type="dxa" w:w="547"/>
          </w:tcPr>
          <w:p>
            <w:r>
              <w:rPr>
                <w:sz w:val="17"/>
              </w:rPr>
            </w:r>
            <w:r>
              <w:rPr>
                <w:sz w:val="17"/>
              </w:rPr>
              <w:t>N08</w:t>
            </w:r>
          </w:p>
        </w:tc>
        <w:tc>
          <w:tcPr>
            <w:tcW w:type="dxa" w:w="4057"/>
          </w:tcPr>
          <w:p>
            <w:r>
              <w:rPr>
                <w:sz w:val="17"/>
              </w:rPr>
            </w:r>
            <w:r>
              <w:rPr>
                <w:sz w:val="17"/>
              </w:rPr>
              <w:t>Revision R02 followed by R01 as new issue</w:t>
            </w:r>
          </w:p>
        </w:tc>
        <w:tc>
          <w:tcPr>
            <w:tcW w:type="dxa" w:w="5862"/>
          </w:tcPr>
          <w:p>
            <w:r>
              <w:rPr>
                <w:sz w:val="17"/>
              </w:rPr>
            </w:r>
            <w:r>
              <w:rPr>
                <w:sz w:val="17"/>
              </w:rPr>
              <w:t>Reject regression unless expressly retrieving retained historical evidence</w:t>
            </w:r>
          </w:p>
        </w:tc>
      </w:tr>
      <w:tr>
        <w:trPr>
          <w:cantSplit/>
        </w:trPr>
        <w:tc>
          <w:tcPr>
            <w:tcW w:type="dxa" w:w="547"/>
          </w:tcPr>
          <w:p>
            <w:r>
              <w:rPr>
                <w:sz w:val="17"/>
              </w:rPr>
            </w:r>
            <w:r>
              <w:rPr>
                <w:sz w:val="17"/>
              </w:rPr>
              <w:t>N09</w:t>
            </w:r>
          </w:p>
        </w:tc>
        <w:tc>
          <w:tcPr>
            <w:tcW w:type="dxa" w:w="4057"/>
          </w:tcPr>
          <w:p>
            <w:r>
              <w:rPr>
                <w:sz w:val="17"/>
              </w:rPr>
            </w:r>
            <w:r>
              <w:rPr>
                <w:sz w:val="17"/>
              </w:rPr>
              <w:t>SU-COORD requested for fabrication</w:t>
            </w:r>
          </w:p>
        </w:tc>
        <w:tc>
          <w:tcPr>
            <w:tcW w:type="dxa" w:w="5862"/>
          </w:tcPr>
          <w:p>
            <w:r>
              <w:rPr>
                <w:sz w:val="17"/>
              </w:rPr>
            </w:r>
            <w:r>
              <w:rPr>
                <w:sz w:val="17"/>
              </w:rPr>
              <w:t>Hold incompatible intended use; naming alone cannot authorise it</w:t>
            </w:r>
          </w:p>
        </w:tc>
      </w:tr>
      <w:tr>
        <w:trPr>
          <w:cantSplit/>
        </w:trPr>
        <w:tc>
          <w:tcPr>
            <w:tcW w:type="dxa" w:w="547"/>
          </w:tcPr>
          <w:p>
            <w:r>
              <w:rPr>
                <w:sz w:val="17"/>
              </w:rPr>
            </w:r>
            <w:r>
              <w:rPr>
                <w:sz w:val="17"/>
              </w:rPr>
              <w:t>D01</w:t>
            </w:r>
          </w:p>
        </w:tc>
        <w:tc>
          <w:tcPr>
            <w:tcW w:type="dxa" w:w="4057"/>
          </w:tcPr>
          <w:p>
            <w:r>
              <w:rPr>
                <w:sz w:val="17"/>
              </w:rPr>
            </w:r>
            <w:r>
              <w:rPr>
                <w:sz w:val="17"/>
              </w:rPr>
              <w:t>Consumer points to an absent dependency ID</w:t>
            </w:r>
          </w:p>
        </w:tc>
        <w:tc>
          <w:tcPr>
            <w:tcW w:type="dxa" w:w="5862"/>
          </w:tcPr>
          <w:p>
            <w:r>
              <w:rPr>
                <w:sz w:val="17"/>
              </w:rPr>
            </w:r>
            <w:r>
              <w:rPr>
                <w:sz w:val="17"/>
              </w:rPr>
              <w:t>Reject release until allocation/​source is resolved</w:t>
            </w:r>
          </w:p>
        </w:tc>
      </w:tr>
      <w:tr>
        <w:trPr>
          <w:cantSplit/>
        </w:trPr>
        <w:tc>
          <w:tcPr>
            <w:tcW w:type="dxa" w:w="547"/>
          </w:tcPr>
          <w:p>
            <w:r>
              <w:rPr>
                <w:sz w:val="17"/>
              </w:rPr>
            </w:r>
            <w:r>
              <w:rPr>
                <w:sz w:val="17"/>
              </w:rPr>
              <w:t>D02</w:t>
            </w:r>
          </w:p>
        </w:tc>
        <w:tc>
          <w:tcPr>
            <w:tcW w:type="dxa" w:w="4057"/>
          </w:tcPr>
          <w:p>
            <w:r>
              <w:rPr>
                <w:sz w:val="17"/>
              </w:rPr>
            </w:r>
            <w:r>
              <w:rPr>
                <w:sz w:val="17"/>
              </w:rPr>
              <w:t>Consumer pins old issue, master now newer</w:t>
            </w:r>
          </w:p>
        </w:tc>
        <w:tc>
          <w:tcPr>
            <w:tcW w:type="dxa" w:w="5862"/>
          </w:tcPr>
          <w:p>
            <w:r>
              <w:rPr>
                <w:sz w:val="17"/>
              </w:rPr>
            </w:r>
            <w:r>
              <w:rPr>
                <w:sz w:val="17"/>
              </w:rPr>
              <w:t>Preserve issued pin; assess migration rather than silently upgrade</w:t>
            </w:r>
          </w:p>
        </w:tc>
      </w:tr>
    </w:tbl>
    <w:p/>
    <w:p>
      <w:pPr/>
      <w:r>
        <w:t>A validator checks lexical syntax, code dictionaries, identity/representation uniqueness, metadata, revision history, dependency resolution and intended-use authority separately. Regex alone is insufficient. A future implementation must run every case in all affected tools and record exact versions and actual outputs before claiming enforcement.</w:t>
      </w:r>
    </w:p>
    <w:p>
      <w:pPr>
        <w:pStyle w:val="Heading1"/>
      </w:pPr>
      <w:r>
        <w:t>5 Rights and licensed access</w:t>
      </w:r>
    </w:p>
    <w:p>
      <w:pPr/>
      <w:r>
        <w:t xml:space="preserve">The licence and credential register itself is owned by </w:t>
      </w:r>
      <w:r>
        <w:rPr>
          <w:color w:val="9A7B45"/>
          <w:u w:val="single"/>
        </w:rPr>
        <w:t>BBM-STD-94</w:t>
      </w:r>
      <w:r>
        <w:t>; this section states the office rule only. The rights steward records EntitlementID, holder function/account reference, product/content/publication, provider and licence instrument/version, covered installations/users, authorised uses/recipients, expiry/renewal/review dates, evidence URI and restrictions. Store credentials only in the approved credential store. The register contains a non-secret reference, never a password, key, token or activation code.</w:t>
      </w:r>
    </w:p>
    <w:p>
      <w:pPr/>
      <w:r>
        <w:t>Software permission, ability to open a file, third-party content redistribution rights and access to a paid standard are different checks. Record each separately. A valid software seat does not authorise redistribution of a family library, a standards PDF or model IP. Apply ISO 19650-5:2020 security context proportionately. Actual licence particulars follow the signed instrument, not this template.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568"/>
        <w:gridCol w:w="7898"/>
      </w:tblGrid>
      <w:tr>
        <w:trPr>
          <w:cantSplit/>
          <w:tblHeader/>
        </w:trPr>
        <w:tc>
          <w:tcPr>
            <w:tcW w:type="dxa" w:w="2568"/>
            <w:shd w:val="clear" w:color="auto" w:fill="111113"/>
          </w:tcPr>
          <w:p>
            <w:r>
              <w:rPr>
                <w:b/>
                <w:color w:val="FFFFFF"/>
                <w:sz w:val="17"/>
              </w:rPr>
            </w:r>
            <w:r>
              <w:rPr>
                <w:b/>
                <w:color w:val="FFFFFF"/>
                <w:sz w:val="17"/>
              </w:rPr>
              <w:t>Fictional record</w:t>
            </w:r>
          </w:p>
        </w:tc>
        <w:tc>
          <w:tcPr>
            <w:tcW w:type="dxa" w:w="7898"/>
            <w:shd w:val="clear" w:color="auto" w:fill="111113"/>
          </w:tcPr>
          <w:p>
            <w:r>
              <w:rPr>
                <w:b/>
                <w:color w:val="FFFFFF"/>
                <w:sz w:val="17"/>
              </w:rPr>
            </w:r>
            <w:r>
              <w:rPr>
                <w:b/>
                <w:color w:val="FFFFFF"/>
                <w:sz w:val="17"/>
              </w:rPr>
              <w:t>Permission decision</w:t>
            </w:r>
          </w:p>
        </w:tc>
      </w:tr>
      <w:tr>
        <w:trPr>
          <w:cantSplit/>
        </w:trPr>
        <w:tc>
          <w:tcPr>
            <w:tcW w:type="dxa" w:w="2568"/>
          </w:tcPr>
          <w:p>
            <w:r>
              <w:rPr>
                <w:sz w:val="17"/>
              </w:rPr>
            </w:r>
            <w:r>
              <w:rPr>
                <w:sz w:val="17"/>
              </w:rPr>
              <w:t>ENT-SYN-01, modelling software</w:t>
            </w:r>
          </w:p>
        </w:tc>
        <w:tc>
          <w:tcPr>
            <w:tcW w:type="dxa" w:w="7898"/>
          </w:tcPr>
          <w:p>
            <w:r>
              <w:rPr>
                <w:sz w:val="17"/>
              </w:rPr>
            </w:r>
            <w:r>
              <w:rPr>
                <w:sz w:val="17"/>
              </w:rPr>
              <w:t>Internal named-user use only; renewal and installation evidence pending. No actual vendor entitlement asserted</w:t>
            </w:r>
          </w:p>
        </w:tc>
      </w:tr>
      <w:tr>
        <w:trPr>
          <w:cantSplit/>
        </w:trPr>
        <w:tc>
          <w:tcPr>
            <w:tcW w:type="dxa" w:w="2568"/>
          </w:tcPr>
          <w:p>
            <w:r>
              <w:rPr>
                <w:sz w:val="17"/>
              </w:rPr>
            </w:r>
            <w:r>
              <w:rPr>
                <w:sz w:val="17"/>
              </w:rPr>
              <w:t>ENT-SYN-02, external content</w:t>
            </w:r>
          </w:p>
        </w:tc>
        <w:tc>
          <w:tcPr>
            <w:tcW w:type="dxa" w:w="7898"/>
          </w:tcPr>
          <w:p>
            <w:r>
              <w:rPr>
                <w:sz w:val="17"/>
              </w:rPr>
            </w:r>
            <w:r>
              <w:rPr>
                <w:sz w:val="17"/>
              </w:rPr>
              <w:t>Internal evaluation only; no client or public redistribution until rights owner clears the exact item</w:t>
            </w:r>
          </w:p>
        </w:tc>
      </w:tr>
      <w:tr>
        <w:trPr>
          <w:cantSplit/>
        </w:trPr>
        <w:tc>
          <w:tcPr>
            <w:tcW w:type="dxa" w:w="2568"/>
          </w:tcPr>
          <w:p>
            <w:r>
              <w:rPr>
                <w:sz w:val="17"/>
              </w:rPr>
            </w:r>
            <w:r>
              <w:rPr>
                <w:sz w:val="17"/>
              </w:rPr>
              <w:t>ENT-SYN-03, standards access</w:t>
            </w:r>
          </w:p>
        </w:tc>
        <w:tc>
          <w:tcPr>
            <w:tcW w:type="dxa" w:w="7898"/>
          </w:tcPr>
          <w:p>
            <w:r>
              <w:rPr>
                <w:sz w:val="17"/>
              </w:rPr>
            </w:r>
            <w:r>
              <w:rPr>
                <w:sz w:val="17"/>
              </w:rPr>
              <w:t>Licensed-reader access at controlled portal; citation allowed within terms; do not redistribute the full publication</w:t>
            </w:r>
          </w:p>
        </w:tc>
      </w:tr>
    </w:tbl>
    <w:p/>
    <w:p>
      <w:pPr/>
      <w:r>
        <w:t>On expiry, revoked access, changed recipients or changed terms, the steward alerts the owner and holds the affected new use. Retention and retrieval of existing records follow the actual instrument and records/legal owner, not assumed immediate deletion.</w:t>
      </w:r>
    </w:p>
    <w:p>
      <w:pPr>
        <w:pStyle w:val="Heading1"/>
      </w:pPr>
      <w:r>
        <w:t>6 Reference reconciliation and controlled migration</w:t>
      </w:r>
    </w:p>
    <w:p>
      <w:pPr/>
      <w:r>
        <w:t xml:space="preserve">The current guide headers cite Manual V0.1 and BEP V0.2 while the current controlled drafts are </w:t>
      </w:r>
      <w:r>
        <w:rPr>
          <w:color w:val="9A7B45"/>
          <w:u w:val="single"/>
        </w:rPr>
        <w:t>Manual V0.5</w:t>
      </w:r>
      <w:r>
        <w:t xml:space="preserve"> and </w:t>
      </w:r>
      <w:r>
        <w:rPr>
          <w:color w:val="9A7B45"/>
          <w:u w:val="single"/>
        </w:rPr>
        <w:t>BEP V0.5</w:t>
      </w:r>
      <w:r>
        <w:t>; Manual V0.2/V0.3 and BEP V0.3/V0.4 are historical baselines. Do not bulk-rewrite other lanes' guides or issued project packs. The Migration table records each actually observed stale guide reference, its source line, proposed current target, exact dependency revision, affected steps, responsible guide owner, compatibility review, approval and effective revision. The row state remains Pending owner revision; the old reference is resolved as a historical baseline and the proposed target is a current draft, not an approved migration. Current draft paths must resolve; historical citations remain visibly historical until that owner's controlled revision is adopted.</w:t>
      </w:r>
    </w:p>
    <w:p>
      <w:pPr/>
      <w:r>
        <w:t>A second conflict is retained Manual 12.3 wording that appears to prescribe the legacy five-token external filename. BEP 8.3, O3-POL-01 and O-DEC-102 settle this: legacy internal alias only, never issued; external eight-token identity; PHASE token retired. Record W1-C01 in the office decisions log and carry this interpretation in the project naming annex. Do not silently edit the source Manual.</w:t>
      </w:r>
    </w:p>
    <w:p>
      <w:pPr/>
      <w:r>
        <w:t>Migration sequence: identify affected references; compare meanings; verify target availability/rights; obtain the controlling decision; revise the owner's draft and linked plans using one ChangeID; independently retest; notify recipients and retain the prior issue. If the newer document is still a draft, do not imply office adoption. BBM-STD-72/75/76 V0.1 are draft dependencies: index them in the Master index with draft state (</w:t>
      </w:r>
      <w:r>
        <w:rPr>
          <w:color w:val="9A7B45"/>
          <w:u w:val="single"/>
        </w:rPr>
        <w:t>BBM-STD-72</w:t>
      </w:r>
      <w:r>
        <w:t xml:space="preserve">, </w:t>
      </w:r>
      <w:r>
        <w:rPr>
          <w:color w:val="9A7B45"/>
          <w:u w:val="single"/>
        </w:rPr>
        <w:t>BBM-STD-75</w:t>
      </w:r>
      <w:r>
        <w:t xml:space="preserve">, </w:t>
      </w:r>
      <w:r>
        <w:rPr>
          <w:color w:val="9A7B45"/>
          <w:u w:val="single"/>
        </w:rPr>
        <w:t>BBM-STD-76</w:t>
      </w:r>
      <w:r>
        <w:t xml:space="preserve"> at their current draft revision); consumers pin the draft revision until adoption.</w:t>
      </w:r>
    </w:p>
    <w:p>
      <w:pPr>
        <w:pStyle w:val="Heading1"/>
      </w:pPr>
      <w:r>
        <w:t>7 Acceptance and activation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235"/>
        <w:gridCol w:w="8231"/>
      </w:tblGrid>
      <w:tr>
        <w:trPr>
          <w:cantSplit/>
          <w:tblHeader/>
        </w:trPr>
        <w:tc>
          <w:tcPr>
            <w:tcW w:type="dxa" w:w="2235"/>
            <w:shd w:val="clear" w:color="auto" w:fill="111113"/>
          </w:tcPr>
          <w:p>
            <w:r>
              <w:rPr>
                <w:b/>
                <w:color w:val="FFFFFF"/>
                <w:sz w:val="17"/>
              </w:rPr>
            </w:r>
            <w:r>
              <w:rPr>
                <w:b/>
                <w:color w:val="FFFFFF"/>
                <w:sz w:val="17"/>
              </w:rPr>
              <w:t>Check</w:t>
            </w:r>
          </w:p>
        </w:tc>
        <w:tc>
          <w:tcPr>
            <w:tcW w:type="dxa" w:w="8231"/>
            <w:shd w:val="clear" w:color="auto" w:fill="111113"/>
          </w:tcPr>
          <w:p>
            <w:r>
              <w:rPr>
                <w:b/>
                <w:color w:val="FFFFFF"/>
                <w:sz w:val="17"/>
              </w:rPr>
            </w:r>
            <w:r>
              <w:rPr>
                <w:b/>
                <w:color w:val="FFFFFF"/>
                <w:sz w:val="17"/>
              </w:rPr>
              <w:t>Evidence required</w:t>
            </w:r>
          </w:p>
        </w:tc>
      </w:tr>
      <w:tr>
        <w:trPr>
          <w:cantSplit/>
        </w:trPr>
        <w:tc>
          <w:tcPr>
            <w:tcW w:type="dxa" w:w="2235"/>
          </w:tcPr>
          <w:p>
            <w:r>
              <w:rPr>
                <w:sz w:val="17"/>
              </w:rPr>
            </w:r>
            <w:r>
              <w:rPr>
                <w:sz w:val="17"/>
              </w:rPr>
              <w:t>Index and dependency integrity</w:t>
            </w:r>
          </w:p>
        </w:tc>
        <w:tc>
          <w:tcPr>
            <w:tcW w:type="dxa" w:w="8231"/>
          </w:tcPr>
          <w:p>
            <w:r>
              <w:rPr>
                <w:sz w:val="17"/>
              </w:rPr>
            </w:r>
            <w:r>
              <w:rPr>
                <w:sz w:val="17"/>
              </w:rPr>
              <w:t>Every current ID unique, all required pinned revisions accessible, zero unresolved current references and a dated manifest</w:t>
            </w:r>
          </w:p>
        </w:tc>
      </w:tr>
      <w:tr>
        <w:trPr>
          <w:cantSplit/>
        </w:trPr>
        <w:tc>
          <w:tcPr>
            <w:tcW w:type="dxa" w:w="2235"/>
          </w:tcPr>
          <w:p>
            <w:r>
              <w:rPr>
                <w:sz w:val="17"/>
              </w:rPr>
            </w:r>
            <w:r>
              <w:rPr>
                <w:sz w:val="17"/>
              </w:rPr>
              <w:t>Naming and representations</w:t>
            </w:r>
          </w:p>
        </w:tc>
        <w:tc>
          <w:tcPr>
            <w:tcW w:type="dxa" w:w="8231"/>
          </w:tcPr>
          <w:p>
            <w:r>
              <w:rPr>
                <w:sz w:val="17"/>
              </w:rPr>
            </w:r>
            <w:r>
              <w:rPr>
                <w:sz w:val="17"/>
              </w:rPr>
              <w:t>Test pack actual outputs, code-register revision, alias map, revision/​suitability/​state and manifest checks</w:t>
            </w:r>
          </w:p>
        </w:tc>
      </w:tr>
      <w:tr>
        <w:trPr>
          <w:cantSplit/>
        </w:trPr>
        <w:tc>
          <w:tcPr>
            <w:tcW w:type="dxa" w:w="2235"/>
          </w:tcPr>
          <w:p>
            <w:r>
              <w:rPr>
                <w:sz w:val="17"/>
              </w:rPr>
            </w:r>
            <w:r>
              <w:rPr>
                <w:sz w:val="17"/>
              </w:rPr>
              <w:t>Rights</w:t>
            </w:r>
          </w:p>
        </w:tc>
        <w:tc>
          <w:tcPr>
            <w:tcW w:type="dxa" w:w="8231"/>
          </w:tcPr>
          <w:p>
            <w:r>
              <w:rPr>
                <w:sz w:val="17"/>
              </w:rPr>
            </w:r>
            <w:r>
              <w:rPr>
                <w:sz w:val="17"/>
              </w:rPr>
              <w:t>In-date evidence for actual use, account/​seat allocation and every intended recipient; no credentials in the register</w:t>
            </w:r>
          </w:p>
        </w:tc>
      </w:tr>
      <w:tr>
        <w:trPr>
          <w:cantSplit/>
        </w:trPr>
        <w:tc>
          <w:tcPr>
            <w:tcW w:type="dxa" w:w="2235"/>
          </w:tcPr>
          <w:p>
            <w:r>
              <w:rPr>
                <w:sz w:val="17"/>
              </w:rPr>
            </w:r>
            <w:r>
              <w:rPr>
                <w:sz w:val="17"/>
              </w:rPr>
              <w:t>Migration</w:t>
            </w:r>
          </w:p>
        </w:tc>
        <w:tc>
          <w:tcPr>
            <w:tcW w:type="dxa" w:w="8231"/>
          </w:tcPr>
          <w:p>
            <w:r>
              <w:rPr>
                <w:sz w:val="17"/>
              </w:rPr>
            </w:r>
            <w:r>
              <w:rPr>
                <w:sz w:val="17"/>
              </w:rPr>
              <w:t>Impact, authority, effective revision, notification and independent retest; issued originals preserved</w:t>
            </w:r>
          </w:p>
        </w:tc>
      </w:tr>
      <w:tr>
        <w:trPr>
          <w:cantSplit/>
        </w:trPr>
        <w:tc>
          <w:tcPr>
            <w:tcW w:type="dxa" w:w="2235"/>
          </w:tcPr>
          <w:p>
            <w:r>
              <w:rPr>
                <w:sz w:val="17"/>
              </w:rPr>
            </w:r>
            <w:r>
              <w:rPr>
                <w:sz w:val="17"/>
              </w:rPr>
              <w:t>Adoption</w:t>
            </w:r>
          </w:p>
        </w:tc>
        <w:tc>
          <w:tcPr>
            <w:tcW w:type="dxa" w:w="8231"/>
          </w:tcPr>
          <w:p>
            <w:r>
              <w:rPr>
                <w:sz w:val="17"/>
              </w:rPr>
            </w:r>
            <w:r>
              <w:rPr>
                <w:sz w:val="17"/>
              </w:rPr>
              <w:t>Director/​appointment decisions and actual authorised custodians. Draft review is not project mobilisation</w:t>
            </w:r>
          </w:p>
        </w:tc>
      </w:tr>
    </w:tbl>
    <w:p/>
    <w:p>
      <w:pPr/>
      <w:r>
        <w:t>The present pack supplies the method, editable forms and filled examples. Native CAD/Revit/CDE validation, real entitlements, office adoption and project receiving tests are NOT EXECUTED. Activate only the actual affected uses after their records and evidence are complete.</w:t>
      </w:r>
    </w:p>
    <w:p>
      <w:pPr>
        <w:pStyle w:val="Heading1"/>
      </w:pPr>
      <w:r>
        <w:t>References</w:t>
      </w:r>
    </w:p>
    <w:p>
      <w:pPr>
        <w:pStyle w:val="ListParagraph"/>
        <w:spacing w:after="40"/>
        <w:ind w:left="360" w:hanging="240"/>
      </w:pPr>
      <w:r>
        <w:t xml:space="preserve">•  </w:t>
      </w:r>
      <w:r>
        <w:t xml:space="preserve">R1. ISO, </w:t>
      </w:r>
      <w:hyperlink r:id="rId15">
        <w:r>
          <w:rPr>
            <w:color w:val="9A7B45"/>
            <w:u w:val="single"/>
          </w:rPr>
          <w:t>ISO 19650-1:2018 catalogue</w:t>
        </w:r>
      </w:hyperlink>
      <w:r>
        <w:t xml:space="preserve"> and </w:t>
      </w:r>
      <w:hyperlink r:id="rId16">
        <w:r>
          <w:rPr>
            <w:color w:val="9A7B45"/>
            <w:u w:val="single"/>
          </w:rPr>
          <w:t>ISO 19650-2:2018 catalogue</w:t>
        </w:r>
      </w:hyperlink>
      <w:r>
        <w:t>. Requirements clause 5 and delivery 5.1.4–5.1.5 are reading pointers, not a licensed compliance audit. Checked 2026-11-04.</w:t>
      </w:r>
    </w:p>
    <w:p>
      <w:pPr>
        <w:pStyle w:val="ListParagraph"/>
        <w:spacing w:after="40"/>
        <w:ind w:left="360" w:hanging="240"/>
      </w:pPr>
      <w:r>
        <w:t xml:space="preserve">•  </w:t>
      </w:r>
      <w:r>
        <w:t xml:space="preserve">R2. ISO, </w:t>
      </w:r>
      <w:hyperlink r:id="rId17">
        <w:r>
          <w:rPr>
            <w:color w:val="9A7B45"/>
            <w:u w:val="single"/>
          </w:rPr>
          <w:t>ISO 19650-3:2020 catalogue</w:t>
        </w:r>
      </w:hyperlink>
      <w:r>
        <w:t xml:space="preserve"> and </w:t>
      </w:r>
      <w:hyperlink r:id="rId18">
        <w:r>
          <w:rPr>
            <w:color w:val="9A7B45"/>
            <w:u w:val="single"/>
          </w:rPr>
          <w:t>ISO 19650-5:2020 catalogue</w:t>
        </w:r>
      </w:hyperlink>
      <w:r>
        <w:t>. Operational and security scope. Checked 2026-11-04.</w:t>
      </w:r>
    </w:p>
    <w:p>
      <w:pPr>
        <w:pStyle w:val="ListParagraph"/>
        <w:spacing w:after="40"/>
        <w:ind w:left="360" w:hanging="240"/>
      </w:pPr>
      <w:r>
        <w:t xml:space="preserve">•  </w:t>
      </w:r>
      <w:r>
        <w:t xml:space="preserve">R3. ISO, </w:t>
      </w:r>
      <w:hyperlink r:id="rId19">
        <w:r>
          <w:rPr>
            <w:color w:val="9A7B45"/>
            <w:u w:val="single"/>
          </w:rPr>
          <w:t>ISO 7817-1:2024 catalogue</w:t>
        </w:r>
      </w:hyperlink>
      <w:r>
        <w:t xml:space="preserve">; BSI </w:t>
      </w:r>
      <w:hyperlink r:id="rId20">
        <w:r>
          <w:rPr>
            <w:color w:val="9A7B45"/>
            <w:u w:val="single"/>
          </w:rPr>
          <w:t>BS EN 17412-1:2020 project record</w:t>
        </w:r>
      </w:hyperlink>
      <w:r>
        <w:t>, withdrawn predecessor. Checked 2026-11-04.</w:t>
      </w:r>
    </w:p>
    <w:p>
      <w:pPr>
        <w:pStyle w:val="ListParagraph"/>
        <w:spacing w:after="40"/>
        <w:ind w:left="360" w:hanging="240"/>
      </w:pPr>
      <w:r>
        <w:t xml:space="preserve">•  </w:t>
      </w:r>
      <w:r>
        <w:t xml:space="preserve">R4. IMI Framework (formerly UK BIM Framework, renamed May 2025), </w:t>
      </w:r>
      <w:hyperlink r:id="rId21">
        <w:r>
          <w:rPr>
            <w:color w:val="9A7B45"/>
            <w:u w:val="single"/>
          </w:rPr>
          <w:t>resources</w:t>
        </w:r>
      </w:hyperlink>
      <w:r>
        <w:t xml:space="preserve">: archived </w:t>
      </w:r>
      <w:hyperlink r:id="rId22">
        <w:r>
          <w:rPr>
            <w:color w:val="9A7B45"/>
            <w:u w:val="single"/>
          </w:rPr>
          <w:t>Guidance A edition 2</w:t>
        </w:r>
      </w:hyperlink>
      <w:r>
        <w:t xml:space="preserve">, </w:t>
      </w:r>
      <w:hyperlink r:id="rId23">
        <w:r>
          <w:rPr>
            <w:color w:val="9A7B45"/>
            <w:u w:val="single"/>
          </w:rPr>
          <w:t>Guidance D edition 2</w:t>
        </w:r>
      </w:hyperlink>
      <w:r>
        <w:t xml:space="preserve"> and </w:t>
      </w:r>
      <w:hyperlink r:id="rId24">
        <w:r>
          <w:rPr>
            <w:color w:val="9A7B45"/>
            <w:u w:val="single"/>
          </w:rPr>
          <w:t>Guidance E edition 2</w:t>
        </w:r>
      </w:hyperlink>
      <w:r>
        <w:t>, February 2021; Information Protocol template Ed 6. Explanatory context only. Checked 2026-11-04.</w:t>
      </w:r>
    </w:p>
    <w:p>
      <w:pPr>
        <w:pStyle w:val="ListParagraph"/>
        <w:spacing w:after="40"/>
        <w:ind w:left="360" w:hanging="240"/>
      </w:pPr>
      <w:r>
        <w:t xml:space="preserve">•  </w:t>
      </w:r>
      <w:r>
        <w:t xml:space="preserve">R5. Local controlling drafts: </w:t>
      </w:r>
      <w:r>
        <w:rPr>
          <w:color w:val="9A7B45"/>
          <w:u w:val="single"/>
        </w:rPr>
        <w:t>Glossary V0.3</w:t>
      </w:r>
      <w:r>
        <w:t xml:space="preserve">, </w:t>
      </w:r>
      <w:r>
        <w:rPr>
          <w:color w:val="9A7B45"/>
          <w:u w:val="single"/>
        </w:rPr>
        <w:t>Manual V0.5</w:t>
      </w:r>
      <w:r>
        <w:t xml:space="preserve">, </w:t>
      </w:r>
      <w:r>
        <w:rPr>
          <w:color w:val="9A7B45"/>
          <w:u w:val="single"/>
        </w:rPr>
        <w:t>BEP V0.5</w:t>
      </w:r>
      <w:r>
        <w:t xml:space="preserve">, </w:t>
      </w:r>
      <w:r>
        <w:rPr>
          <w:color w:val="9A7B45"/>
          <w:u w:val="single"/>
        </w:rPr>
        <w:t>Code dictionary</w:t>
      </w:r>
      <w:r>
        <w:t xml:space="preserve">, </w:t>
      </w:r>
      <w:r>
        <w:rPr>
          <w:color w:val="9A7B45"/>
          <w:u w:val="single"/>
        </w:rPr>
        <w:t>UAE authority annex</w:t>
      </w:r>
      <w:r>
        <w:t xml:space="preserve">, </w:t>
      </w:r>
      <w:r>
        <w:rPr>
          <w:color w:val="9A7B45"/>
          <w:u w:val="single"/>
        </w:rPr>
        <w:t>office decisions</w:t>
      </w:r>
      <w:r>
        <w:t>, writing plan and gap matrix. Access date 4 November 2026.</w:t>
      </w:r>
    </w:p>
    <w:p>
      <w:pPr>
        <w:pStyle w:val="ListParagraph"/>
        <w:spacing w:after="40"/>
        <w:ind w:left="360" w:hanging="240"/>
      </w:pPr>
      <w:r>
        <w:t xml:space="preserve">•  </w:t>
      </w:r>
      <w:r>
        <w:t>R6. Every edition and URL in the §3 register tables is a primary source checked 2026-11-04; those rows are the reference list for the edition facts.</w:t>
      </w:r>
    </w:p>
    <w:p>
      <w:pPr>
        <w:pStyle w:val="ListParagraph"/>
        <w:spacing w:after="40"/>
        <w:ind w:left="360" w:hanging="240"/>
      </w:pPr>
      <w:r>
        <w:t xml:space="preserve">•  </w:t>
      </w:r>
      <w:r>
        <w:t xml:space="preserve">R7. Standard watch no. 1 (RES-017, 2026-11-05): </w:t>
      </w:r>
      <w:hyperlink r:id="rId25">
        <w:r>
          <w:rPr>
            <w:color w:val="9A7B45"/>
            <w:u w:val="single"/>
          </w:rPr>
          <w:t>ISO 19011:2026</w:t>
        </w:r>
      </w:hyperlink>
      <w:r>
        <w:t xml:space="preserve">; </w:t>
      </w:r>
      <w:hyperlink r:id="rId26">
        <w:r>
          <w:rPr>
            <w:color w:val="9A7B45"/>
            <w:u w:val="single"/>
          </w:rPr>
          <w:t>DM circular 11-9-1 of 2026</w:t>
        </w:r>
      </w:hyperlink>
      <w:r>
        <w:t xml:space="preserve"> and </w:t>
      </w:r>
      <w:hyperlink r:id="rId27">
        <w:r>
          <w:rPr>
            <w:color w:val="9A7B45"/>
            <w:u w:val="single"/>
          </w:rPr>
          <w:t>guidance manual 11-9-1-1</w:t>
        </w:r>
      </w:hyperlink>
      <w:r>
        <w:t xml:space="preserve">, both read in full; </w:t>
      </w:r>
      <w:hyperlink r:id="rId28">
        <w:r>
          <w:rPr>
            <w:color w:val="9A7B45"/>
            <w:u w:val="single"/>
          </w:rPr>
          <w:t>SIRA Administrative Resolution No. 13 of 2025</w:t>
        </w:r>
      </w:hyperlink>
      <w:r>
        <w:t xml:space="preserve">; </w:t>
      </w:r>
      <w:hyperlink r:id="rId29">
        <w:r>
          <w:rPr>
            <w:color w:val="9A7B45"/>
            <w:u w:val="single"/>
          </w:rPr>
          <w:t>SIRA Security Plans Certification</w:t>
        </w:r>
      </w:hyperlink>
      <w:r>
        <w:t xml:space="preserve">; </w:t>
      </w:r>
      <w:hyperlink r:id="rId30">
        <w:r>
          <w:rPr>
            <w:color w:val="9A7B45"/>
            <w:u w:val="single"/>
          </w:rPr>
          <w:t>NIBS COBie version history</w:t>
        </w:r>
      </w:hyperlink>
      <w:r>
        <w:t xml:space="preserve">; </w:t>
      </w:r>
      <w:hyperlink r:id="rId31">
        <w:r>
          <w:rPr>
            <w:color w:val="9A7B45"/>
            <w:u w:val="single"/>
          </w:rPr>
          <w:t>ISO 12006-2:2015 page</w:t>
        </w:r>
      </w:hyperlink>
      <w:r>
        <w:t xml:space="preserve">; </w:t>
      </w:r>
      <w:hyperlink r:id="rId32">
        <w:r>
          <w:rPr>
            <w:color w:val="9A7B45"/>
            <w:u w:val="single"/>
          </w:rPr>
          <w:t>Dubai BIM Standards package</w:t>
        </w:r>
      </w:hyperlink>
      <w:r>
        <w:t>. The ADCDA amendments circular was not found on a primary source.</w:t>
      </w:r>
    </w:p>
    <w:sectPr w:rsidR="00922C46" w:rsidSect="00922C46">
      <w:pgSz w:w="11906" w:h="16838"/>
      <w:pgMar w:top="1701" w:right="720" w:bottom="720" w:left="720" w:header="454" w:footer="2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BBM-STD-51-REGISTERS-V0.4</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6f57b4e72f80118816ff4385350a98" TargetMode="External"/><Relationship Id="rId14" Type="http://schemas.openxmlformats.org/officeDocument/2006/relationships/hyperlink" Target="https://github.com/Fargaly/baboom-bim-standard/blob/main/04-DOCUMENTS/BBM-STD-51-REGISTERS-V0.4.docx" TargetMode="External"/><Relationship Id="rId15" Type="http://schemas.openxmlformats.org/officeDocument/2006/relationships/hyperlink" Target="https://www.iso.org/standard/68078.html" TargetMode="External"/><Relationship Id="rId16" Type="http://schemas.openxmlformats.org/officeDocument/2006/relationships/hyperlink" Target="https://www.iso.org/standard/68080.html" TargetMode="External"/><Relationship Id="rId17" Type="http://schemas.openxmlformats.org/officeDocument/2006/relationships/hyperlink" Target="https://www.iso.org/standard/75109.html" TargetMode="External"/><Relationship Id="rId18" Type="http://schemas.openxmlformats.org/officeDocument/2006/relationships/hyperlink" Target="https://www.iso.org/standard/74206.html" TargetMode="External"/><Relationship Id="rId19" Type="http://schemas.openxmlformats.org/officeDocument/2006/relationships/hyperlink" Target="https://www.iso.org/standard/82914.html" TargetMode="External"/><Relationship Id="rId20" Type="http://schemas.openxmlformats.org/officeDocument/2006/relationships/hyperlink" Target="https://standardsdevelopment.bsigroup.com/projects/2018-02659" TargetMode="External"/><Relationship Id="rId21" Type="http://schemas.openxmlformats.org/officeDocument/2006/relationships/hyperlink" Target="https://ukbimframework.org/resources/" TargetMode="External"/><Relationship Id="rId22" Type="http://schemas.openxmlformats.org/officeDocument/2006/relationships/hyperlink" Target="https://www.ukbimframework.org/wp-content/uploads/2021/02/Guidance-Part-A_The-information-management-function-and-resources_Edition-2.pdf" TargetMode="External"/><Relationship Id="rId23" Type="http://schemas.openxmlformats.org/officeDocument/2006/relationships/hyperlink" Target="https://www.ukbimframework.org/wp-content/uploads/2021/02/Guidance-Part-D_Developing-information-requirements_Edition-2.pdf" TargetMode="External"/><Relationship Id="rId24" Type="http://schemas.openxmlformats.org/officeDocument/2006/relationships/hyperlink" Target="https://www.ukbimframework.org/wp-content/uploads/2021/02/Guidance-Part-E_Tendering-and-appointments_Edition-2.pdf" TargetMode="External"/><Relationship Id="rId25" Type="http://schemas.openxmlformats.org/officeDocument/2006/relationships/hyperlink" Target="https://www.iso.org/standard/19011" TargetMode="External"/><Relationship Id="rId26" Type="http://schemas.openxmlformats.org/officeDocument/2006/relationships/hyperlink" Target="https://dmpmedia.dm.gov.ae/uploads/2026/10/11-9-1.pdf" TargetMode="External"/><Relationship Id="rId27" Type="http://schemas.openxmlformats.org/officeDocument/2006/relationships/hyperlink" Target="https://dmpmedia.dm.gov.ae/uploads/2026/10/11-9-1-1.pdf" TargetMode="External"/><Relationship Id="rId28" Type="http://schemas.openxmlformats.org/officeDocument/2006/relationships/hyperlink" Target="https://dlp.dubai.gov.ae/Legislation%20Reference/2025/Administrative%20Resolution%20No.%20%2813%29%20of%202025%20Approving%20the%20Preventive.html" TargetMode="External"/><Relationship Id="rId29" Type="http://schemas.openxmlformats.org/officeDocument/2006/relationships/hyperlink" Target="https://www.sira.gov.ae/en/services/security-plans-certification" TargetMode="External"/><Relationship Id="rId30" Type="http://schemas.openxmlformats.org/officeDocument/2006/relationships/hyperlink" Target="https://nibs.org/nbims/v3/cobie/2-7" TargetMode="External"/><Relationship Id="rId31" Type="http://schemas.openxmlformats.org/officeDocument/2006/relationships/hyperlink" Target="https://www.iso.org/standard/61753.html" TargetMode="External"/><Relationship Id="rId32" Type="http://schemas.openxmlformats.org/officeDocument/2006/relationships/hyperlink" Target="https://api.buildindubai.gov.ae/assets/BIM/Documents/DubaiBIMStandards.zi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