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840"/>
      </w:pPr>
      <w:r>
        <w:t>Project information requirements template</w:t>
      </w:r>
    </w:p>
    <w:p>
      <w:pPr/>
      <w:r>
        <w:t xml:space="preserve">Linked copies: ID STD-53 · </w:t>
      </w:r>
      <w:hyperlink r:id="rId13">
        <w:r>
          <w:rPr>
            <w:color w:val="9A7B45"/>
            <w:u w:val="single"/>
          </w:rPr>
          <w:t>TBP page</w:t>
        </w:r>
      </w:hyperlink>
      <w:r>
        <w:t xml:space="preserve"> · </w:t>
      </w:r>
      <w:hyperlink r:id="rId14">
        <w:r>
          <w:rPr>
            <w:color w:val="9A7B45"/>
            <w:u w:val="single"/>
          </w:rPr>
          <w:t>BABOOM edition</w:t>
        </w:r>
      </w:hyperlink>
      <w:r>
        <w:t xml:space="preserve"> · ArchHub: BABOOM companion</w:t>
      </w:r>
    </w:p>
    <w:p>
      <w:pPr/>
      <w:r>
        <w:t>BBM-STD-53-PIR-V0.2 | Office standard | 4 November 2026 | V0.2 | Private controlled WIP draft for office review and adoption</w:t>
      </w:r>
    </w:p>
    <w:p>
      <w:pPr>
        <w:pStyle w:val="Heading2"/>
      </w:pPr>
      <w:r>
        <w:t>Revision history</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816"/>
        <w:gridCol w:w="1074"/>
        <w:gridCol w:w="8575"/>
      </w:tblGrid>
      <w:tr>
        <w:trPr>
          <w:cantSplit/>
          <w:tblHeader/>
        </w:trPr>
        <w:tc>
          <w:tcPr>
            <w:tcW w:type="dxa" w:w="816"/>
            <w:shd w:val="clear" w:color="auto" w:fill="111113"/>
          </w:tcPr>
          <w:p>
            <w:r>
              <w:rPr>
                <w:b/>
                <w:color w:val="FFFFFF"/>
                <w:sz w:val="17"/>
              </w:rPr>
            </w:r>
            <w:r>
              <w:rPr>
                <w:b/>
                <w:color w:val="FFFFFF"/>
                <w:sz w:val="17"/>
              </w:rPr>
              <w:t>Version</w:t>
            </w:r>
          </w:p>
        </w:tc>
        <w:tc>
          <w:tcPr>
            <w:tcW w:type="dxa" w:w="1074"/>
            <w:shd w:val="clear" w:color="auto" w:fill="111113"/>
          </w:tcPr>
          <w:p>
            <w:r>
              <w:rPr>
                <w:b/>
                <w:color w:val="FFFFFF"/>
                <w:sz w:val="17"/>
              </w:rPr>
            </w:r>
            <w:r>
              <w:rPr>
                <w:b/>
                <w:color w:val="FFFFFF"/>
                <w:sz w:val="17"/>
              </w:rPr>
              <w:t>Date</w:t>
            </w:r>
          </w:p>
        </w:tc>
        <w:tc>
          <w:tcPr>
            <w:tcW w:type="dxa" w:w="8575"/>
            <w:shd w:val="clear" w:color="auto" w:fill="111113"/>
          </w:tcPr>
          <w:p>
            <w:r>
              <w:rPr>
                <w:b/>
                <w:color w:val="FFFFFF"/>
                <w:sz w:val="17"/>
              </w:rPr>
            </w:r>
            <w:r>
              <w:rPr>
                <w:b/>
                <w:color w:val="FFFFFF"/>
                <w:sz w:val="17"/>
              </w:rPr>
              <w:t>Change</w:t>
            </w:r>
          </w:p>
        </w:tc>
      </w:tr>
      <w:tr>
        <w:trPr>
          <w:cantSplit/>
        </w:trPr>
        <w:tc>
          <w:tcPr>
            <w:tcW w:type="dxa" w:w="816"/>
          </w:tcPr>
          <w:p>
            <w:r>
              <w:rPr>
                <w:sz w:val="17"/>
              </w:rPr>
            </w:r>
            <w:r>
              <w:rPr>
                <w:sz w:val="17"/>
              </w:rPr>
              <w:t>V0.1</w:t>
            </w:r>
          </w:p>
        </w:tc>
        <w:tc>
          <w:tcPr>
            <w:tcW w:type="dxa" w:w="1074"/>
          </w:tcPr>
          <w:p>
            <w:r>
              <w:rPr>
                <w:sz w:val="17"/>
              </w:rPr>
            </w:r>
            <w:r>
              <w:rPr>
                <w:sz w:val="17"/>
              </w:rPr>
              <w:t>2026-10-16</w:t>
            </w:r>
          </w:p>
        </w:tc>
        <w:tc>
          <w:tcPr>
            <w:tcW w:type="dxa" w:w="8575"/>
          </w:tcPr>
          <w:p>
            <w:r>
              <w:rPr>
                <w:sz w:val="17"/>
              </w:rPr>
            </w:r>
            <w:r>
              <w:rPr>
                <w:sz w:val="17"/>
              </w:rPr>
              <w:t>First controlled draft</w:t>
            </w:r>
          </w:p>
        </w:tc>
      </w:tr>
      <w:tr>
        <w:trPr>
          <w:cantSplit/>
        </w:trPr>
        <w:tc>
          <w:tcPr>
            <w:tcW w:type="dxa" w:w="816"/>
          </w:tcPr>
          <w:p>
            <w:r>
              <w:rPr>
                <w:sz w:val="17"/>
              </w:rPr>
            </w:r>
            <w:r>
              <w:rPr>
                <w:sz w:val="17"/>
              </w:rPr>
              <w:t>V0.2</w:t>
            </w:r>
          </w:p>
        </w:tc>
        <w:tc>
          <w:tcPr>
            <w:tcW w:type="dxa" w:w="1074"/>
          </w:tcPr>
          <w:p>
            <w:r>
              <w:rPr>
                <w:sz w:val="17"/>
              </w:rPr>
            </w:r>
            <w:r>
              <w:rPr>
                <w:sz w:val="17"/>
              </w:rPr>
              <w:t>2026-11-04</w:t>
            </w:r>
          </w:p>
        </w:tc>
        <w:tc>
          <w:tcPr>
            <w:tcW w:type="dxa" w:w="8575"/>
          </w:tcPr>
          <w:p>
            <w:r>
              <w:rPr>
                <w:sz w:val="17"/>
              </w:rPr>
            </w:r>
            <w:r>
              <w:rPr>
                <w:sz w:val="17"/>
              </w:rPr>
              <w:t>Audit res-026 closure: G153 PIR-AUTH authority submission decision row (DM 9-1-2/​9-1-3 via BBM-STD-85); G154 BEP V0.5 link; cross-links to current set versions; references re-checked</w:t>
            </w:r>
          </w:p>
        </w:tc>
      </w:tr>
    </w:tbl>
    <w:p/>
    <w:p>
      <w:pPr>
        <w:pStyle w:val="Heading1"/>
      </w:pPr>
      <w:r>
        <w:t>1 Purpose scope and decision ownership</w:t>
      </w:r>
    </w:p>
    <w:p>
      <w:pPr/>
      <w:r>
        <w:t>Project information requirements (PIR) describe the information the appointing party needs at project decision points. Maintain one controlled project set, selecting applicable organisational objectives and project brief needs rather than copying every possible output. This standard covers SG-006. The appointing-party representative owns the set; each requirement has one accountable decision owner, an information reviewer and a recorded acceptance route. The producer does not accept its own information on behalf of the appointing party.</w:t>
      </w:r>
    </w:p>
    <w:p>
      <w:pPr/>
      <w:r>
        <w:t xml:space="preserve">Use </w:t>
      </w:r>
      <w:r>
        <w:rPr>
          <w:color w:val="9A7B45"/>
          <w:u w:val="single"/>
        </w:rPr>
        <w:t>Office OIR</w:t>
      </w:r>
      <w:r>
        <w:t xml:space="preserve">, </w:t>
      </w:r>
      <w:r>
        <w:rPr>
          <w:color w:val="9A7B45"/>
          <w:u w:val="single"/>
        </w:rPr>
        <w:t>Glossary</w:t>
      </w:r>
      <w:r>
        <w:t xml:space="preserve">, </w:t>
      </w:r>
      <w:r>
        <w:rPr>
          <w:color w:val="9A7B45"/>
          <w:u w:val="single"/>
        </w:rPr>
        <w:t>register controls</w:t>
      </w:r>
      <w:r>
        <w:t xml:space="preserve">, </w:t>
      </w:r>
      <w:r>
        <w:rPr>
          <w:color w:val="9A7B45"/>
          <w:u w:val="single"/>
        </w:rPr>
        <w:t>responsibilities</w:t>
      </w:r>
      <w:r>
        <w:t xml:space="preserve">, </w:t>
      </w:r>
      <w:r>
        <w:rPr>
          <w:color w:val="9A7B45"/>
          <w:u w:val="single"/>
        </w:rPr>
        <w:t>codes and submissions</w:t>
      </w:r>
      <w:r>
        <w:t xml:space="preserve">, </w:t>
      </w:r>
      <w:r>
        <w:rPr>
          <w:color w:val="9A7B45"/>
          <w:u w:val="single"/>
        </w:rPr>
        <w:t>UAE authority annex</w:t>
      </w:r>
      <w:r>
        <w:t xml:space="preserve">, </w:t>
      </w:r>
      <w:r>
        <w:rPr>
          <w:color w:val="9A7B45"/>
          <w:u w:val="single"/>
        </w:rPr>
        <w:t>BoD owner</w:t>
      </w:r>
      <w:r>
        <w:t xml:space="preserve"> and </w:t>
      </w:r>
      <w:r>
        <w:rPr>
          <w:color w:val="9A7B45"/>
          <w:u w:val="single"/>
        </w:rPr>
        <w:t>AIR</w:t>
      </w:r>
      <w:r>
        <w:t xml:space="preserve">. The </w:t>
      </w:r>
      <w:r>
        <w:rPr>
          <w:color w:val="9A7B45"/>
          <w:u w:val="single"/>
        </w:rPr>
        <w:t>editable PIR forms</w:t>
      </w:r>
      <w:r>
        <w:t xml:space="preserve"> contain blank registers and a complete synthetic decision trace. Project decision points, information delivery milestones and stage ends are separate records; receiving information before the decision leaves time for checking and correction.</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441"/>
        <w:gridCol w:w="9025"/>
      </w:tblGrid>
      <w:tr>
        <w:trPr>
          <w:cantSplit/>
          <w:tblHeader/>
        </w:trPr>
        <w:tc>
          <w:tcPr>
            <w:tcW w:type="dxa" w:w="1441"/>
            <w:shd w:val="clear" w:color="auto" w:fill="111113"/>
          </w:tcPr>
          <w:p>
            <w:r>
              <w:rPr>
                <w:b/>
                <w:color w:val="FFFFFF"/>
                <w:sz w:val="17"/>
              </w:rPr>
            </w:r>
            <w:r>
              <w:rPr>
                <w:b/>
                <w:color w:val="FFFFFF"/>
                <w:sz w:val="17"/>
              </w:rPr>
              <w:t>Scope control</w:t>
            </w:r>
          </w:p>
        </w:tc>
        <w:tc>
          <w:tcPr>
            <w:tcW w:type="dxa" w:w="9025"/>
            <w:shd w:val="clear" w:color="auto" w:fill="111113"/>
          </w:tcPr>
          <w:p>
            <w:r>
              <w:rPr>
                <w:b/>
                <w:color w:val="FFFFFF"/>
                <w:sz w:val="17"/>
              </w:rPr>
            </w:r>
            <w:r>
              <w:rPr>
                <w:b/>
                <w:color w:val="FFFFFF"/>
                <w:sz w:val="17"/>
              </w:rPr>
              <w:t>Required entry</w:t>
            </w:r>
          </w:p>
        </w:tc>
      </w:tr>
      <w:tr>
        <w:trPr>
          <w:cantSplit/>
        </w:trPr>
        <w:tc>
          <w:tcPr>
            <w:tcW w:type="dxa" w:w="1441"/>
          </w:tcPr>
          <w:p>
            <w:r>
              <w:rPr>
                <w:sz w:val="17"/>
              </w:rPr>
            </w:r>
            <w:r>
              <w:rPr>
                <w:sz w:val="17"/>
              </w:rPr>
              <w:t>Project</w:t>
            </w:r>
          </w:p>
        </w:tc>
        <w:tc>
          <w:tcPr>
            <w:tcW w:type="dxa" w:w="9025"/>
          </w:tcPr>
          <w:p>
            <w:r>
              <w:rPr>
                <w:sz w:val="17"/>
              </w:rPr>
            </w:r>
            <w:r>
              <w:rPr>
                <w:sz w:val="17"/>
              </w:rPr>
              <w:t>Project ID, appointment boundaries, objectives, decision stages, included systems/​assets and exclusions</w:t>
            </w:r>
          </w:p>
        </w:tc>
      </w:tr>
      <w:tr>
        <w:trPr>
          <w:cantSplit/>
        </w:trPr>
        <w:tc>
          <w:tcPr>
            <w:tcW w:type="dxa" w:w="1441"/>
          </w:tcPr>
          <w:p>
            <w:r>
              <w:rPr>
                <w:sz w:val="17"/>
              </w:rPr>
            </w:r>
            <w:r>
              <w:rPr>
                <w:sz w:val="17"/>
              </w:rPr>
              <w:t>Decisions</w:t>
            </w:r>
          </w:p>
        </w:tc>
        <w:tc>
          <w:tcPr>
            <w:tcW w:type="dxa" w:w="9025"/>
          </w:tcPr>
          <w:p>
            <w:r>
              <w:rPr>
                <w:sz w:val="17"/>
              </w:rPr>
            </w:r>
            <w:r>
              <w:rPr>
                <w:sz w:val="17"/>
              </w:rPr>
              <w:t>Unique PIR and Decision IDs, question, one accountable owner, options, needed evidence and permitted reliance</w:t>
            </w:r>
          </w:p>
        </w:tc>
      </w:tr>
      <w:tr>
        <w:trPr>
          <w:cantSplit/>
        </w:trPr>
        <w:tc>
          <w:tcPr>
            <w:tcW w:type="dxa" w:w="1441"/>
          </w:tcPr>
          <w:p>
            <w:r>
              <w:rPr>
                <w:sz w:val="17"/>
              </w:rPr>
            </w:r>
            <w:r>
              <w:rPr>
                <w:sz w:val="17"/>
              </w:rPr>
              <w:t>Authority</w:t>
            </w:r>
          </w:p>
        </w:tc>
        <w:tc>
          <w:tcPr>
            <w:tcW w:type="dxa" w:w="9025"/>
          </w:tcPr>
          <w:p>
            <w:r>
              <w:rPr>
                <w:sz w:val="17"/>
              </w:rPr>
            </w:r>
            <w:r>
              <w:rPr>
                <w:sz w:val="17"/>
              </w:rPr>
              <w:t>Appointing party and delegated recipient scope; technical information acceptance versus actual business/​design/​statutory decision</w:t>
            </w:r>
          </w:p>
        </w:tc>
      </w:tr>
      <w:tr>
        <w:trPr>
          <w:cantSplit/>
        </w:trPr>
        <w:tc>
          <w:tcPr>
            <w:tcW w:type="dxa" w:w="1441"/>
          </w:tcPr>
          <w:p>
            <w:r>
              <w:rPr>
                <w:sz w:val="17"/>
              </w:rPr>
            </w:r>
            <w:r>
              <w:rPr>
                <w:sz w:val="17"/>
              </w:rPr>
              <w:t>Timing</w:t>
            </w:r>
          </w:p>
        </w:tc>
        <w:tc>
          <w:tcPr>
            <w:tcW w:type="dxa" w:w="9025"/>
          </w:tcPr>
          <w:p>
            <w:r>
              <w:rPr>
                <w:sz w:val="17"/>
              </w:rPr>
            </w:r>
            <w:r>
              <w:rPr>
                <w:sz w:val="17"/>
              </w:rPr>
              <w:t>Delivery, receiving review/​correction and decision dates; dependencies and any stage gate separately</w:t>
            </w:r>
          </w:p>
        </w:tc>
      </w:tr>
    </w:tbl>
    <w:p/>
    <w:p>
      <w:pPr/>
      <w:r>
        <w:t>SYN-P001 is a fictional replacement-design exercise: decide whether the proposed AHU/valve layout can proceed to the next design step with maintainable withdrawal access. It covers AHU-001, VLV-001 and VLV-002 in the AIR fixture. It excludes procurement, fabrication, installation, safety certification and authority permission. A positive information check supports only this declared design decision; it does not establish physical clearance or operational handover.</w:t>
      </w:r>
    </w:p>
    <w:p>
      <w:pPr>
        <w:pStyle w:val="Heading1"/>
      </w:pPr>
      <w:r>
        <w:t>2 Trace requirement to objective brief and BoD</w:t>
      </w:r>
    </w:p>
    <w:p>
      <w:pPr/>
      <w:r>
        <w:t>Preserve Office OIR identities. OIR-007 ordinarily feeds AIR-007 for maintenance; PIR-007 is applicable here specifically because a replacement project needs a design decision. Do not relabel operational AIR as PIR or treat a project decision as an AIM update. New EIR-011 is a local proposed delivery-coordination allocation; EIR-007 remains the operational allocation. Confirm these allocations in BBM-STD-54 before appointment. No existing EIR-SYN-03 component aliases are reassigned.</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102"/>
        <w:gridCol w:w="8364"/>
      </w:tblGrid>
      <w:tr>
        <w:trPr>
          <w:cantSplit/>
          <w:tblHeader/>
        </w:trPr>
        <w:tc>
          <w:tcPr>
            <w:tcW w:type="dxa" w:w="2102"/>
            <w:shd w:val="clear" w:color="auto" w:fill="111113"/>
          </w:tcPr>
          <w:p>
            <w:r>
              <w:rPr>
                <w:b/>
                <w:color w:val="FFFFFF"/>
                <w:sz w:val="17"/>
              </w:rPr>
            </w:r>
            <w:r>
              <w:rPr>
                <w:b/>
                <w:color w:val="FFFFFF"/>
                <w:sz w:val="17"/>
              </w:rPr>
              <w:t>Synthetic trace</w:t>
            </w:r>
          </w:p>
        </w:tc>
        <w:tc>
          <w:tcPr>
            <w:tcW w:type="dxa" w:w="8364"/>
            <w:shd w:val="clear" w:color="auto" w:fill="111113"/>
          </w:tcPr>
          <w:p>
            <w:r>
              <w:rPr>
                <w:b/>
                <w:color w:val="FFFFFF"/>
                <w:sz w:val="17"/>
              </w:rPr>
            </w:r>
            <w:r>
              <w:rPr>
                <w:b/>
                <w:color w:val="FFFFFF"/>
                <w:sz w:val="17"/>
              </w:rPr>
              <w:t>Record and baseline</w:t>
            </w:r>
          </w:p>
        </w:tc>
      </w:tr>
      <w:tr>
        <w:trPr>
          <w:cantSplit/>
        </w:trPr>
        <w:tc>
          <w:tcPr>
            <w:tcW w:type="dxa" w:w="2102"/>
          </w:tcPr>
          <w:p>
            <w:r>
              <w:rPr>
                <w:sz w:val="17"/>
              </w:rPr>
            </w:r>
            <w:r>
              <w:rPr>
                <w:sz w:val="17"/>
              </w:rPr>
              <w:t>Objective and requirement</w:t>
            </w:r>
          </w:p>
        </w:tc>
        <w:tc>
          <w:tcPr>
            <w:tcW w:type="dxa" w:w="8364"/>
          </w:tcPr>
          <w:p>
            <w:r>
              <w:rPr>
                <w:sz w:val="17"/>
              </w:rPr>
            </w:r>
            <w:r>
              <w:rPr>
                <w:sz w:val="17"/>
              </w:rPr>
              <w:t>OIR-007 Office OIR V0.3; PIR-007 R01; decision DEC-SYN-007</w:t>
            </w:r>
          </w:p>
        </w:tc>
      </w:tr>
      <w:tr>
        <w:trPr>
          <w:cantSplit/>
        </w:trPr>
        <w:tc>
          <w:tcPr>
            <w:tcW w:type="dxa" w:w="2102"/>
          </w:tcPr>
          <w:p>
            <w:r>
              <w:rPr>
                <w:sz w:val="17"/>
              </w:rPr>
            </w:r>
            <w:r>
              <w:rPr>
                <w:sz w:val="17"/>
              </w:rPr>
              <w:t>Brief</w:t>
            </w:r>
          </w:p>
        </w:tc>
        <w:tc>
          <w:tcPr>
            <w:tcW w:type="dxa" w:w="8364"/>
          </w:tcPr>
          <w:p>
            <w:r>
              <w:rPr>
                <w:sz w:val="17"/>
              </w:rPr>
            </w:r>
            <w:r>
              <w:rPr>
                <w:sz w:val="17"/>
              </w:rPr>
              <w:t>BR-SYN-01 R01: replacement layout shall permit the selected withdrawal task</w:t>
            </w:r>
          </w:p>
        </w:tc>
      </w:tr>
      <w:tr>
        <w:trPr>
          <w:cantSplit/>
        </w:trPr>
        <w:tc>
          <w:tcPr>
            <w:tcW w:type="dxa" w:w="2102"/>
          </w:tcPr>
          <w:p>
            <w:r>
              <w:rPr>
                <w:sz w:val="17"/>
              </w:rPr>
            </w:r>
            <w:r>
              <w:rPr>
                <w:sz w:val="17"/>
              </w:rPr>
              <w:t>BoD interface</w:t>
            </w:r>
          </w:p>
        </w:tc>
        <w:tc>
          <w:tcPr>
            <w:tcW w:type="dxa" w:w="8364"/>
          </w:tcPr>
          <w:p>
            <w:r>
              <w:rPr>
                <w:sz w:val="17"/>
              </w:rPr>
            </w:r>
            <w:r>
              <w:rPr>
                <w:sz w:val="17"/>
              </w:rPr>
              <w:t>CR-SYN-MAINT01 /​ SYN-BOD-MAINT01 R01 in this workbook; fictional owner record to reconcile with actual BBM-STD-12</w:t>
            </w:r>
          </w:p>
        </w:tc>
      </w:tr>
      <w:tr>
        <w:trPr>
          <w:cantSplit/>
        </w:trPr>
        <w:tc>
          <w:tcPr>
            <w:tcW w:type="dxa" w:w="2102"/>
          </w:tcPr>
          <w:p>
            <w:r>
              <w:rPr>
                <w:sz w:val="17"/>
              </w:rPr>
            </w:r>
            <w:r>
              <w:rPr>
                <w:sz w:val="17"/>
              </w:rPr>
              <w:t>Quantified source</w:t>
            </w:r>
          </w:p>
        </w:tc>
        <w:tc>
          <w:tcPr>
            <w:tcW w:type="dxa" w:w="8364"/>
          </w:tcPr>
          <w:p>
            <w:r>
              <w:rPr>
                <w:sz w:val="17"/>
              </w:rPr>
            </w:r>
            <w:r>
              <w:rPr>
                <w:sz w:val="17"/>
              </w:rPr>
              <w:t>SYN-REQ-A01 R01: 600 mm clear withdrawal envelope, fictional supplier/​task input, not a code or office-wide tolerance</w:t>
            </w:r>
          </w:p>
        </w:tc>
      </w:tr>
      <w:tr>
        <w:trPr>
          <w:cantSplit/>
        </w:trPr>
        <w:tc>
          <w:tcPr>
            <w:tcW w:type="dxa" w:w="2102"/>
          </w:tcPr>
          <w:p>
            <w:r>
              <w:rPr>
                <w:sz w:val="17"/>
              </w:rPr>
            </w:r>
            <w:r>
              <w:rPr>
                <w:sz w:val="17"/>
              </w:rPr>
              <w:t>Owner</w:t>
            </w:r>
          </w:p>
        </w:tc>
        <w:tc>
          <w:tcPr>
            <w:tcW w:type="dxa" w:w="8364"/>
          </w:tcPr>
          <w:p>
            <w:r>
              <w:rPr>
                <w:sz w:val="17"/>
              </w:rPr>
            </w:r>
            <w:r>
              <w:rPr>
                <w:sz w:val="17"/>
              </w:rPr>
              <w:t>SYN-AP01 appointing-party project decision owner; SYN-RR01 delegated information reviewer; SYN-LAP01 authorised submission function</w:t>
            </w:r>
          </w:p>
        </w:tc>
      </w:tr>
      <w:tr>
        <w:trPr>
          <w:cantSplit/>
        </w:trPr>
        <w:tc>
          <w:tcPr>
            <w:tcW w:type="dxa" w:w="2102"/>
          </w:tcPr>
          <w:p>
            <w:r>
              <w:rPr>
                <w:sz w:val="17"/>
              </w:rPr>
            </w:r>
            <w:r>
              <w:rPr>
                <w:sz w:val="17"/>
              </w:rPr>
              <w:t>Exchange and milestone</w:t>
            </w:r>
          </w:p>
        </w:tc>
        <w:tc>
          <w:tcPr>
            <w:tcW w:type="dxa" w:w="8364"/>
          </w:tcPr>
          <w:p>
            <w:r>
              <w:rPr>
                <w:sz w:val="17"/>
              </w:rPr>
            </w:r>
            <w:r>
              <w:rPr>
                <w:sz w:val="17"/>
              </w:rPr>
              <w:t>EIR-011 /​ EX-SYN-03 /​ DEL-SYN-ME01; supporting rows ME-01, ME-02, ME-03 in synthetic plan allocation</w:t>
            </w:r>
          </w:p>
        </w:tc>
      </w:tr>
    </w:tbl>
    <w:p/>
    <w:p>
      <w:pPr/>
      <w:r>
        <w:t>The actual BoD owner confirms the criterion, provenance, applicability and decision consequence. A source identifier without the underlying current evidence is a hold. The workbook's fictional BoD row does not alter the existing BBM-STD-12 deliverable. Record other applicable PIR separately, with their own source and owner; no inference that this one example is a complete real-project PIR set.</w:t>
      </w:r>
    </w:p>
    <w:p>
      <w:pPr>
        <w:pStyle w:val="Heading1"/>
      </w:pPr>
      <w:r>
        <w:t>3 Information quality uncertainty and acceptance</w:t>
      </w:r>
    </w:p>
    <w:p>
      <w:pPr/>
      <w:r>
        <w:t>For each decision specify objects, geometry/data/documents needed, source revision and provenance, applicable quality limits, uncertainty method, delivery timing, independent check and receiving evidence. A generic stage LOD label does not answer the decision question. Unknown or disputed input remains qualified and is escalated to its owner; missing mandatory evidence cannot be offset by a completeness percentage.</w:t>
      </w:r>
    </w:p>
    <w:p>
      <w:pPr/>
      <w:r>
        <w:t>The example requires a coordinated mechanical model showing equipment and withdrawal envelope, a three-asset identity/class/location/system schedule and the source/access note plus exchange manifest. Select exact LOIN, formats and receiving tests through BBM-STD-54. Existing synthetic TIDP model/schedule/note aliases ME-01/02/03 remain intact.</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060"/>
        <w:gridCol w:w="8406"/>
      </w:tblGrid>
      <w:tr>
        <w:trPr>
          <w:cantSplit/>
          <w:tblHeader/>
        </w:trPr>
        <w:tc>
          <w:tcPr>
            <w:tcW w:type="dxa" w:w="2060"/>
            <w:shd w:val="clear" w:color="auto" w:fill="111113"/>
          </w:tcPr>
          <w:p>
            <w:r>
              <w:rPr>
                <w:b/>
                <w:color w:val="FFFFFF"/>
                <w:sz w:val="17"/>
              </w:rPr>
            </w:r>
            <w:r>
              <w:rPr>
                <w:b/>
                <w:color w:val="FFFFFF"/>
                <w:sz w:val="17"/>
              </w:rPr>
              <w:t>Test</w:t>
            </w:r>
          </w:p>
        </w:tc>
        <w:tc>
          <w:tcPr>
            <w:tcW w:type="dxa" w:w="8406"/>
            <w:shd w:val="clear" w:color="auto" w:fill="111113"/>
          </w:tcPr>
          <w:p>
            <w:r>
              <w:rPr>
                <w:b/>
                <w:color w:val="FFFFFF"/>
                <w:sz w:val="17"/>
              </w:rPr>
            </w:r>
            <w:r>
              <w:rPr>
                <w:b/>
                <w:color w:val="FFFFFF"/>
                <w:sz w:val="17"/>
              </w:rPr>
              <w:t>Synthetic input and required interpretation</w:t>
            </w:r>
          </w:p>
        </w:tc>
      </w:tr>
      <w:tr>
        <w:trPr>
          <w:cantSplit/>
        </w:trPr>
        <w:tc>
          <w:tcPr>
            <w:tcW w:type="dxa" w:w="2060"/>
          </w:tcPr>
          <w:p>
            <w:r>
              <w:rPr>
                <w:sz w:val="17"/>
              </w:rPr>
            </w:r>
            <w:r>
              <w:rPr>
                <w:sz w:val="17"/>
              </w:rPr>
              <w:t>Source</w:t>
            </w:r>
          </w:p>
        </w:tc>
        <w:tc>
          <w:tcPr>
            <w:tcW w:type="dxa" w:w="8406"/>
          </w:tcPr>
          <w:p>
            <w:r>
              <w:rPr>
                <w:sz w:val="17"/>
              </w:rPr>
            </w:r>
            <w:r>
              <w:rPr>
                <w:sz w:val="17"/>
              </w:rPr>
              <w:t>SYN-REQ-A01 R01 requires 600 mm; missing/​superseded source means Hold</w:t>
            </w:r>
          </w:p>
        </w:tc>
      </w:tr>
      <w:tr>
        <w:trPr>
          <w:cantSplit/>
        </w:trPr>
        <w:tc>
          <w:tcPr>
            <w:tcW w:type="dxa" w:w="2060"/>
          </w:tcPr>
          <w:p>
            <w:r>
              <w:rPr>
                <w:sz w:val="17"/>
              </w:rPr>
            </w:r>
            <w:r>
              <w:rPr>
                <w:sz w:val="17"/>
              </w:rPr>
              <w:t>Positive arithmetic fixture</w:t>
            </w:r>
          </w:p>
        </w:tc>
        <w:tc>
          <w:tcPr>
            <w:tcW w:type="dxa" w:w="8406"/>
          </w:tcPr>
          <w:p>
            <w:r>
              <w:rPr>
                <w:sz w:val="17"/>
              </w:rPr>
            </w:r>
            <w:r>
              <w:rPr>
                <w:sz w:val="17"/>
              </w:rPr>
              <w:t>Proposed clear dimension 650 mm, bounded uncertainty +/​-10 mm under SYN-MEASURE01 R01; lower bound 640 mm is at least 600 mm</w:t>
            </w:r>
          </w:p>
        </w:tc>
      </w:tr>
      <w:tr>
        <w:trPr>
          <w:cantSplit/>
        </w:trPr>
        <w:tc>
          <w:tcPr>
            <w:tcW w:type="dxa" w:w="2060"/>
          </w:tcPr>
          <w:p>
            <w:r>
              <w:rPr>
                <w:sz w:val="17"/>
              </w:rPr>
            </w:r>
            <w:r>
              <w:rPr>
                <w:sz w:val="17"/>
              </w:rPr>
              <w:t>Negative arithmetic fixture</w:t>
            </w:r>
          </w:p>
        </w:tc>
        <w:tc>
          <w:tcPr>
            <w:tcW w:type="dxa" w:w="8406"/>
          </w:tcPr>
          <w:p>
            <w:r>
              <w:rPr>
                <w:sz w:val="17"/>
              </w:rPr>
            </w:r>
            <w:r>
              <w:rPr>
                <w:sz w:val="17"/>
              </w:rPr>
              <w:t>Proposed 605 mm with same +/​-10 mm; lower bound 595 mm is below 600 mm: fail this criterion and return for correction</w:t>
            </w:r>
          </w:p>
        </w:tc>
      </w:tr>
      <w:tr>
        <w:trPr>
          <w:cantSplit/>
        </w:trPr>
        <w:tc>
          <w:tcPr>
            <w:tcW w:type="dxa" w:w="2060"/>
          </w:tcPr>
          <w:p>
            <w:r>
              <w:rPr>
                <w:sz w:val="17"/>
              </w:rPr>
            </w:r>
            <w:r>
              <w:rPr>
                <w:sz w:val="17"/>
              </w:rPr>
              <w:t>Unknown uncertainty</w:t>
            </w:r>
          </w:p>
        </w:tc>
        <w:tc>
          <w:tcPr>
            <w:tcW w:type="dxa" w:w="8406"/>
          </w:tcPr>
          <w:p>
            <w:r>
              <w:rPr>
                <w:sz w:val="17"/>
              </w:rPr>
            </w:r>
            <w:r>
              <w:rPr>
                <w:sz w:val="17"/>
              </w:rPr>
              <w:t>650 mm with no defensible uncertainty/​provenance: Hold, not assumed zero uncertainty</w:t>
            </w:r>
          </w:p>
        </w:tc>
      </w:tr>
      <w:tr>
        <w:trPr>
          <w:cantSplit/>
        </w:trPr>
        <w:tc>
          <w:tcPr>
            <w:tcW w:type="dxa" w:w="2060"/>
          </w:tcPr>
          <w:p>
            <w:r>
              <w:rPr>
                <w:sz w:val="17"/>
              </w:rPr>
            </w:r>
            <w:r>
              <w:rPr>
                <w:sz w:val="17"/>
              </w:rPr>
              <w:t>Reconciliation</w:t>
            </w:r>
          </w:p>
        </w:tc>
        <w:tc>
          <w:tcPr>
            <w:tcW w:type="dxa" w:w="8406"/>
          </w:tcPr>
          <w:p>
            <w:r>
              <w:rPr>
                <w:sz w:val="17"/>
              </w:rPr>
            </w:r>
            <w:r>
              <w:rPr>
                <w:sz w:val="17"/>
              </w:rPr>
              <w:t>Three unique asset IDs match model and schedule; all applicable required data/​documents are present and accessible to SYN-RR01</w:t>
            </w:r>
          </w:p>
        </w:tc>
      </w:tr>
    </w:tbl>
    <w:p/>
    <w:p>
      <w:pPr/>
      <w:r>
        <w:t>All numbers and the bounded-interval method above are fictional scenario assumptions. They are not surveyed dimensions, universal design tolerances, probabilistic confidence claims or executed native model checks. The actual competent designer supplies appropriate measurement/analysis methods and limits. Information acceptance records exact submitted container revisions/hashes, criterion outcomes, reviewer and date; DEC-SYN-007 records the owner's separate decision and conditions. A permit remains a separate authority decision under BBM-STD-57.</w:t>
      </w:r>
    </w:p>
    <w:p>
      <w:pPr/>
      <w:r>
        <w:t xml:space="preserve">Where an authority requires BIM with the permit, the PIR set includes an authority submission decision row. Dubai: DM circular 9-1-2 (13 Oct 2023; ED-DM-9-1-2) and circular 9-1-3 (15 Jan 2026, effective 1 Apr 2026; ED-DM-9-1-3) require architectural and structural BIM with the permit above the thresholds held in BBM-STD-51 §3 and </w:t>
      </w:r>
      <w:r>
        <w:rPr>
          <w:color w:val="9A7B45"/>
          <w:u w:val="single"/>
        </w:rPr>
        <w:t>BBM-STD-85</w:t>
      </w:r>
      <w:r>
        <w:t>, with drawings extracted from the model; this drives PIR/EIR timing.</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013"/>
        <w:gridCol w:w="1967"/>
        <w:gridCol w:w="7486"/>
      </w:tblGrid>
      <w:tr>
        <w:trPr>
          <w:cantSplit/>
          <w:tblHeader/>
        </w:trPr>
        <w:tc>
          <w:tcPr>
            <w:tcW w:type="dxa" w:w="1013"/>
            <w:shd w:val="clear" w:color="auto" w:fill="111113"/>
          </w:tcPr>
          <w:p>
            <w:r>
              <w:rPr>
                <w:b/>
                <w:color w:val="FFFFFF"/>
                <w:sz w:val="17"/>
              </w:rPr>
            </w:r>
            <w:r>
              <w:rPr>
                <w:b/>
                <w:color w:val="FFFFFF"/>
                <w:sz w:val="17"/>
              </w:rPr>
              <w:t>PIR row</w:t>
            </w:r>
          </w:p>
        </w:tc>
        <w:tc>
          <w:tcPr>
            <w:tcW w:type="dxa" w:w="1967"/>
            <w:shd w:val="clear" w:color="auto" w:fill="111113"/>
          </w:tcPr>
          <w:p>
            <w:r>
              <w:rPr>
                <w:b/>
                <w:color w:val="FFFFFF"/>
                <w:sz w:val="17"/>
              </w:rPr>
            </w:r>
            <w:r>
              <w:rPr>
                <w:b/>
                <w:color w:val="FFFFFF"/>
                <w:sz w:val="17"/>
              </w:rPr>
              <w:t>Decision question</w:t>
            </w:r>
          </w:p>
        </w:tc>
        <w:tc>
          <w:tcPr>
            <w:tcW w:type="dxa" w:w="7486"/>
            <w:shd w:val="clear" w:color="auto" w:fill="111113"/>
          </w:tcPr>
          <w:p>
            <w:r>
              <w:rPr>
                <w:b/>
                <w:color w:val="FFFFFF"/>
                <w:sz w:val="17"/>
              </w:rPr>
            </w:r>
            <w:r>
              <w:rPr>
                <w:b/>
                <w:color w:val="FFFFFF"/>
                <w:sz w:val="17"/>
              </w:rPr>
              <w:t>Required record</w:t>
            </w:r>
          </w:p>
        </w:tc>
      </w:tr>
      <w:tr>
        <w:trPr>
          <w:cantSplit/>
        </w:trPr>
        <w:tc>
          <w:tcPr>
            <w:tcW w:type="dxa" w:w="1013"/>
          </w:tcPr>
          <w:p>
            <w:r>
              <w:rPr>
                <w:sz w:val="17"/>
              </w:rPr>
            </w:r>
            <w:r>
              <w:rPr>
                <w:sz w:val="17"/>
              </w:rPr>
              <w:t>PIR-AUTH R01</w:t>
            </w:r>
          </w:p>
        </w:tc>
        <w:tc>
          <w:tcPr>
            <w:tcW w:type="dxa" w:w="1967"/>
          </w:tcPr>
          <w:p>
            <w:r>
              <w:rPr>
                <w:sz w:val="17"/>
              </w:rPr>
            </w:r>
            <w:r>
              <w:rPr>
                <w:sz w:val="17"/>
              </w:rPr>
              <w:t>Does an authority BIM permit route apply, and when must the model be submitted?</w:t>
            </w:r>
          </w:p>
        </w:tc>
        <w:tc>
          <w:tcPr>
            <w:tcW w:type="dxa" w:w="7486"/>
          </w:tcPr>
          <w:p>
            <w:r>
              <w:rPr>
                <w:sz w:val="17"/>
              </w:rPr>
            </w:r>
            <w:r>
              <w:rPr>
                <w:sz w:val="17"/>
              </w:rPr>
              <w:t>Threshold test (storeys, built area, alteration type, building use) against BBM-STD-85; result Yes/​No with instrument IDs; model/​IFC profile (the schema and export setup stated by the authority, recorded in the BEP); submission milestone placed before the permit decision with time for portal validation and correction; owner = authority liaison (BBM-STD-55)</w:t>
            </w:r>
          </w:p>
        </w:tc>
      </w:tr>
    </w:tbl>
    <w:p/>
    <w:p>
      <w:pPr>
        <w:pStyle w:val="Heading1"/>
      </w:pPr>
      <w:r>
        <w:t>4 AIR boundary and permitted reliance</w:t>
      </w:r>
    </w:p>
    <w:p>
      <w:pPr/>
      <w:r>
        <w:t>AIR-007 is owned by the asset-information lead/operator and supports ongoing maintenance. PIR-007 is owned by the project decision owner and supports choosing a replacement layout. Both refer to the same assets and source instruction without merging ownership. Delivery information is not installed evidence; later AIR exchanges need verified installed identities, actual instructions and receiving FM tests under BBM-STD-52. The example decision cannot authorise maintenance operation.</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792"/>
        <w:gridCol w:w="4222"/>
        <w:gridCol w:w="4452"/>
      </w:tblGrid>
      <w:tr>
        <w:trPr>
          <w:cantSplit/>
          <w:tblHeader/>
        </w:trPr>
        <w:tc>
          <w:tcPr>
            <w:tcW w:type="dxa" w:w="1792"/>
            <w:shd w:val="clear" w:color="auto" w:fill="111113"/>
          </w:tcPr>
          <w:p>
            <w:r>
              <w:rPr>
                <w:b/>
                <w:color w:val="FFFFFF"/>
                <w:sz w:val="17"/>
              </w:rPr>
            </w:r>
            <w:r>
              <w:rPr>
                <w:b/>
                <w:color w:val="FFFFFF"/>
                <w:sz w:val="17"/>
              </w:rPr>
              <w:t>Shared information</w:t>
            </w:r>
          </w:p>
        </w:tc>
        <w:tc>
          <w:tcPr>
            <w:tcW w:type="dxa" w:w="4222"/>
            <w:shd w:val="clear" w:color="auto" w:fill="111113"/>
          </w:tcPr>
          <w:p>
            <w:r>
              <w:rPr>
                <w:b/>
                <w:color w:val="FFFFFF"/>
                <w:sz w:val="17"/>
              </w:rPr>
            </w:r>
            <w:r>
              <w:rPr>
                <w:b/>
                <w:color w:val="FFFFFF"/>
                <w:sz w:val="17"/>
              </w:rPr>
              <w:t>PIR use</w:t>
            </w:r>
          </w:p>
        </w:tc>
        <w:tc>
          <w:tcPr>
            <w:tcW w:type="dxa" w:w="4452"/>
            <w:shd w:val="clear" w:color="auto" w:fill="111113"/>
          </w:tcPr>
          <w:p>
            <w:r>
              <w:rPr>
                <w:b/>
                <w:color w:val="FFFFFF"/>
                <w:sz w:val="17"/>
              </w:rPr>
            </w:r>
            <w:r>
              <w:rPr>
                <w:b/>
                <w:color w:val="FFFFFF"/>
                <w:sz w:val="17"/>
              </w:rPr>
              <w:t>AIR use</w:t>
            </w:r>
          </w:p>
        </w:tc>
      </w:tr>
      <w:tr>
        <w:trPr>
          <w:cantSplit/>
        </w:trPr>
        <w:tc>
          <w:tcPr>
            <w:tcW w:type="dxa" w:w="1792"/>
          </w:tcPr>
          <w:p>
            <w:r>
              <w:rPr>
                <w:sz w:val="17"/>
              </w:rPr>
            </w:r>
            <w:r>
              <w:rPr>
                <w:sz w:val="17"/>
              </w:rPr>
              <w:t>Asset ID/​class/​system/​location</w:t>
            </w:r>
          </w:p>
        </w:tc>
        <w:tc>
          <w:tcPr>
            <w:tcW w:type="dxa" w:w="4222"/>
          </w:tcPr>
          <w:p>
            <w:r>
              <w:rPr>
                <w:sz w:val="17"/>
              </w:rPr>
            </w:r>
            <w:r>
              <w:rPr>
                <w:sz w:val="17"/>
              </w:rPr>
              <w:t>Identify proposed replacement-design scope and compare model/​schedule</w:t>
            </w:r>
          </w:p>
        </w:tc>
        <w:tc>
          <w:tcPr>
            <w:tcW w:type="dxa" w:w="4452"/>
          </w:tcPr>
          <w:p>
            <w:r>
              <w:rPr>
                <w:sz w:val="17"/>
              </w:rPr>
            </w:r>
            <w:r>
              <w:rPr>
                <w:sz w:val="17"/>
              </w:rPr>
              <w:t>Maintain stable installed population and system/​location relationships</w:t>
            </w:r>
          </w:p>
        </w:tc>
      </w:tr>
      <w:tr>
        <w:trPr>
          <w:cantSplit/>
        </w:trPr>
        <w:tc>
          <w:tcPr>
            <w:tcW w:type="dxa" w:w="1792"/>
          </w:tcPr>
          <w:p>
            <w:r>
              <w:rPr>
                <w:sz w:val="17"/>
              </w:rPr>
            </w:r>
            <w:r>
              <w:rPr>
                <w:sz w:val="17"/>
              </w:rPr>
              <w:t>Withdrawal instruction</w:t>
            </w:r>
          </w:p>
        </w:tc>
        <w:tc>
          <w:tcPr>
            <w:tcW w:type="dxa" w:w="4222"/>
          </w:tcPr>
          <w:p>
            <w:r>
              <w:rPr>
                <w:sz w:val="17"/>
              </w:rPr>
            </w:r>
            <w:r>
              <w:rPr>
                <w:sz w:val="17"/>
              </w:rPr>
              <w:t>Check design arrangement for a specified task</w:t>
            </w:r>
          </w:p>
        </w:tc>
        <w:tc>
          <w:tcPr>
            <w:tcW w:type="dxa" w:w="4452"/>
          </w:tcPr>
          <w:p>
            <w:r>
              <w:rPr>
                <w:sz w:val="17"/>
              </w:rPr>
            </w:r>
            <w:r>
              <w:rPr>
                <w:sz w:val="17"/>
              </w:rPr>
              <w:t>Retrieve current operating/​maintenance instruction after accepted handover</w:t>
            </w:r>
          </w:p>
        </w:tc>
      </w:tr>
      <w:tr>
        <w:trPr>
          <w:cantSplit/>
        </w:trPr>
        <w:tc>
          <w:tcPr>
            <w:tcW w:type="dxa" w:w="1792"/>
          </w:tcPr>
          <w:p>
            <w:r>
              <w:rPr>
                <w:sz w:val="17"/>
              </w:rPr>
            </w:r>
            <w:r>
              <w:rPr>
                <w:sz w:val="17"/>
              </w:rPr>
              <w:t>Condition/​inspection</w:t>
            </w:r>
          </w:p>
        </w:tc>
        <w:tc>
          <w:tcPr>
            <w:tcW w:type="dxa" w:w="4222"/>
          </w:tcPr>
          <w:p>
            <w:r>
              <w:rPr>
                <w:sz w:val="17"/>
              </w:rPr>
            </w:r>
            <w:r>
              <w:rPr>
                <w:sz w:val="17"/>
              </w:rPr>
              <w:t>Existing-condition input only when needed and source verified</w:t>
            </w:r>
          </w:p>
        </w:tc>
        <w:tc>
          <w:tcPr>
            <w:tcW w:type="dxa" w:w="4452"/>
          </w:tcPr>
          <w:p>
            <w:r>
              <w:rPr>
                <w:sz w:val="17"/>
              </w:rPr>
            </w:r>
            <w:r>
              <w:rPr>
                <w:sz w:val="17"/>
              </w:rPr>
              <w:t>Controlled inspection/​update history with operator custody</w:t>
            </w:r>
          </w:p>
        </w:tc>
      </w:tr>
    </w:tbl>
    <w:p/>
    <w:p>
      <w:pPr/>
      <w:r>
        <w:t>Record approved recipients, purpose, version and limitations. SU-COORD and Shared are suitability/CDE metadata, not permission for fabrication. Rights and downstream reliance must agree with the actual appointment/protocol; a workbook entry does not grant a licence.</w:t>
      </w:r>
    </w:p>
    <w:p>
      <w:pPr>
        <w:pStyle w:val="Heading1"/>
      </w:pPr>
      <w:r>
        <w:t>5 EIR allocation milestones and changes</w:t>
      </w:r>
    </w:p>
    <w:p>
      <w:pPr/>
      <w:r>
        <w:t>Allocate each applicable PIR into the appointing party's EIR with requirement/exchange/milestone IDs, expected products, producer/checker, authorised submission and receiving decision. The lead appointed party allocates relevant downstream EIR and TIDP/MIDP rows without losing the original PIR source. EIR-011 is proposed for this example; BBM-STD-54 must establish its purpose-led LOIN and recipient tests before actual tender/appointment use.</w:t>
      </w:r>
    </w:p>
    <w:p>
      <w:pPr/>
      <w:r>
        <w:t>CH-SYN-BASE01 is the initial fictional R01 baseline label, not an approved project change or office adoption. DEL-SYN-ME01 is the primary model trigger; supporting allocation rows retain DEL-SYN-ME02/03 and their respective MA02/MC02 and MA03/MC03 roles. The synthetic baseline submits EX-SYN-03 on 2026-11-26, reserves receiving review/correction to 2026-12-01 and places DEC-SYN-007 on 2026-12-02, before the separately fictional stage end 2026-12-03. Dates are scenario planning assumptions, not authority/ISO response periods. Existing model preparation/check dates remain unchanged.</w:t>
      </w:r>
    </w:p>
    <w:p>
      <w:pPr/>
      <w:r>
        <w:t>On change, retain the previous requirement/revision; assess source/BoD/other PIR/AIR implications, obtain the actual owner's decision and propagate one ChangeID to EIR, project BEP, TIDP and MIDP. Record exact notified recipients, version, send/acknowledgment evidence and unresolved consequences. Proposed CH-SYN-PIR01 changes the decision date to 2026-12-04 and required submission to 2026-11-30; it is Open, not applied to current R01 dates. Synthetic notification rows are Pending; a visible register row is not receipt.</w:t>
      </w:r>
    </w:p>
    <w:p>
      <w:pPr>
        <w:pStyle w:val="Heading1"/>
      </w:pPr>
      <w:r>
        <w:t>6 Use review and release checks</w:t>
      </w:r>
    </w:p>
    <w:p>
      <w:pPr/>
      <w:r>
        <w:t>Populate the blank PIR, decision, allocation and change forms; the example shows the minimum complete trace rather than a compulsory output quantity. Resolve IDs, sources, accountable owner, scope and permitted use, quality/uncertainty, timing, acceptance route and EIR/plan allocation. Reject duplicate PIR/Decision IDs, absent owners, delivery after the decision, unallocated mandatory requirements, broken source/criterion links and undefined uncertainty. Hold affected use until corrected or a scoped authorised departure is recorded; a departure cannot waive statutory duties.</w:t>
      </w:r>
    </w:p>
    <w:p>
      <w:pPr/>
      <w:r>
        <w:t>The workbook Tests distinguish expected arithmetic/trace outcomes from actual Not executed receiving results. All required fields must pass, then SYN-RR01 records its information-review recommendation, SYN-AP01 records the scoped information acceptance, and SYN-AP01 records the project decision separately. Actual delegation may name a different authorised acceptance function and must be documented before use. This private draft does not execute DEC-SYN-007, revise existing MIDP/TIDP, establish actual survey truth or activate an appointment.</w:t>
      </w:r>
    </w:p>
    <w:p>
      <w:pPr>
        <w:pStyle w:val="Heading1"/>
      </w:pPr>
      <w:r>
        <w:t>References</w:t>
      </w:r>
    </w:p>
    <w:p>
      <w:pPr>
        <w:pStyle w:val="ListParagraph"/>
        <w:spacing w:after="40"/>
        <w:ind w:left="360" w:hanging="240"/>
      </w:pPr>
      <w:r>
        <w:t xml:space="preserve">•  </w:t>
      </w:r>
      <w:r>
        <w:t xml:space="preserve">R1. ISO, </w:t>
      </w:r>
      <w:hyperlink r:id="rId15">
        <w:r>
          <w:rPr>
            <w:color w:val="9A7B45"/>
            <w:u w:val="single"/>
          </w:rPr>
          <w:t>ISO 19650-1:2018</w:t>
        </w:r>
      </w:hyperlink>
      <w:r>
        <w:t xml:space="preserve">, clause 5.4 PIR reading pointer; </w:t>
      </w:r>
      <w:hyperlink r:id="rId16">
        <w:r>
          <w:rPr>
            <w:color w:val="9A7B45"/>
            <w:u w:val="single"/>
          </w:rPr>
          <w:t>ISO 19650-2:2018</w:t>
        </w:r>
      </w:hyperlink>
      <w:r>
        <w:t>, clause 5.1.2 project requirements and 5.2.1 appointing-party EIR. Catalogue evidence is not a licensed clause audit. Checked 2026-11-04.</w:t>
      </w:r>
    </w:p>
    <w:p>
      <w:pPr>
        <w:pStyle w:val="ListParagraph"/>
        <w:spacing w:after="40"/>
        <w:ind w:left="360" w:hanging="240"/>
      </w:pPr>
      <w:r>
        <w:t xml:space="preserve">•  </w:t>
      </w:r>
      <w:r>
        <w:t xml:space="preserve">R2. IMI Framework (formerly UK BIM Framework, renamed May 2025), archived </w:t>
      </w:r>
      <w:hyperlink r:id="rId17">
        <w:r>
          <w:rPr>
            <w:color w:val="9A7B45"/>
            <w:u w:val="single"/>
          </w:rPr>
          <w:t>Guidance D edition 2 February 2021</w:t>
        </w:r>
      </w:hyperlink>
      <w:r>
        <w:t xml:space="preserve">, sections 1.4.3/1.4.4, 1.5 and 2.6; </w:t>
      </w:r>
      <w:hyperlink r:id="rId18">
        <w:r>
          <w:rPr>
            <w:color w:val="9A7B45"/>
            <w:u w:val="single"/>
          </w:rPr>
          <w:t>resources</w:t>
        </w:r>
      </w:hyperlink>
      <w:r>
        <w:t>. Paraphrased decision-led method, no paid text reproduced. Checked 2026-11-04.</w:t>
      </w:r>
    </w:p>
    <w:p>
      <w:pPr>
        <w:pStyle w:val="ListParagraph"/>
        <w:spacing w:after="40"/>
        <w:ind w:left="360" w:hanging="240"/>
      </w:pPr>
      <w:r>
        <w:t xml:space="preserve">•  </w:t>
      </w:r>
      <w:r>
        <w:t xml:space="preserve">R3. Dubai Municipality, </w:t>
      </w:r>
      <w:hyperlink r:id="rId19">
        <w:r>
          <w:rPr>
            <w:color w:val="9A7B45"/>
            <w:u w:val="single"/>
          </w:rPr>
          <w:t>circular 9-1-2</w:t>
        </w:r>
      </w:hyperlink>
      <w:r>
        <w:t xml:space="preserve"> (13 Oct 2023) and </w:t>
      </w:r>
      <w:hyperlink r:id="rId20">
        <w:r>
          <w:rPr>
            <w:color w:val="9A7B45"/>
            <w:u w:val="single"/>
          </w:rPr>
          <w:t>circular 9-1-3</w:t>
        </w:r>
      </w:hyperlink>
      <w:r>
        <w:t xml:space="preserve"> (15 Jan 2026, effective 1 Apr 2026). Checked 2026-11-04.</w:t>
      </w:r>
    </w:p>
    <w:p>
      <w:pPr>
        <w:pStyle w:val="ListParagraph"/>
        <w:spacing w:after="40"/>
        <w:ind w:left="360" w:hanging="240"/>
      </w:pPr>
      <w:r>
        <w:t xml:space="preserve">•  </w:t>
      </w:r>
      <w:r>
        <w:t xml:space="preserve">R4. Writing plan, gap matrix, </w:t>
      </w:r>
      <w:r>
        <w:rPr>
          <w:color w:val="9A7B45"/>
          <w:u w:val="single"/>
        </w:rPr>
        <w:t>BEP V0.5</w:t>
      </w:r>
      <w:r>
        <w:t xml:space="preserve">, </w:t>
      </w:r>
      <w:r>
        <w:rPr>
          <w:color w:val="9A7B45"/>
          <w:u w:val="single"/>
        </w:rPr>
        <w:t>MIDP</w:t>
      </w:r>
      <w:r>
        <w:t xml:space="preserve">, </w:t>
      </w:r>
      <w:r>
        <w:rPr>
          <w:color w:val="9A7B45"/>
          <w:u w:val="single"/>
        </w:rPr>
        <w:t>TIDP</w:t>
      </w:r>
      <w:r>
        <w:t xml:space="preserve"> and local owner drafts linked above. Native and receiving-system checks remain future scoped work.</w:t>
      </w:r>
    </w:p>
    <w:sectPr w:rsidR="00922C46" w:rsidSect="00922C46">
      <w:headerReference w:type="default" r:id="rId8"/>
      <w:footerReference w:type="default" r:id="rId9"/>
      <w:headerReference w:type="first" r:id="rId10"/>
      <w:pgSz w:w="11906" w:h="16838"/>
      <w:pgMar w:top="1701" w:right="720" w:bottom="720" w:left="720" w:header="454" w:footer="20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3B23" w14:textId="77777777" w:rsidR="00721C27" w:rsidRDefault="00721C27" w:rsidP="00CB352A">
      <w:pPr>
        <w:spacing w:after="0" w:line="240" w:lineRule="auto"/>
      </w:pPr>
      <w:r>
        <w:separator/>
      </w:r>
    </w:p>
  </w:endnote>
  <w:endnote w:type="continuationSeparator" w:id="0">
    <w:p w14:paraId="311C7F5C" w14:textId="77777777" w:rsidR="00721C27" w:rsidRDefault="00721C27" w:rsidP="00CB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ter">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38748"/>
      <w:docPartObj>
        <w:docPartGallery w:val="Page Numbers (Bottom of Page)"/>
        <w:docPartUnique/>
      </w:docPartObj>
    </w:sdtPr>
    <w:sdtEndPr>
      <w:rPr>
        <w:color w:val="7F7F7F" w:themeColor="background1" w:themeShade="7F"/>
        <w:spacing w:val="60"/>
      </w:rPr>
    </w:sdtEndPr>
    <w:sdtContent>
      <w:p w14:paraId="71233345" w14:textId="16A281E0" w:rsidR="00F66F4B" w:rsidRDefault="00F66F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1D756A" w14:textId="666CA5D8" w:rsidR="00F66F4B" w:rsidRDefault="00F66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EE4E" w14:textId="77777777" w:rsidR="00721C27" w:rsidRDefault="00721C27" w:rsidP="00CB352A">
      <w:pPr>
        <w:spacing w:after="0" w:line="240" w:lineRule="auto"/>
      </w:pPr>
      <w:r>
        <w:separator/>
      </w:r>
    </w:p>
  </w:footnote>
  <w:footnote w:type="continuationSeparator" w:id="0">
    <w:p w14:paraId="12244030" w14:textId="77777777" w:rsidR="00721C27" w:rsidRDefault="00721C27" w:rsidP="00CB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8C6C" w14:textId="515D1FCF" w:rsidR="00CB352A" w:rsidRDefault="009C7B28">
    <w:pPr>
      <w:pStyle w:val="Header"/>
      <w:rPr>
        <w:b/>
        <w:bCs/>
      </w:rP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58240" behindDoc="0" locked="0" layoutInCell="1" allowOverlap="1" wp14:anchorId="0228A8AB" wp14:editId="336A9345">
          <wp:simplePos x="0" y="0"/>
          <wp:positionH relativeFrom="margin">
            <wp:align>right</wp:align>
          </wp:positionH>
          <wp:positionV relativeFrom="page">
            <wp:posOffset>288000</wp:posOffset>
          </wp:positionV>
          <wp:extent cx="900000" cy="282750"/>
          <wp:effectExtent l="0" t="0" r="0" b="9525"/>
          <wp:wrapNone/>
          <wp:docPr id="923870934"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r w:rsidR="0089320F" w:rsidRPr="0089320F">
      <w:rPr>
        <w:b/>
        <w:bCs/>
      </w:rPr>
      <w:t>BBM-BIM | BBM-STD-53-PIR-V0.2</w:t>
    </w:r>
    <w:r w:rsidR="00A018A2">
      <w:rPr>
        <w:b/>
        <w:bCs/>
      </w:rPr>
    </w:r>
    <w:r w:rsidR="00050B13">
      <w:rPr>
        <w:b/>
        <w:bCs/>
      </w:rPr>
    </w:r>
  </w:p>
  <w:p w14:paraId="6DEDEFD4" w14:textId="77777777" w:rsidR="00F66F4B" w:rsidRDefault="00F66F4B">
    <w:pPr>
      <w:pStyle w:val="Header"/>
      <w:rPr>
        <w:b/>
        <w:bCs/>
      </w:rPr>
    </w:pPr>
  </w:p>
  <w:p w14:paraId="1F087E3B" w14:textId="77777777" w:rsidR="0089320F" w:rsidRPr="0089320F" w:rsidRDefault="0089320F">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AFC" w14:textId="11F1D81D" w:rsidR="0038312B" w:rsidRDefault="0038312B">
    <w:pPr>
      <w:pStyle w:val="Heade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60288" behindDoc="0" locked="0" layoutInCell="1" allowOverlap="1" wp14:anchorId="05FC8F1B" wp14:editId="450AA59F">
          <wp:simplePos x="0" y="0"/>
          <wp:positionH relativeFrom="margin">
            <wp:align>right</wp:align>
          </wp:positionH>
          <wp:positionV relativeFrom="page">
            <wp:posOffset>288000</wp:posOffset>
          </wp:positionV>
          <wp:extent cx="900000" cy="282750"/>
          <wp:effectExtent l="0" t="0" r="0" b="9525"/>
          <wp:wrapNone/>
          <wp:docPr id="1296434436"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CB5"/>
    <w:multiLevelType w:val="multilevel"/>
    <w:tmpl w:val="A9B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E5580"/>
    <w:multiLevelType w:val="multilevel"/>
    <w:tmpl w:val="9F8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10C3F"/>
    <w:multiLevelType w:val="multilevel"/>
    <w:tmpl w:val="FDB4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F5278"/>
    <w:multiLevelType w:val="multilevel"/>
    <w:tmpl w:val="D27A30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E607D4"/>
    <w:multiLevelType w:val="multilevel"/>
    <w:tmpl w:val="0F5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22449"/>
    <w:multiLevelType w:val="multilevel"/>
    <w:tmpl w:val="7FDA3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91BE1"/>
    <w:multiLevelType w:val="multilevel"/>
    <w:tmpl w:val="9A98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16DFE"/>
    <w:multiLevelType w:val="multilevel"/>
    <w:tmpl w:val="10F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80DBE"/>
    <w:multiLevelType w:val="multilevel"/>
    <w:tmpl w:val="C850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E3636F"/>
    <w:multiLevelType w:val="multilevel"/>
    <w:tmpl w:val="DA9E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543BB"/>
    <w:multiLevelType w:val="multilevel"/>
    <w:tmpl w:val="19F6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2324D"/>
    <w:multiLevelType w:val="multilevel"/>
    <w:tmpl w:val="FC389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3A2E07"/>
    <w:multiLevelType w:val="multilevel"/>
    <w:tmpl w:val="E240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BD2A97"/>
    <w:multiLevelType w:val="multilevel"/>
    <w:tmpl w:val="43A2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C43213"/>
    <w:multiLevelType w:val="multilevel"/>
    <w:tmpl w:val="8480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B110E8"/>
    <w:multiLevelType w:val="multilevel"/>
    <w:tmpl w:val="8052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465B0"/>
    <w:multiLevelType w:val="multilevel"/>
    <w:tmpl w:val="C0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9A7D33"/>
    <w:multiLevelType w:val="hybridMultilevel"/>
    <w:tmpl w:val="ACE66CBA"/>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18" w15:restartNumberingAfterBreak="0">
    <w:nsid w:val="187B4E90"/>
    <w:multiLevelType w:val="multilevel"/>
    <w:tmpl w:val="5EAA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47AEF"/>
    <w:multiLevelType w:val="multilevel"/>
    <w:tmpl w:val="0CD4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51B91"/>
    <w:multiLevelType w:val="multilevel"/>
    <w:tmpl w:val="9998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8076E0"/>
    <w:multiLevelType w:val="multilevel"/>
    <w:tmpl w:val="9A4E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916E4C"/>
    <w:multiLevelType w:val="multilevel"/>
    <w:tmpl w:val="7308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83E25"/>
    <w:multiLevelType w:val="multilevel"/>
    <w:tmpl w:val="9FD66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9F27FC"/>
    <w:multiLevelType w:val="multilevel"/>
    <w:tmpl w:val="431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E0CD0"/>
    <w:multiLevelType w:val="hybridMultilevel"/>
    <w:tmpl w:val="877C0468"/>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26" w15:restartNumberingAfterBreak="0">
    <w:nsid w:val="25E45045"/>
    <w:multiLevelType w:val="multilevel"/>
    <w:tmpl w:val="6D22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D15BC"/>
    <w:multiLevelType w:val="multilevel"/>
    <w:tmpl w:val="E4B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54ACD"/>
    <w:multiLevelType w:val="multilevel"/>
    <w:tmpl w:val="A5B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E48F0"/>
    <w:multiLevelType w:val="multilevel"/>
    <w:tmpl w:val="A142F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DA1723"/>
    <w:multiLevelType w:val="hybridMultilevel"/>
    <w:tmpl w:val="1AD011EC"/>
    <w:lvl w:ilvl="0" w:tplc="498CDACA">
      <w:numFmt w:val="bullet"/>
      <w:lvlText w:val="•"/>
      <w:lvlJc w:val="left"/>
      <w:pPr>
        <w:ind w:left="720" w:hanging="360"/>
      </w:pPr>
      <w:rPr>
        <w:rFonts w:ascii="Times New Roman" w:eastAsia="Times New Roman" w:hAnsi="Times New Roman" w:cs="Times New Roman"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1" w15:restartNumberingAfterBreak="0">
    <w:nsid w:val="30B418A3"/>
    <w:multiLevelType w:val="multilevel"/>
    <w:tmpl w:val="93280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038C1"/>
    <w:multiLevelType w:val="multilevel"/>
    <w:tmpl w:val="252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27B7E"/>
    <w:multiLevelType w:val="multilevel"/>
    <w:tmpl w:val="BB3A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3824DB"/>
    <w:multiLevelType w:val="hybridMultilevel"/>
    <w:tmpl w:val="BD40DAA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5" w15:restartNumberingAfterBreak="0">
    <w:nsid w:val="35AC3C79"/>
    <w:multiLevelType w:val="hybridMultilevel"/>
    <w:tmpl w:val="743EF4B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6" w15:restartNumberingAfterBreak="0">
    <w:nsid w:val="3CE442A6"/>
    <w:multiLevelType w:val="hybridMultilevel"/>
    <w:tmpl w:val="25DCC4C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3D203C6B"/>
    <w:multiLevelType w:val="multilevel"/>
    <w:tmpl w:val="482E7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80033A"/>
    <w:multiLevelType w:val="multilevel"/>
    <w:tmpl w:val="F54CE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990FD6"/>
    <w:multiLevelType w:val="multilevel"/>
    <w:tmpl w:val="5DB6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B207C1"/>
    <w:multiLevelType w:val="multilevel"/>
    <w:tmpl w:val="3F58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4743A6"/>
    <w:multiLevelType w:val="multilevel"/>
    <w:tmpl w:val="0464C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9D6270"/>
    <w:multiLevelType w:val="multilevel"/>
    <w:tmpl w:val="493859A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B37442B"/>
    <w:multiLevelType w:val="multilevel"/>
    <w:tmpl w:val="DCC4D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4D4C7F"/>
    <w:multiLevelType w:val="multilevel"/>
    <w:tmpl w:val="F8B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6C620A"/>
    <w:multiLevelType w:val="multilevel"/>
    <w:tmpl w:val="D01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A02F28"/>
    <w:multiLevelType w:val="hybridMultilevel"/>
    <w:tmpl w:val="89589A5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7" w15:restartNumberingAfterBreak="0">
    <w:nsid w:val="510A30BE"/>
    <w:multiLevelType w:val="multilevel"/>
    <w:tmpl w:val="387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D07053"/>
    <w:multiLevelType w:val="hybridMultilevel"/>
    <w:tmpl w:val="753CE6EA"/>
    <w:lvl w:ilvl="0" w:tplc="137A8158">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9" w15:restartNumberingAfterBreak="0">
    <w:nsid w:val="51F9764D"/>
    <w:multiLevelType w:val="hybridMultilevel"/>
    <w:tmpl w:val="6D90A5F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0" w15:restartNumberingAfterBreak="0">
    <w:nsid w:val="53257493"/>
    <w:multiLevelType w:val="multilevel"/>
    <w:tmpl w:val="1862E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5033D6"/>
    <w:multiLevelType w:val="multilevel"/>
    <w:tmpl w:val="C024A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DF1E1A"/>
    <w:multiLevelType w:val="multilevel"/>
    <w:tmpl w:val="EA0AF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897B19"/>
    <w:multiLevelType w:val="hybridMultilevel"/>
    <w:tmpl w:val="C5142CA6"/>
    <w:lvl w:ilvl="0" w:tplc="D1F2EEA4">
      <w:numFmt w:val="bullet"/>
      <w:lvlText w:val="•"/>
      <w:lvlJc w:val="left"/>
      <w:pPr>
        <w:ind w:left="720" w:hanging="360"/>
      </w:pPr>
      <w:rPr>
        <w:rFonts w:ascii="Aptos" w:eastAsiaTheme="minorHAnsi" w:hAnsi="Aptos"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4" w15:restartNumberingAfterBreak="0">
    <w:nsid w:val="58987667"/>
    <w:multiLevelType w:val="multilevel"/>
    <w:tmpl w:val="4428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4841AC"/>
    <w:multiLevelType w:val="multilevel"/>
    <w:tmpl w:val="65D4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154B9E"/>
    <w:multiLevelType w:val="multilevel"/>
    <w:tmpl w:val="3EDC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F446D6"/>
    <w:multiLevelType w:val="multilevel"/>
    <w:tmpl w:val="9AE83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A12C63"/>
    <w:multiLevelType w:val="multilevel"/>
    <w:tmpl w:val="19BA5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A64FFB"/>
    <w:multiLevelType w:val="multilevel"/>
    <w:tmpl w:val="4B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26775D"/>
    <w:multiLevelType w:val="multilevel"/>
    <w:tmpl w:val="0DC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4C2599"/>
    <w:multiLevelType w:val="multilevel"/>
    <w:tmpl w:val="13B8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7C44F1"/>
    <w:multiLevelType w:val="multilevel"/>
    <w:tmpl w:val="3CC6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3467FE"/>
    <w:multiLevelType w:val="multilevel"/>
    <w:tmpl w:val="952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B57CDF"/>
    <w:multiLevelType w:val="multilevel"/>
    <w:tmpl w:val="72E6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964972"/>
    <w:multiLevelType w:val="multilevel"/>
    <w:tmpl w:val="C3AC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511F6D"/>
    <w:multiLevelType w:val="multilevel"/>
    <w:tmpl w:val="9BEC2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23172F"/>
    <w:multiLevelType w:val="multilevel"/>
    <w:tmpl w:val="12B6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BE5B37"/>
    <w:multiLevelType w:val="multilevel"/>
    <w:tmpl w:val="27C63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180DFE"/>
    <w:multiLevelType w:val="multilevel"/>
    <w:tmpl w:val="176C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3555A3"/>
    <w:multiLevelType w:val="multilevel"/>
    <w:tmpl w:val="1EF28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CD7C91"/>
    <w:multiLevelType w:val="multilevel"/>
    <w:tmpl w:val="0FC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D12550"/>
    <w:multiLevelType w:val="multilevel"/>
    <w:tmpl w:val="5F0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FC1C66"/>
    <w:multiLevelType w:val="hybridMultilevel"/>
    <w:tmpl w:val="6246873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4" w15:restartNumberingAfterBreak="0">
    <w:nsid w:val="7BAE16B6"/>
    <w:multiLevelType w:val="hybridMultilevel"/>
    <w:tmpl w:val="E8164416"/>
    <w:lvl w:ilvl="0" w:tplc="D52ED5B4">
      <w:numFmt w:val="bullet"/>
      <w:lvlText w:val="•"/>
      <w:lvlJc w:val="left"/>
      <w:pPr>
        <w:ind w:left="720" w:hanging="360"/>
      </w:pPr>
      <w:rPr>
        <w:rFonts w:ascii="Times New Roman" w:eastAsia="Times New Roman" w:hAnsi="Times New Roman" w:cs="Times New Roman" w:hint="default"/>
        <w:b/>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5" w15:restartNumberingAfterBreak="0">
    <w:nsid w:val="7D3F25B3"/>
    <w:multiLevelType w:val="multilevel"/>
    <w:tmpl w:val="EA489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C23B7E"/>
    <w:multiLevelType w:val="multilevel"/>
    <w:tmpl w:val="416C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F26A17"/>
    <w:multiLevelType w:val="hybridMultilevel"/>
    <w:tmpl w:val="E7F42ABC"/>
    <w:lvl w:ilvl="0" w:tplc="51D0EC10">
      <w:start w:val="2"/>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8" w15:restartNumberingAfterBreak="0">
    <w:nsid w:val="7EFD14F4"/>
    <w:multiLevelType w:val="hybridMultilevel"/>
    <w:tmpl w:val="1E98011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9" w15:restartNumberingAfterBreak="0">
    <w:nsid w:val="7F303287"/>
    <w:multiLevelType w:val="multilevel"/>
    <w:tmpl w:val="2EBA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837531">
    <w:abstractNumId w:val="11"/>
  </w:num>
  <w:num w:numId="2" w16cid:durableId="1351297986">
    <w:abstractNumId w:val="53"/>
  </w:num>
  <w:num w:numId="3" w16cid:durableId="1365397943">
    <w:abstractNumId w:val="56"/>
  </w:num>
  <w:num w:numId="4" w16cid:durableId="2071027318">
    <w:abstractNumId w:val="75"/>
  </w:num>
  <w:num w:numId="5" w16cid:durableId="210533793">
    <w:abstractNumId w:val="32"/>
  </w:num>
  <w:num w:numId="6" w16cid:durableId="445732298">
    <w:abstractNumId w:val="61"/>
  </w:num>
  <w:num w:numId="7" w16cid:durableId="133573405">
    <w:abstractNumId w:val="30"/>
  </w:num>
  <w:num w:numId="8" w16cid:durableId="574585613">
    <w:abstractNumId w:val="74"/>
  </w:num>
  <w:num w:numId="9" w16cid:durableId="1349478103">
    <w:abstractNumId w:val="59"/>
  </w:num>
  <w:num w:numId="10" w16cid:durableId="2110003057">
    <w:abstractNumId w:val="45"/>
  </w:num>
  <w:num w:numId="11" w16cid:durableId="1874147494">
    <w:abstractNumId w:val="28"/>
  </w:num>
  <w:num w:numId="12" w16cid:durableId="2079087691">
    <w:abstractNumId w:val="3"/>
  </w:num>
  <w:num w:numId="13" w16cid:durableId="1823153762">
    <w:abstractNumId w:val="36"/>
  </w:num>
  <w:num w:numId="14" w16cid:durableId="1909921589">
    <w:abstractNumId w:val="12"/>
  </w:num>
  <w:num w:numId="15" w16cid:durableId="641083692">
    <w:abstractNumId w:val="77"/>
  </w:num>
  <w:num w:numId="16" w16cid:durableId="1245065181">
    <w:abstractNumId w:val="21"/>
  </w:num>
  <w:num w:numId="17" w16cid:durableId="398945280">
    <w:abstractNumId w:val="14"/>
  </w:num>
  <w:num w:numId="18" w16cid:durableId="16122890">
    <w:abstractNumId w:val="42"/>
  </w:num>
  <w:num w:numId="19" w16cid:durableId="1635210469">
    <w:abstractNumId w:val="25"/>
  </w:num>
  <w:num w:numId="20" w16cid:durableId="218126872">
    <w:abstractNumId w:val="17"/>
  </w:num>
  <w:num w:numId="21" w16cid:durableId="1801800760">
    <w:abstractNumId w:val="34"/>
  </w:num>
  <w:num w:numId="22" w16cid:durableId="1988775808">
    <w:abstractNumId w:val="47"/>
  </w:num>
  <w:num w:numId="23" w16cid:durableId="471681732">
    <w:abstractNumId w:val="27"/>
  </w:num>
  <w:num w:numId="24" w16cid:durableId="1064639593">
    <w:abstractNumId w:val="72"/>
  </w:num>
  <w:num w:numId="25" w16cid:durableId="2090497845">
    <w:abstractNumId w:val="23"/>
  </w:num>
  <w:num w:numId="26" w16cid:durableId="1181160950">
    <w:abstractNumId w:val="66"/>
  </w:num>
  <w:num w:numId="27" w16cid:durableId="1095247099">
    <w:abstractNumId w:val="26"/>
  </w:num>
  <w:num w:numId="28" w16cid:durableId="1520775121">
    <w:abstractNumId w:val="55"/>
  </w:num>
  <w:num w:numId="29" w16cid:durableId="600991068">
    <w:abstractNumId w:val="29"/>
  </w:num>
  <w:num w:numId="30" w16cid:durableId="1683556577">
    <w:abstractNumId w:val="51"/>
  </w:num>
  <w:num w:numId="31" w16cid:durableId="974061579">
    <w:abstractNumId w:val="43"/>
  </w:num>
  <w:num w:numId="32" w16cid:durableId="1131433968">
    <w:abstractNumId w:val="50"/>
  </w:num>
  <w:num w:numId="33" w16cid:durableId="512912934">
    <w:abstractNumId w:val="58"/>
  </w:num>
  <w:num w:numId="34" w16cid:durableId="1647661682">
    <w:abstractNumId w:val="5"/>
  </w:num>
  <w:num w:numId="35" w16cid:durableId="973022565">
    <w:abstractNumId w:val="24"/>
  </w:num>
  <w:num w:numId="36" w16cid:durableId="2025981299">
    <w:abstractNumId w:val="37"/>
  </w:num>
  <w:num w:numId="37" w16cid:durableId="60642266">
    <w:abstractNumId w:val="31"/>
  </w:num>
  <w:num w:numId="38" w16cid:durableId="2132359830">
    <w:abstractNumId w:val="9"/>
  </w:num>
  <w:num w:numId="39" w16cid:durableId="313875134">
    <w:abstractNumId w:val="38"/>
  </w:num>
  <w:num w:numId="40" w16cid:durableId="1400589230">
    <w:abstractNumId w:val="1"/>
  </w:num>
  <w:num w:numId="41" w16cid:durableId="2120292575">
    <w:abstractNumId w:val="22"/>
  </w:num>
  <w:num w:numId="42" w16cid:durableId="1371876170">
    <w:abstractNumId w:val="57"/>
  </w:num>
  <w:num w:numId="43" w16cid:durableId="1466267942">
    <w:abstractNumId w:val="62"/>
  </w:num>
  <w:num w:numId="44" w16cid:durableId="3631326">
    <w:abstractNumId w:val="4"/>
  </w:num>
  <w:num w:numId="45" w16cid:durableId="1991057930">
    <w:abstractNumId w:val="41"/>
  </w:num>
  <w:num w:numId="46" w16cid:durableId="664094968">
    <w:abstractNumId w:val="76"/>
  </w:num>
  <w:num w:numId="47" w16cid:durableId="1739940048">
    <w:abstractNumId w:val="49"/>
  </w:num>
  <w:num w:numId="48" w16cid:durableId="286551571">
    <w:abstractNumId w:val="16"/>
  </w:num>
  <w:num w:numId="49" w16cid:durableId="846596105">
    <w:abstractNumId w:val="40"/>
  </w:num>
  <w:num w:numId="50" w16cid:durableId="510607186">
    <w:abstractNumId w:val="63"/>
  </w:num>
  <w:num w:numId="51" w16cid:durableId="12155379">
    <w:abstractNumId w:val="2"/>
  </w:num>
  <w:num w:numId="52" w16cid:durableId="1045834822">
    <w:abstractNumId w:val="54"/>
  </w:num>
  <w:num w:numId="53" w16cid:durableId="804196552">
    <w:abstractNumId w:val="73"/>
  </w:num>
  <w:num w:numId="54" w16cid:durableId="178736295">
    <w:abstractNumId w:val="10"/>
  </w:num>
  <w:num w:numId="55" w16cid:durableId="1877966397">
    <w:abstractNumId w:val="46"/>
  </w:num>
  <w:num w:numId="56" w16cid:durableId="1944485735">
    <w:abstractNumId w:val="8"/>
  </w:num>
  <w:num w:numId="57" w16cid:durableId="1237714374">
    <w:abstractNumId w:val="35"/>
  </w:num>
  <w:num w:numId="58" w16cid:durableId="165638271">
    <w:abstractNumId w:val="78"/>
  </w:num>
  <w:num w:numId="59" w16cid:durableId="881479234">
    <w:abstractNumId w:val="48"/>
  </w:num>
  <w:num w:numId="60" w16cid:durableId="861405408">
    <w:abstractNumId w:val="18"/>
  </w:num>
  <w:num w:numId="61" w16cid:durableId="1968507311">
    <w:abstractNumId w:val="52"/>
  </w:num>
  <w:num w:numId="62" w16cid:durableId="726805067">
    <w:abstractNumId w:val="7"/>
  </w:num>
  <w:num w:numId="63" w16cid:durableId="694841789">
    <w:abstractNumId w:val="19"/>
  </w:num>
  <w:num w:numId="64" w16cid:durableId="628516054">
    <w:abstractNumId w:val="69"/>
  </w:num>
  <w:num w:numId="65" w16cid:durableId="1222668138">
    <w:abstractNumId w:val="65"/>
  </w:num>
  <w:num w:numId="66" w16cid:durableId="1019281562">
    <w:abstractNumId w:val="70"/>
  </w:num>
  <w:num w:numId="67" w16cid:durableId="1271547946">
    <w:abstractNumId w:val="20"/>
  </w:num>
  <w:num w:numId="68" w16cid:durableId="726295327">
    <w:abstractNumId w:val="64"/>
  </w:num>
  <w:num w:numId="69" w16cid:durableId="831221370">
    <w:abstractNumId w:val="68"/>
  </w:num>
  <w:num w:numId="70" w16cid:durableId="137649203">
    <w:abstractNumId w:val="44"/>
  </w:num>
  <w:num w:numId="71" w16cid:durableId="1085299768">
    <w:abstractNumId w:val="71"/>
  </w:num>
  <w:num w:numId="72" w16cid:durableId="1020814749">
    <w:abstractNumId w:val="79"/>
  </w:num>
  <w:num w:numId="73" w16cid:durableId="1082262486">
    <w:abstractNumId w:val="33"/>
  </w:num>
  <w:num w:numId="74" w16cid:durableId="1776947863">
    <w:abstractNumId w:val="67"/>
  </w:num>
  <w:num w:numId="75" w16cid:durableId="115297018">
    <w:abstractNumId w:val="60"/>
  </w:num>
  <w:num w:numId="76" w16cid:durableId="23871195">
    <w:abstractNumId w:val="39"/>
  </w:num>
  <w:num w:numId="77" w16cid:durableId="2099859680">
    <w:abstractNumId w:val="13"/>
  </w:num>
  <w:num w:numId="78" w16cid:durableId="900794897">
    <w:abstractNumId w:val="0"/>
  </w:num>
  <w:num w:numId="79" w16cid:durableId="2037386573">
    <w:abstractNumId w:val="15"/>
  </w:num>
  <w:num w:numId="80" w16cid:durableId="1165896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A1"/>
    <w:rsid w:val="00011DE7"/>
    <w:rsid w:val="00014181"/>
    <w:rsid w:val="00015002"/>
    <w:rsid w:val="00031E93"/>
    <w:rsid w:val="00050B13"/>
    <w:rsid w:val="00071679"/>
    <w:rsid w:val="000B77CC"/>
    <w:rsid w:val="000D2CAD"/>
    <w:rsid w:val="000D3F31"/>
    <w:rsid w:val="000E40BB"/>
    <w:rsid w:val="00106139"/>
    <w:rsid w:val="001344DE"/>
    <w:rsid w:val="00135631"/>
    <w:rsid w:val="001455B9"/>
    <w:rsid w:val="00166022"/>
    <w:rsid w:val="001921A6"/>
    <w:rsid w:val="001C3FBF"/>
    <w:rsid w:val="001E35E1"/>
    <w:rsid w:val="0024151C"/>
    <w:rsid w:val="00244E2A"/>
    <w:rsid w:val="002B62CB"/>
    <w:rsid w:val="002B72A5"/>
    <w:rsid w:val="002E22B1"/>
    <w:rsid w:val="002E26B1"/>
    <w:rsid w:val="002E7B1C"/>
    <w:rsid w:val="003465B5"/>
    <w:rsid w:val="00381C02"/>
    <w:rsid w:val="0038312B"/>
    <w:rsid w:val="00384EA1"/>
    <w:rsid w:val="00386C78"/>
    <w:rsid w:val="003E3D4A"/>
    <w:rsid w:val="003F0FED"/>
    <w:rsid w:val="0044196E"/>
    <w:rsid w:val="0046252B"/>
    <w:rsid w:val="004A6153"/>
    <w:rsid w:val="004B0410"/>
    <w:rsid w:val="004C5116"/>
    <w:rsid w:val="004F0F2D"/>
    <w:rsid w:val="00584E33"/>
    <w:rsid w:val="005C3D0B"/>
    <w:rsid w:val="005C6025"/>
    <w:rsid w:val="00603D1F"/>
    <w:rsid w:val="00606DB4"/>
    <w:rsid w:val="00670C60"/>
    <w:rsid w:val="00675752"/>
    <w:rsid w:val="006A3C85"/>
    <w:rsid w:val="006F2333"/>
    <w:rsid w:val="00721C27"/>
    <w:rsid w:val="0072403D"/>
    <w:rsid w:val="00811E67"/>
    <w:rsid w:val="0081580C"/>
    <w:rsid w:val="008246ED"/>
    <w:rsid w:val="00832F4E"/>
    <w:rsid w:val="00836FBF"/>
    <w:rsid w:val="008449E9"/>
    <w:rsid w:val="00872D61"/>
    <w:rsid w:val="00884127"/>
    <w:rsid w:val="0089320F"/>
    <w:rsid w:val="00922C46"/>
    <w:rsid w:val="009C7B28"/>
    <w:rsid w:val="009E6369"/>
    <w:rsid w:val="009F2E66"/>
    <w:rsid w:val="009F657F"/>
    <w:rsid w:val="00A018A2"/>
    <w:rsid w:val="00A11121"/>
    <w:rsid w:val="00A267E2"/>
    <w:rsid w:val="00A8584F"/>
    <w:rsid w:val="00AA67BF"/>
    <w:rsid w:val="00AA7E9A"/>
    <w:rsid w:val="00AB36A2"/>
    <w:rsid w:val="00AD592D"/>
    <w:rsid w:val="00B26407"/>
    <w:rsid w:val="00B82C0A"/>
    <w:rsid w:val="00BA4935"/>
    <w:rsid w:val="00BB2E0C"/>
    <w:rsid w:val="00BF5F8A"/>
    <w:rsid w:val="00BF6C96"/>
    <w:rsid w:val="00C10D76"/>
    <w:rsid w:val="00C128AF"/>
    <w:rsid w:val="00C47258"/>
    <w:rsid w:val="00C62CFE"/>
    <w:rsid w:val="00C90F45"/>
    <w:rsid w:val="00CB352A"/>
    <w:rsid w:val="00CC064F"/>
    <w:rsid w:val="00CF67A1"/>
    <w:rsid w:val="00D04E04"/>
    <w:rsid w:val="00D50B5A"/>
    <w:rsid w:val="00D676C0"/>
    <w:rsid w:val="00D76C48"/>
    <w:rsid w:val="00DD0AC6"/>
    <w:rsid w:val="00DE2E50"/>
    <w:rsid w:val="00E070CA"/>
    <w:rsid w:val="00E07122"/>
    <w:rsid w:val="00E61CAC"/>
    <w:rsid w:val="00E74AA0"/>
    <w:rsid w:val="00E86154"/>
    <w:rsid w:val="00E868BF"/>
    <w:rsid w:val="00E94A0E"/>
    <w:rsid w:val="00EA0679"/>
    <w:rsid w:val="00EA3575"/>
    <w:rsid w:val="00EC0C97"/>
    <w:rsid w:val="00ED53F1"/>
    <w:rsid w:val="00F3602F"/>
    <w:rsid w:val="00F66F4B"/>
    <w:rsid w:val="00F861B0"/>
    <w:rsid w:val="00F93E7C"/>
    <w:rsid w:val="00FA2C09"/>
    <w:rsid w:val="00FA42A9"/>
    <w:rsid w:val="00FF75A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A9A19"/>
  <w15:chartTrackingRefBased/>
  <w15:docId w15:val="{97BBD25F-B166-4413-9BF0-9496AD41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78"/>
    <w:rPr>
      <w:rFonts w:ascii="Inter" w:hAnsi="Inter" w:eastAsia="Inter" w:cs="Inter"/>
      <w:color w:val="14130F"/>
      <w:sz w:val="20"/>
    </w:rPr>
  </w:style>
  <w:style w:type="paragraph" w:styleId="Heading1">
    <w:name w:val="heading 1"/>
    <w:basedOn w:val="Normal"/>
    <w:next w:val="Normal"/>
    <w:link w:val="Heading1Char"/>
    <w:autoRedefine/>
    <w:uiPriority w:val="9"/>
    <w:qFormat/>
    <w:rsid w:val="009C7B28"/>
    <w:pPr>
      <w:keepNext/>
      <w:keepLines/>
      <w:spacing w:before="360" w:after="80"/>
      <w:outlineLvl w:val="0"/>
    </w:pPr>
    <w:rPr>
      <w:rFonts w:ascii="Inter" w:eastAsiaTheme="majorEastAsia" w:hAnsi="Inter" w:cstheme="majorBidi" w:eastAsia="Inter" w:cs="Inter"/>
      <w:b/>
      <w:color w:val="9A7B45"/>
      <w:sz w:val="32"/>
      <w:szCs w:val="40"/>
    </w:rPr>
  </w:style>
  <w:style w:type="paragraph" w:styleId="Heading2">
    <w:name w:val="heading 2"/>
    <w:basedOn w:val="Normal"/>
    <w:next w:val="Normal"/>
    <w:link w:val="Heading2Char"/>
    <w:autoRedefine/>
    <w:uiPriority w:val="9"/>
    <w:unhideWhenUsed/>
    <w:qFormat/>
    <w:rsid w:val="00386C78"/>
    <w:pPr>
      <w:keepNext/>
      <w:keepLines/>
      <w:tabs>
        <w:tab w:val="left" w:pos="1080"/>
      </w:tabs>
      <w:spacing w:before="280" w:after="200"/>
      <w:outlineLvl w:val="1"/>
    </w:pPr>
    <w:rPr>
      <w:rFonts w:ascii="Inter" w:eastAsiaTheme="majorEastAsia" w:hAnsi="Inter" w:cstheme="majorBidi" w:eastAsia="Inter" w:cs="Inter"/>
      <w:b/>
      <w:color w:val="14130F"/>
      <w:sz w:val="26"/>
      <w:szCs w:val="32"/>
    </w:rPr>
  </w:style>
  <w:style w:type="paragraph" w:styleId="Heading3">
    <w:name w:val="heading 3"/>
    <w:basedOn w:val="Normal"/>
    <w:next w:val="Normal"/>
    <w:link w:val="Heading3Char"/>
    <w:uiPriority w:val="9"/>
    <w:unhideWhenUsed/>
    <w:qFormat/>
    <w:rsid w:val="002E26B1"/>
    <w:pPr>
      <w:keepNext/>
      <w:keepLines/>
      <w:spacing w:before="160" w:after="80"/>
      <w:outlineLvl w:val="2"/>
    </w:pPr>
    <w:rPr>
      <w:rFonts w:eastAsiaTheme="majorEastAsia" w:cstheme="majorBidi" w:ascii="Inter" w:hAnsi="Inter" w:eastAsia="Inter" w:cs="Inter"/>
      <w:b/>
      <w:color w:val="111113"/>
      <w:sz w:val="22"/>
      <w:szCs w:val="28"/>
    </w:rPr>
  </w:style>
  <w:style w:type="paragraph" w:styleId="Heading4">
    <w:name w:val="heading 4"/>
    <w:basedOn w:val="Normal"/>
    <w:next w:val="Normal"/>
    <w:link w:val="Heading4Char"/>
    <w:uiPriority w:val="9"/>
    <w:semiHidden/>
    <w:unhideWhenUsed/>
    <w:qFormat/>
    <w:rsid w:val="00CF6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28"/>
    <w:rPr>
      <w:rFonts w:ascii="Verdana" w:eastAsiaTheme="majorEastAsia" w:hAnsi="Verdana" w:cstheme="majorBidi"/>
      <w:b/>
      <w:color w:val="FF3300"/>
      <w:sz w:val="28"/>
      <w:szCs w:val="40"/>
    </w:rPr>
  </w:style>
  <w:style w:type="character" w:customStyle="1" w:styleId="Heading2Char">
    <w:name w:val="Heading 2 Char"/>
    <w:basedOn w:val="DefaultParagraphFont"/>
    <w:link w:val="Heading2"/>
    <w:uiPriority w:val="9"/>
    <w:rsid w:val="0024151C"/>
    <w:rPr>
      <w:rFonts w:ascii="Verdana" w:eastAsiaTheme="majorEastAsia" w:hAnsi="Verdana" w:cstheme="majorBidi"/>
      <w:b/>
      <w:color w:val="1C1C1C"/>
      <w:sz w:val="28"/>
      <w:szCs w:val="32"/>
    </w:rPr>
  </w:style>
  <w:style w:type="character" w:customStyle="1" w:styleId="Heading3Char">
    <w:name w:val="Heading 3 Char"/>
    <w:basedOn w:val="DefaultParagraphFont"/>
    <w:link w:val="Heading3"/>
    <w:uiPriority w:val="9"/>
    <w:rsid w:val="002E26B1"/>
    <w:rPr>
      <w:rFonts w:eastAsiaTheme="majorEastAsia" w:cstheme="majorBidi"/>
      <w:color w:val="000000" w:themeColor="text1"/>
      <w:szCs w:val="28"/>
    </w:rPr>
  </w:style>
  <w:style w:type="character" w:customStyle="1" w:styleId="Heading4Char">
    <w:name w:val="Heading 4 Char"/>
    <w:basedOn w:val="DefaultParagraphFont"/>
    <w:link w:val="Heading4"/>
    <w:uiPriority w:val="9"/>
    <w:semiHidden/>
    <w:rsid w:val="00CF6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7A1"/>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C7B28"/>
    <w:pPr>
      <w:spacing w:after="80" w:line="240" w:lineRule="auto"/>
      <w:contextualSpacing/>
      <w:jc w:val="center"/>
    </w:pPr>
    <w:rPr>
      <w:rFonts w:ascii="Inter" w:eastAsiaTheme="majorEastAsia" w:hAnsi="Inter" w:cstheme="majorBidi" w:eastAsia="Inter" w:cs="Inter"/>
      <w:b/>
      <w:color w:val="9A7B45"/>
      <w:spacing w:val="-10"/>
      <w:kern w:val="28"/>
      <w:sz w:val="52"/>
      <w:szCs w:val="56"/>
    </w:rPr>
  </w:style>
  <w:style w:type="character" w:customStyle="1" w:styleId="TitleChar">
    <w:name w:val="Title Char"/>
    <w:basedOn w:val="DefaultParagraphFont"/>
    <w:link w:val="Title"/>
    <w:uiPriority w:val="10"/>
    <w:rsid w:val="009C7B28"/>
    <w:rPr>
      <w:rFonts w:ascii="Verdana" w:eastAsiaTheme="majorEastAsia" w:hAnsi="Verdana" w:cstheme="majorBidi"/>
      <w:b/>
      <w:spacing w:val="-10"/>
      <w:kern w:val="28"/>
      <w:sz w:val="28"/>
      <w:szCs w:val="56"/>
    </w:rPr>
  </w:style>
  <w:style w:type="paragraph" w:styleId="Subtitle">
    <w:name w:val="Subtitle"/>
    <w:basedOn w:val="Normal"/>
    <w:next w:val="Normal"/>
    <w:link w:val="SubtitleChar"/>
    <w:uiPriority w:val="11"/>
    <w:qFormat/>
    <w:rsid w:val="00CF6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7A1"/>
    <w:pPr>
      <w:spacing w:before="160"/>
      <w:jc w:val="center"/>
    </w:pPr>
    <w:rPr>
      <w:i/>
      <w:iCs/>
      <w:color w:val="404040" w:themeColor="text1" w:themeTint="BF"/>
    </w:rPr>
  </w:style>
  <w:style w:type="character" w:customStyle="1" w:styleId="QuoteChar">
    <w:name w:val="Quote Char"/>
    <w:basedOn w:val="DefaultParagraphFont"/>
    <w:link w:val="Quote"/>
    <w:uiPriority w:val="29"/>
    <w:rsid w:val="00CF67A1"/>
    <w:rPr>
      <w:i/>
      <w:iCs/>
      <w:color w:val="404040" w:themeColor="text1" w:themeTint="BF"/>
    </w:rPr>
  </w:style>
  <w:style w:type="paragraph" w:styleId="ListParagraph">
    <w:name w:val="List Paragraph"/>
    <w:basedOn w:val="Normal"/>
    <w:uiPriority w:val="34"/>
    <w:qFormat/>
    <w:rsid w:val="00CF67A1"/>
    <w:pPr>
      <w:ind w:left="720"/>
      <w:contextualSpacing/>
    </w:pPr>
    <w:rPr>
      <w:rFonts w:ascii="Inter" w:hAnsi="Inter" w:eastAsia="Inter" w:cs="Inter"/>
    </w:rPr>
  </w:style>
  <w:style w:type="character" w:styleId="IntenseEmphasis">
    <w:name w:val="Intense Emphasis"/>
    <w:basedOn w:val="DefaultParagraphFont"/>
    <w:uiPriority w:val="21"/>
    <w:qFormat/>
    <w:rsid w:val="00CF67A1"/>
    <w:rPr>
      <w:i/>
      <w:iCs/>
      <w:color w:val="0F4761" w:themeColor="accent1" w:themeShade="BF"/>
    </w:rPr>
  </w:style>
  <w:style w:type="paragraph" w:styleId="IntenseQuote">
    <w:name w:val="Intense Quote"/>
    <w:basedOn w:val="Normal"/>
    <w:next w:val="Normal"/>
    <w:link w:val="IntenseQuoteChar"/>
    <w:uiPriority w:val="30"/>
    <w:qFormat/>
    <w:rsid w:val="00CF6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7A1"/>
    <w:rPr>
      <w:i/>
      <w:iCs/>
      <w:color w:val="0F4761" w:themeColor="accent1" w:themeShade="BF"/>
    </w:rPr>
  </w:style>
  <w:style w:type="character" w:styleId="IntenseReference">
    <w:name w:val="Intense Reference"/>
    <w:basedOn w:val="DefaultParagraphFont"/>
    <w:uiPriority w:val="32"/>
    <w:qFormat/>
    <w:rsid w:val="00CF67A1"/>
    <w:rPr>
      <w:b/>
      <w:bCs/>
      <w:smallCaps/>
      <w:color w:val="0F4761" w:themeColor="accent1" w:themeShade="BF"/>
      <w:spacing w:val="5"/>
    </w:rPr>
  </w:style>
  <w:style w:type="paragraph" w:styleId="Header">
    <w:name w:val="header"/>
    <w:basedOn w:val="Normal"/>
    <w:link w:val="Head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HeaderChar">
    <w:name w:val="Header Char"/>
    <w:basedOn w:val="DefaultParagraphFont"/>
    <w:link w:val="Header"/>
    <w:uiPriority w:val="99"/>
    <w:rsid w:val="00CB352A"/>
  </w:style>
  <w:style w:type="paragraph" w:styleId="Footer">
    <w:name w:val="footer"/>
    <w:basedOn w:val="Normal"/>
    <w:link w:val="Foot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FooterChar">
    <w:name w:val="Footer Char"/>
    <w:basedOn w:val="DefaultParagraphFont"/>
    <w:link w:val="Footer"/>
    <w:uiPriority w:val="99"/>
    <w:rsid w:val="00CB352A"/>
  </w:style>
  <w:style w:type="character" w:styleId="Strong">
    <w:name w:val="Strong"/>
    <w:basedOn w:val="DefaultParagraphFont"/>
    <w:uiPriority w:val="22"/>
    <w:qFormat/>
    <w:rsid w:val="009C7B28"/>
    <w:rPr>
      <w:rFonts w:ascii="Verdana" w:hAnsi="Verdana"/>
      <w:b/>
      <w:bCs/>
      <w:sz w:val="20"/>
    </w:rPr>
  </w:style>
  <w:style w:type="table" w:styleId="TableGrid">
    <w:name w:val="Table Grid"/>
    <w:basedOn w:val="TableNormal"/>
    <w:uiPriority w:val="39"/>
    <w:rsid w:val="00AD5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22C46"/>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922C46"/>
    <w:rPr>
      <w:rFonts w:eastAsiaTheme="minorEastAsia"/>
      <w:kern w:val="0"/>
      <w:sz w:val="22"/>
      <w:szCs w:val="22"/>
      <w:lang w:val="en-US"/>
      <w14:ligatures w14:val="none"/>
    </w:rPr>
  </w:style>
  <w:style w:type="character" w:styleId="Hyperlink">
    <w:name w:val="Hyperlink"/>
    <w:basedOn w:val="DefaultParagraphFont"/>
    <w:uiPriority w:val="99"/>
    <w:unhideWhenUsed/>
    <w:rsid w:val="009E6369"/>
    <w:rPr>
      <w:color w:val="467886" w:themeColor="hyperlink"/>
      <w:u w:val="single"/>
    </w:rPr>
  </w:style>
  <w:style w:type="character" w:styleId="UnresolvedMention">
    <w:name w:val="Unresolved Mention"/>
    <w:basedOn w:val="DefaultParagraphFont"/>
    <w:uiPriority w:val="99"/>
    <w:semiHidden/>
    <w:unhideWhenUsed/>
    <w:rsid w:val="009E6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597">
      <w:bodyDiv w:val="1"/>
      <w:marLeft w:val="0"/>
      <w:marRight w:val="0"/>
      <w:marTop w:val="0"/>
      <w:marBottom w:val="0"/>
      <w:divBdr>
        <w:top w:val="none" w:sz="0" w:space="0" w:color="auto"/>
        <w:left w:val="none" w:sz="0" w:space="0" w:color="auto"/>
        <w:bottom w:val="none" w:sz="0" w:space="0" w:color="auto"/>
        <w:right w:val="none" w:sz="0" w:space="0" w:color="auto"/>
      </w:divBdr>
    </w:div>
    <w:div w:id="83576217">
      <w:bodyDiv w:val="1"/>
      <w:marLeft w:val="0"/>
      <w:marRight w:val="0"/>
      <w:marTop w:val="0"/>
      <w:marBottom w:val="0"/>
      <w:divBdr>
        <w:top w:val="none" w:sz="0" w:space="0" w:color="auto"/>
        <w:left w:val="none" w:sz="0" w:space="0" w:color="auto"/>
        <w:bottom w:val="none" w:sz="0" w:space="0" w:color="auto"/>
        <w:right w:val="none" w:sz="0" w:space="0" w:color="auto"/>
      </w:divBdr>
    </w:div>
    <w:div w:id="118769695">
      <w:bodyDiv w:val="1"/>
      <w:marLeft w:val="0"/>
      <w:marRight w:val="0"/>
      <w:marTop w:val="0"/>
      <w:marBottom w:val="0"/>
      <w:divBdr>
        <w:top w:val="none" w:sz="0" w:space="0" w:color="auto"/>
        <w:left w:val="none" w:sz="0" w:space="0" w:color="auto"/>
        <w:bottom w:val="none" w:sz="0" w:space="0" w:color="auto"/>
        <w:right w:val="none" w:sz="0" w:space="0" w:color="auto"/>
      </w:divBdr>
    </w:div>
    <w:div w:id="125438331">
      <w:bodyDiv w:val="1"/>
      <w:marLeft w:val="0"/>
      <w:marRight w:val="0"/>
      <w:marTop w:val="0"/>
      <w:marBottom w:val="0"/>
      <w:divBdr>
        <w:top w:val="none" w:sz="0" w:space="0" w:color="auto"/>
        <w:left w:val="none" w:sz="0" w:space="0" w:color="auto"/>
        <w:bottom w:val="none" w:sz="0" w:space="0" w:color="auto"/>
        <w:right w:val="none" w:sz="0" w:space="0" w:color="auto"/>
      </w:divBdr>
    </w:div>
    <w:div w:id="150605275">
      <w:bodyDiv w:val="1"/>
      <w:marLeft w:val="0"/>
      <w:marRight w:val="0"/>
      <w:marTop w:val="0"/>
      <w:marBottom w:val="0"/>
      <w:divBdr>
        <w:top w:val="none" w:sz="0" w:space="0" w:color="auto"/>
        <w:left w:val="none" w:sz="0" w:space="0" w:color="auto"/>
        <w:bottom w:val="none" w:sz="0" w:space="0" w:color="auto"/>
        <w:right w:val="none" w:sz="0" w:space="0" w:color="auto"/>
      </w:divBdr>
    </w:div>
    <w:div w:id="164251710">
      <w:bodyDiv w:val="1"/>
      <w:marLeft w:val="0"/>
      <w:marRight w:val="0"/>
      <w:marTop w:val="0"/>
      <w:marBottom w:val="0"/>
      <w:divBdr>
        <w:top w:val="none" w:sz="0" w:space="0" w:color="auto"/>
        <w:left w:val="none" w:sz="0" w:space="0" w:color="auto"/>
        <w:bottom w:val="none" w:sz="0" w:space="0" w:color="auto"/>
        <w:right w:val="none" w:sz="0" w:space="0" w:color="auto"/>
      </w:divBdr>
    </w:div>
    <w:div w:id="259333380">
      <w:bodyDiv w:val="1"/>
      <w:marLeft w:val="0"/>
      <w:marRight w:val="0"/>
      <w:marTop w:val="0"/>
      <w:marBottom w:val="0"/>
      <w:divBdr>
        <w:top w:val="none" w:sz="0" w:space="0" w:color="auto"/>
        <w:left w:val="none" w:sz="0" w:space="0" w:color="auto"/>
        <w:bottom w:val="none" w:sz="0" w:space="0" w:color="auto"/>
        <w:right w:val="none" w:sz="0" w:space="0" w:color="auto"/>
      </w:divBdr>
    </w:div>
    <w:div w:id="337195909">
      <w:bodyDiv w:val="1"/>
      <w:marLeft w:val="0"/>
      <w:marRight w:val="0"/>
      <w:marTop w:val="0"/>
      <w:marBottom w:val="0"/>
      <w:divBdr>
        <w:top w:val="none" w:sz="0" w:space="0" w:color="auto"/>
        <w:left w:val="none" w:sz="0" w:space="0" w:color="auto"/>
        <w:bottom w:val="none" w:sz="0" w:space="0" w:color="auto"/>
        <w:right w:val="none" w:sz="0" w:space="0" w:color="auto"/>
      </w:divBdr>
    </w:div>
    <w:div w:id="352073062">
      <w:bodyDiv w:val="1"/>
      <w:marLeft w:val="0"/>
      <w:marRight w:val="0"/>
      <w:marTop w:val="0"/>
      <w:marBottom w:val="0"/>
      <w:divBdr>
        <w:top w:val="none" w:sz="0" w:space="0" w:color="auto"/>
        <w:left w:val="none" w:sz="0" w:space="0" w:color="auto"/>
        <w:bottom w:val="none" w:sz="0" w:space="0" w:color="auto"/>
        <w:right w:val="none" w:sz="0" w:space="0" w:color="auto"/>
      </w:divBdr>
    </w:div>
    <w:div w:id="384377770">
      <w:bodyDiv w:val="1"/>
      <w:marLeft w:val="0"/>
      <w:marRight w:val="0"/>
      <w:marTop w:val="0"/>
      <w:marBottom w:val="0"/>
      <w:divBdr>
        <w:top w:val="none" w:sz="0" w:space="0" w:color="auto"/>
        <w:left w:val="none" w:sz="0" w:space="0" w:color="auto"/>
        <w:bottom w:val="none" w:sz="0" w:space="0" w:color="auto"/>
        <w:right w:val="none" w:sz="0" w:space="0" w:color="auto"/>
      </w:divBdr>
    </w:div>
    <w:div w:id="386417663">
      <w:bodyDiv w:val="1"/>
      <w:marLeft w:val="0"/>
      <w:marRight w:val="0"/>
      <w:marTop w:val="0"/>
      <w:marBottom w:val="0"/>
      <w:divBdr>
        <w:top w:val="none" w:sz="0" w:space="0" w:color="auto"/>
        <w:left w:val="none" w:sz="0" w:space="0" w:color="auto"/>
        <w:bottom w:val="none" w:sz="0" w:space="0" w:color="auto"/>
        <w:right w:val="none" w:sz="0" w:space="0" w:color="auto"/>
      </w:divBdr>
    </w:div>
    <w:div w:id="406533999">
      <w:bodyDiv w:val="1"/>
      <w:marLeft w:val="0"/>
      <w:marRight w:val="0"/>
      <w:marTop w:val="0"/>
      <w:marBottom w:val="0"/>
      <w:divBdr>
        <w:top w:val="none" w:sz="0" w:space="0" w:color="auto"/>
        <w:left w:val="none" w:sz="0" w:space="0" w:color="auto"/>
        <w:bottom w:val="none" w:sz="0" w:space="0" w:color="auto"/>
        <w:right w:val="none" w:sz="0" w:space="0" w:color="auto"/>
      </w:divBdr>
    </w:div>
    <w:div w:id="419451994">
      <w:bodyDiv w:val="1"/>
      <w:marLeft w:val="0"/>
      <w:marRight w:val="0"/>
      <w:marTop w:val="0"/>
      <w:marBottom w:val="0"/>
      <w:divBdr>
        <w:top w:val="none" w:sz="0" w:space="0" w:color="auto"/>
        <w:left w:val="none" w:sz="0" w:space="0" w:color="auto"/>
        <w:bottom w:val="none" w:sz="0" w:space="0" w:color="auto"/>
        <w:right w:val="none" w:sz="0" w:space="0" w:color="auto"/>
      </w:divBdr>
    </w:div>
    <w:div w:id="437912021">
      <w:bodyDiv w:val="1"/>
      <w:marLeft w:val="0"/>
      <w:marRight w:val="0"/>
      <w:marTop w:val="0"/>
      <w:marBottom w:val="0"/>
      <w:divBdr>
        <w:top w:val="none" w:sz="0" w:space="0" w:color="auto"/>
        <w:left w:val="none" w:sz="0" w:space="0" w:color="auto"/>
        <w:bottom w:val="none" w:sz="0" w:space="0" w:color="auto"/>
        <w:right w:val="none" w:sz="0" w:space="0" w:color="auto"/>
      </w:divBdr>
    </w:div>
    <w:div w:id="477378032">
      <w:bodyDiv w:val="1"/>
      <w:marLeft w:val="0"/>
      <w:marRight w:val="0"/>
      <w:marTop w:val="0"/>
      <w:marBottom w:val="0"/>
      <w:divBdr>
        <w:top w:val="none" w:sz="0" w:space="0" w:color="auto"/>
        <w:left w:val="none" w:sz="0" w:space="0" w:color="auto"/>
        <w:bottom w:val="none" w:sz="0" w:space="0" w:color="auto"/>
        <w:right w:val="none" w:sz="0" w:space="0" w:color="auto"/>
      </w:divBdr>
    </w:div>
    <w:div w:id="484469237">
      <w:bodyDiv w:val="1"/>
      <w:marLeft w:val="0"/>
      <w:marRight w:val="0"/>
      <w:marTop w:val="0"/>
      <w:marBottom w:val="0"/>
      <w:divBdr>
        <w:top w:val="none" w:sz="0" w:space="0" w:color="auto"/>
        <w:left w:val="none" w:sz="0" w:space="0" w:color="auto"/>
        <w:bottom w:val="none" w:sz="0" w:space="0" w:color="auto"/>
        <w:right w:val="none" w:sz="0" w:space="0" w:color="auto"/>
      </w:divBdr>
    </w:div>
    <w:div w:id="526649651">
      <w:bodyDiv w:val="1"/>
      <w:marLeft w:val="0"/>
      <w:marRight w:val="0"/>
      <w:marTop w:val="0"/>
      <w:marBottom w:val="0"/>
      <w:divBdr>
        <w:top w:val="none" w:sz="0" w:space="0" w:color="auto"/>
        <w:left w:val="none" w:sz="0" w:space="0" w:color="auto"/>
        <w:bottom w:val="none" w:sz="0" w:space="0" w:color="auto"/>
        <w:right w:val="none" w:sz="0" w:space="0" w:color="auto"/>
      </w:divBdr>
    </w:div>
    <w:div w:id="705984324">
      <w:bodyDiv w:val="1"/>
      <w:marLeft w:val="0"/>
      <w:marRight w:val="0"/>
      <w:marTop w:val="0"/>
      <w:marBottom w:val="0"/>
      <w:divBdr>
        <w:top w:val="none" w:sz="0" w:space="0" w:color="auto"/>
        <w:left w:val="none" w:sz="0" w:space="0" w:color="auto"/>
        <w:bottom w:val="none" w:sz="0" w:space="0" w:color="auto"/>
        <w:right w:val="none" w:sz="0" w:space="0" w:color="auto"/>
      </w:divBdr>
    </w:div>
    <w:div w:id="888608125">
      <w:bodyDiv w:val="1"/>
      <w:marLeft w:val="0"/>
      <w:marRight w:val="0"/>
      <w:marTop w:val="0"/>
      <w:marBottom w:val="0"/>
      <w:divBdr>
        <w:top w:val="none" w:sz="0" w:space="0" w:color="auto"/>
        <w:left w:val="none" w:sz="0" w:space="0" w:color="auto"/>
        <w:bottom w:val="none" w:sz="0" w:space="0" w:color="auto"/>
        <w:right w:val="none" w:sz="0" w:space="0" w:color="auto"/>
      </w:divBdr>
    </w:div>
    <w:div w:id="919413028">
      <w:bodyDiv w:val="1"/>
      <w:marLeft w:val="0"/>
      <w:marRight w:val="0"/>
      <w:marTop w:val="0"/>
      <w:marBottom w:val="0"/>
      <w:divBdr>
        <w:top w:val="none" w:sz="0" w:space="0" w:color="auto"/>
        <w:left w:val="none" w:sz="0" w:space="0" w:color="auto"/>
        <w:bottom w:val="none" w:sz="0" w:space="0" w:color="auto"/>
        <w:right w:val="none" w:sz="0" w:space="0" w:color="auto"/>
      </w:divBdr>
    </w:div>
    <w:div w:id="963117710">
      <w:bodyDiv w:val="1"/>
      <w:marLeft w:val="0"/>
      <w:marRight w:val="0"/>
      <w:marTop w:val="0"/>
      <w:marBottom w:val="0"/>
      <w:divBdr>
        <w:top w:val="none" w:sz="0" w:space="0" w:color="auto"/>
        <w:left w:val="none" w:sz="0" w:space="0" w:color="auto"/>
        <w:bottom w:val="none" w:sz="0" w:space="0" w:color="auto"/>
        <w:right w:val="none" w:sz="0" w:space="0" w:color="auto"/>
      </w:divBdr>
    </w:div>
    <w:div w:id="976303606">
      <w:bodyDiv w:val="1"/>
      <w:marLeft w:val="0"/>
      <w:marRight w:val="0"/>
      <w:marTop w:val="0"/>
      <w:marBottom w:val="0"/>
      <w:divBdr>
        <w:top w:val="none" w:sz="0" w:space="0" w:color="auto"/>
        <w:left w:val="none" w:sz="0" w:space="0" w:color="auto"/>
        <w:bottom w:val="none" w:sz="0" w:space="0" w:color="auto"/>
        <w:right w:val="none" w:sz="0" w:space="0" w:color="auto"/>
      </w:divBdr>
    </w:div>
    <w:div w:id="1070468506">
      <w:bodyDiv w:val="1"/>
      <w:marLeft w:val="0"/>
      <w:marRight w:val="0"/>
      <w:marTop w:val="0"/>
      <w:marBottom w:val="0"/>
      <w:divBdr>
        <w:top w:val="none" w:sz="0" w:space="0" w:color="auto"/>
        <w:left w:val="none" w:sz="0" w:space="0" w:color="auto"/>
        <w:bottom w:val="none" w:sz="0" w:space="0" w:color="auto"/>
        <w:right w:val="none" w:sz="0" w:space="0" w:color="auto"/>
      </w:divBdr>
    </w:div>
    <w:div w:id="1207256930">
      <w:bodyDiv w:val="1"/>
      <w:marLeft w:val="0"/>
      <w:marRight w:val="0"/>
      <w:marTop w:val="0"/>
      <w:marBottom w:val="0"/>
      <w:divBdr>
        <w:top w:val="none" w:sz="0" w:space="0" w:color="auto"/>
        <w:left w:val="none" w:sz="0" w:space="0" w:color="auto"/>
        <w:bottom w:val="none" w:sz="0" w:space="0" w:color="auto"/>
        <w:right w:val="none" w:sz="0" w:space="0" w:color="auto"/>
      </w:divBdr>
    </w:div>
    <w:div w:id="1373308114">
      <w:bodyDiv w:val="1"/>
      <w:marLeft w:val="0"/>
      <w:marRight w:val="0"/>
      <w:marTop w:val="0"/>
      <w:marBottom w:val="0"/>
      <w:divBdr>
        <w:top w:val="none" w:sz="0" w:space="0" w:color="auto"/>
        <w:left w:val="none" w:sz="0" w:space="0" w:color="auto"/>
        <w:bottom w:val="none" w:sz="0" w:space="0" w:color="auto"/>
        <w:right w:val="none" w:sz="0" w:space="0" w:color="auto"/>
      </w:divBdr>
    </w:div>
    <w:div w:id="1407916713">
      <w:bodyDiv w:val="1"/>
      <w:marLeft w:val="0"/>
      <w:marRight w:val="0"/>
      <w:marTop w:val="0"/>
      <w:marBottom w:val="0"/>
      <w:divBdr>
        <w:top w:val="none" w:sz="0" w:space="0" w:color="auto"/>
        <w:left w:val="none" w:sz="0" w:space="0" w:color="auto"/>
        <w:bottom w:val="none" w:sz="0" w:space="0" w:color="auto"/>
        <w:right w:val="none" w:sz="0" w:space="0" w:color="auto"/>
      </w:divBdr>
    </w:div>
    <w:div w:id="1608343335">
      <w:bodyDiv w:val="1"/>
      <w:marLeft w:val="0"/>
      <w:marRight w:val="0"/>
      <w:marTop w:val="0"/>
      <w:marBottom w:val="0"/>
      <w:divBdr>
        <w:top w:val="none" w:sz="0" w:space="0" w:color="auto"/>
        <w:left w:val="none" w:sz="0" w:space="0" w:color="auto"/>
        <w:bottom w:val="none" w:sz="0" w:space="0" w:color="auto"/>
        <w:right w:val="none" w:sz="0" w:space="0" w:color="auto"/>
      </w:divBdr>
    </w:div>
    <w:div w:id="1705859392">
      <w:bodyDiv w:val="1"/>
      <w:marLeft w:val="0"/>
      <w:marRight w:val="0"/>
      <w:marTop w:val="0"/>
      <w:marBottom w:val="0"/>
      <w:divBdr>
        <w:top w:val="none" w:sz="0" w:space="0" w:color="auto"/>
        <w:left w:val="none" w:sz="0" w:space="0" w:color="auto"/>
        <w:bottom w:val="none" w:sz="0" w:space="0" w:color="auto"/>
        <w:right w:val="none" w:sz="0" w:space="0" w:color="auto"/>
      </w:divBdr>
    </w:div>
    <w:div w:id="1714423831">
      <w:bodyDiv w:val="1"/>
      <w:marLeft w:val="0"/>
      <w:marRight w:val="0"/>
      <w:marTop w:val="0"/>
      <w:marBottom w:val="0"/>
      <w:divBdr>
        <w:top w:val="none" w:sz="0" w:space="0" w:color="auto"/>
        <w:left w:val="none" w:sz="0" w:space="0" w:color="auto"/>
        <w:bottom w:val="none" w:sz="0" w:space="0" w:color="auto"/>
        <w:right w:val="none" w:sz="0" w:space="0" w:color="auto"/>
      </w:divBdr>
    </w:div>
    <w:div w:id="1723939683">
      <w:bodyDiv w:val="1"/>
      <w:marLeft w:val="0"/>
      <w:marRight w:val="0"/>
      <w:marTop w:val="0"/>
      <w:marBottom w:val="0"/>
      <w:divBdr>
        <w:top w:val="none" w:sz="0" w:space="0" w:color="auto"/>
        <w:left w:val="none" w:sz="0" w:space="0" w:color="auto"/>
        <w:bottom w:val="none" w:sz="0" w:space="0" w:color="auto"/>
        <w:right w:val="none" w:sz="0" w:space="0" w:color="auto"/>
      </w:divBdr>
    </w:div>
    <w:div w:id="1817606053">
      <w:bodyDiv w:val="1"/>
      <w:marLeft w:val="0"/>
      <w:marRight w:val="0"/>
      <w:marTop w:val="0"/>
      <w:marBottom w:val="0"/>
      <w:divBdr>
        <w:top w:val="none" w:sz="0" w:space="0" w:color="auto"/>
        <w:left w:val="none" w:sz="0" w:space="0" w:color="auto"/>
        <w:bottom w:val="none" w:sz="0" w:space="0" w:color="auto"/>
        <w:right w:val="none" w:sz="0" w:space="0" w:color="auto"/>
      </w:divBdr>
    </w:div>
    <w:div w:id="1861503273">
      <w:bodyDiv w:val="1"/>
      <w:marLeft w:val="0"/>
      <w:marRight w:val="0"/>
      <w:marTop w:val="0"/>
      <w:marBottom w:val="0"/>
      <w:divBdr>
        <w:top w:val="none" w:sz="0" w:space="0" w:color="auto"/>
        <w:left w:val="none" w:sz="0" w:space="0" w:color="auto"/>
        <w:bottom w:val="none" w:sz="0" w:space="0" w:color="auto"/>
        <w:right w:val="none" w:sz="0" w:space="0" w:color="auto"/>
      </w:divBdr>
    </w:div>
    <w:div w:id="1939681564">
      <w:bodyDiv w:val="1"/>
      <w:marLeft w:val="0"/>
      <w:marRight w:val="0"/>
      <w:marTop w:val="0"/>
      <w:marBottom w:val="0"/>
      <w:divBdr>
        <w:top w:val="none" w:sz="0" w:space="0" w:color="auto"/>
        <w:left w:val="none" w:sz="0" w:space="0" w:color="auto"/>
        <w:bottom w:val="none" w:sz="0" w:space="0" w:color="auto"/>
        <w:right w:val="none" w:sz="0" w:space="0" w:color="auto"/>
      </w:divBdr>
    </w:div>
    <w:div w:id="194945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notion.so/286f57b4e72f80118816ff4385350a98" TargetMode="External"/><Relationship Id="rId14" Type="http://schemas.openxmlformats.org/officeDocument/2006/relationships/hyperlink" Target="https://github.com/Fargaly/baboom-bim-standard/blob/main/04-DOCUMENTS/BBM-STD-53-PIR-V0.2.docx" TargetMode="External"/><Relationship Id="rId15" Type="http://schemas.openxmlformats.org/officeDocument/2006/relationships/hyperlink" Target="https://www.iso.org/standard/68078.html" TargetMode="External"/><Relationship Id="rId16" Type="http://schemas.openxmlformats.org/officeDocument/2006/relationships/hyperlink" Target="https://www.iso.org/standard/68080.html" TargetMode="External"/><Relationship Id="rId17" Type="http://schemas.openxmlformats.org/officeDocument/2006/relationships/hyperlink" Target="https://www.ukbimframework.org/wp-content/uploads/2021/02/Guidance-Part-D_Developing-information-requirements_Edition-2.pdf" TargetMode="External"/><Relationship Id="rId18" Type="http://schemas.openxmlformats.org/officeDocument/2006/relationships/hyperlink" Target="https://ukbimframework.org/resources/" TargetMode="External"/><Relationship Id="rId19" Type="http://schemas.openxmlformats.org/officeDocument/2006/relationships/hyperlink" Target="https://dmpmedia.dm.gov.ae/uploads/2023/10/&#1578;&#1593;&#1605;&#1610;&#1605;-BIM-9-1-2.pdf" TargetMode="External"/><Relationship Id="rId20" Type="http://schemas.openxmlformats.org/officeDocument/2006/relationships/hyperlink" Target="https://www.dm.gov.ae/wp-content/uploads/2026/02/Circular-9-1-3.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21</Pages>
  <Words>4872</Words>
  <Characters>27773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GLOSSARY</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dc:title>
  <dc:subject>Bep</dc:subject>
  <dc:creator>Fargaly</dc:creator>
  <cp:keywords/>
  <dc:description/>
  <cp:lastModifiedBy>Fargaly</cp:lastModifiedBy>
  <cp:revision>20</cp:revision>
  <dcterms:created xsi:type="dcterms:W3CDTF">2024-11-06T10:52:00Z</dcterms:created>
  <dcterms:modified xsi:type="dcterms:W3CDTF">2025-10-21T13:40:00Z</dcterms:modified>
</cp:coreProperties>
</file>