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Jurisdiction codes and authority submission register</w:t>
      </w:r>
    </w:p>
    <w:p>
      <w:pPr/>
      <w:r>
        <w:t xml:space="preserve">Linked copies: ID STD-57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BBM-STD-57-CODES_AND_SUBMISSIONS-V0.3 | Office standard | 5 November 2026 | V0.3 | Private controlled WIP draft for office review and adoption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815"/>
        <w:gridCol w:w="1074"/>
        <w:gridCol w:w="8577"/>
      </w:tblGrid>
      <w:tr>
        <w:trPr>
          <w:cantSplit/>
          <w:tblHeader/>
        </w:trPr>
        <w:tc>
          <w:tcPr>
            <w:tcW w:type="dxa" w:w="81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07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57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815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074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2026-10-16</w:t>
            </w:r>
          </w:p>
        </w:tc>
        <w:tc>
          <w:tcPr>
            <w:tcW w:type="dxa" w:w="8577"/>
          </w:tcPr>
          <w:p>
            <w:r>
              <w:rPr>
                <w:sz w:val="17"/>
              </w:rPr>
            </w:r>
            <w:r>
              <w:rPr>
                <w:sz w:val="17"/>
              </w:rPr>
              <w:t>First controlled draft</w:t>
            </w:r>
          </w:p>
        </w:tc>
      </w:tr>
      <w:tr>
        <w:trPr>
          <w:cantSplit/>
        </w:trPr>
        <w:tc>
          <w:tcPr>
            <w:tcW w:type="dxa" w:w="815"/>
          </w:tcPr>
          <w:p>
            <w:r>
              <w:rPr>
                <w:sz w:val="17"/>
              </w:rPr>
            </w:r>
            <w:r>
              <w:rPr>
                <w:sz w:val="17"/>
              </w:rPr>
              <w:t>V0.3</w:t>
            </w:r>
          </w:p>
        </w:tc>
        <w:tc>
          <w:tcPr>
            <w:tcW w:type="dxa" w:w="1074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2026-11-05</w:t>
            </w:r>
          </w:p>
        </w:tc>
        <w:tc>
          <w:tcPr>
            <w:tcW w:type="dxa" w:w="8577"/>
          </w:tcPr>
          <w:p>
            <w:r>
              <w:rPr>
                <w:sz w:val="17"/>
              </w:rPr>
            </w:r>
            <w:r>
              <w:rPr>
                <w:sz w:val="17"/>
              </w:rPr>
              <w:t>Standard watch no. 1 (RES-017): §2 instrument row ED-DM-11-9-1, DM circular 11-9-1 of 2026 applying Dubai Law No. 3 of 2026 (</w:t>
            </w:r>
            <w:r>
              <w:rPr>
                <w:color w:val="9A7B45"/>
                <w:sz w:val="17"/>
                <w:u w:val="single"/>
              </w:rPr>
              <w:t>O-DEC-185</w:t>
            </w:r>
            <w:r>
              <w:rPr>
                <w:sz w:val="17"/>
              </w:rPr>
              <w:t>); R7 cites the circular</w:t>
            </w:r>
          </w:p>
        </w:tc>
      </w:tr>
      <w:tr>
        <w:trPr/>
        <w:tc>
          <w:tcPr>
            <w:tcW w:type="dxa" w:w="815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074"/>
          </w:tcPr>
          <w:p>
            <w:r>
              <w:rPr>
                <w:sz w:val="17"/>
              </w:rPr>
            </w:r>
            <w:r>
              <w:rPr>
                <w:sz w:val="17"/>
              </w:rPr>
              <w:t>2026-11-04</w:t>
            </w:r>
          </w:p>
        </w:tc>
        <w:tc>
          <w:tcPr>
            <w:tcW w:type="dxa" w:w="8577"/>
          </w:tcPr>
          <w:p>
            <w:r>
              <w:rPr>
                <w:sz w:val="17"/>
              </w:rPr>
            </w:r>
            <w:r>
              <w:rPr>
                <w:sz w:val="17"/>
              </w:rPr>
              <w:t>Audit res-026 closure: G172 DM BIM circulars and permit threshold test; G173 DBC + AR 225/​2024 and Dubai Law 3/​2026 rows; G174 UAE FLS 2018 profile; G175 Estidama and Al Sa'fat statutory minimums; G176 ADM BIM CoP, Object Catalogue, ADIBC rows; G177 further authority profile rows; G178 codes library path via BBM-STD-51, 04-REFERENCES rename; G179 monthly circular watch; editions now cited by BBM-STD-51 §3 IDs (O-DEC-111); detail in BBM-STD-85 + cross-doc pointer pass + template alignment (O-DEC-142..148) + folder names without dots (O-DEC-149)</w:t>
            </w:r>
          </w:p>
        </w:tc>
      </w:tr>
    </w:tbl>
    <w:p/>
    <w:p>
      <w:pPr>
        <w:pStyle w:val="Heading1"/>
      </w:pPr>
      <w:r>
        <w:t>1 Purpose and source ownership</w:t>
      </w:r>
    </w:p>
    <w:p>
      <w:pPr/>
      <w:r>
        <w:t>Determine the actual project jurisdiction and applicable instruments before setting design criteria or releasing a submission. Maintain one code/applicability register and one linked submission/dependency register. This pack covers SG-022 and SG-023. The design director owns the applicability decision with competent specialists; the authority liaison maintains service/checklist evidence. No library entry, BIM model or information-acceptance record is a permit.</w:t>
      </w:r>
    </w:p>
    <w:p>
      <w:pPr/>
      <w:r>
        <w:t xml:space="preserve">Use </w:t>
      </w:r>
      <w:r>
        <w:rPr>
          <w:color w:val="9A7B45"/>
          <w:u w:val="single"/>
        </w:rPr>
        <w:t>BBM-STD-51</w:t>
      </w:r>
      <w:r>
        <w:t xml:space="preserve"> §3 as the one edition register (O-DEC-111), rights and controlled identity, </w:t>
      </w:r>
      <w:r>
        <w:rPr>
          <w:color w:val="9A7B45"/>
          <w:u w:val="single"/>
        </w:rPr>
        <w:t>BBM-STD-85</w:t>
      </w:r>
      <w:r>
        <w:t xml:space="preserve"> for UAE authority requirement detail and submission steps, and </w:t>
      </w:r>
      <w:r>
        <w:rPr>
          <w:color w:val="9A7B45"/>
          <w:u w:val="single"/>
        </w:rPr>
        <w:t>BBM-STD-55</w:t>
      </w:r>
      <w:r>
        <w:t xml:space="preserve"> for scoped appointments, including the consultant of record and authority portal submitter. The </w:t>
      </w:r>
      <w:r>
        <w:rPr>
          <w:color w:val="9A7B45"/>
          <w:u w:val="single"/>
        </w:rPr>
        <w:t>editable registers</w:t>
      </w:r>
      <w:r>
        <w:t xml:space="preserve"> provide blank tables, a fictional SYN-P001 example, change records and adverse release cases. Actual site, appointments, code clauses and authority confirmations are project activation inputs.</w:t>
      </w:r>
    </w:p>
    <w:p>
      <w:pPr/>
      <w:r>
        <w:t xml:space="preserve">The shared codes library index is READ-ONLY. Its current location is held once, as the codes-library asset row in the BBM-STD-51 Master index; at 4 November 2026 the path is </w:t>
      </w:r>
      <w:r>
        <w:rPr>
          <w:rFonts w:ascii="JetBrains Mono" w:hAnsi="JetBrains Mono"/>
        </w:rPr>
        <w:t>BABOOM-BIM-STANDARD\02-LIBRARIES\04-REFERENCES\00-CODES-AND-REGULATIONS\CODES-INDEX.csv</w:t>
      </w:r>
      <w:r>
        <w:t xml:space="preserve"> (share folders renamed 2026-11-04). Cite the register row, not a hard-coded path. Link to its row, edition and evidence; do not create a competing library index or write to the share. Its header and first DMT building/energy-code records were read on 16 October 2026. A downloaded file and recorded hash prove library identity, not current legal adoption or site applicability.</w:t>
      </w:r>
    </w:p>
    <w:p>
      <w:pPr>
        <w:pStyle w:val="Heading1"/>
      </w:pPr>
      <w:r>
        <w:t>2 Project jurisdiction and applicability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275"/>
        <w:gridCol w:w="9191"/>
      </w:tblGrid>
      <w:tr>
        <w:trPr>
          <w:cantSplit/>
          <w:tblHeader/>
        </w:trPr>
        <w:tc>
          <w:tcPr>
            <w:tcW w:type="dxa" w:w="127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Record</w:t>
            </w:r>
          </w:p>
        </w:tc>
        <w:tc>
          <w:tcPr>
            <w:tcW w:type="dxa" w:w="919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project entry</w:t>
            </w:r>
          </w:p>
        </w:tc>
      </w:tr>
      <w:tr>
        <w:trPr>
          <w:cantSplit/>
        </w:trPr>
        <w:tc>
          <w:tcPr>
            <w:tcW w:type="dxa" w:w="1275"/>
          </w:tcPr>
          <w:p>
            <w:r>
              <w:rPr>
                <w:sz w:val="17"/>
              </w:rPr>
            </w:r>
            <w:r>
              <w:rPr>
                <w:sz w:val="17"/>
              </w:rPr>
              <w:t>Project and land</w:t>
            </w:r>
          </w:p>
        </w:tc>
        <w:tc>
          <w:tcPr>
            <w:tcW w:type="dxa" w:w="9191"/>
          </w:tcPr>
          <w:p>
            <w:r>
              <w:rPr>
                <w:sz w:val="17"/>
              </w:rPr>
            </w:r>
            <w:r>
              <w:rPr>
                <w:sz w:val="17"/>
              </w:rPr>
              <w:t>ProjectID, plot/​site-plan ID and revision, emirate, municipality, master-development/​free-zone boundary and permitted use</w:t>
            </w:r>
          </w:p>
        </w:tc>
      </w:tr>
      <w:tr>
        <w:trPr>
          <w:cantSplit/>
        </w:trPr>
        <w:tc>
          <w:tcPr>
            <w:tcW w:type="dxa" w:w="1275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Authorities</w:t>
            </w:r>
          </w:p>
        </w:tc>
        <w:tc>
          <w:tcPr>
            <w:tcW w:type="dxa" w:w="9191"/>
          </w:tcPr>
          <w:p>
            <w:r>
              <w:rPr>
                <w:sz w:val="17"/>
              </w:rPr>
            </w:r>
            <w:r>
              <w:rPr>
                <w:sz w:val="17"/>
              </w:rPr>
              <w:t>Planning/​building-permit authority, fire authority, infrastructure/​service/​NOC authorities and competent liaison functions</w:t>
            </w:r>
          </w:p>
        </w:tc>
      </w:tr>
      <w:tr>
        <w:trPr>
          <w:cantSplit/>
        </w:trPr>
        <w:tc>
          <w:tcPr>
            <w:tcW w:type="dxa" w:w="1275"/>
          </w:tcPr>
          <w:p>
            <w:r>
              <w:rPr>
                <w:sz w:val="17"/>
              </w:rPr>
            </w:r>
            <w:r>
              <w:rPr>
                <w:sz w:val="17"/>
              </w:rPr>
              <w:t>Scope</w:t>
            </w:r>
          </w:p>
        </w:tc>
        <w:tc>
          <w:tcPr>
            <w:tcW w:type="dxa" w:w="9191"/>
          </w:tcPr>
          <w:p>
            <w:r>
              <w:rPr>
                <w:sz w:val="17"/>
              </w:rPr>
            </w:r>
            <w:r>
              <w:rPr>
                <w:sz w:val="17"/>
              </w:rPr>
              <w:t>New/​existing/​alteration/​fit-out/​infrastructure, occupancy, phases, appointment discipline scope and relevant exclusions</w:t>
            </w:r>
          </w:p>
        </w:tc>
      </w:tr>
      <w:tr>
        <w:trPr>
          <w:cantSplit/>
        </w:trPr>
        <w:tc>
          <w:tcPr>
            <w:tcW w:type="dxa" w:w="1275"/>
          </w:tcPr>
          <w:p>
            <w:r>
              <w:rPr>
                <w:sz w:val="17"/>
              </w:rPr>
            </w:r>
            <w:r>
              <w:rPr>
                <w:sz w:val="17"/>
              </w:rPr>
              <w:t>Instruments</w:t>
            </w:r>
          </w:p>
        </w:tc>
        <w:tc>
          <w:tcPr>
            <w:tcW w:type="dxa" w:w="9191"/>
          </w:tcPr>
          <w:p>
            <w:r>
              <w:rPr>
                <w:sz w:val="17"/>
              </w:rPr>
            </w:r>
            <w:r>
              <w:rPr>
                <w:sz w:val="17"/>
              </w:rPr>
              <w:t>Applicable law, planning conditions, building/​fire/​accessibility/​environmental codes, rating/​permit instruments and actual adoption basis</w:t>
            </w:r>
          </w:p>
        </w:tc>
      </w:tr>
      <w:tr>
        <w:trPr>
          <w:cantSplit/>
        </w:trPr>
        <w:tc>
          <w:tcPr>
            <w:tcW w:type="dxa" w:w="1275"/>
          </w:tcPr>
          <w:p>
            <w:r>
              <w:rPr>
                <w:sz w:val="17"/>
              </w:rPr>
            </w:r>
            <w:r>
              <w:rPr>
                <w:sz w:val="17"/>
              </w:rPr>
              <w:t>Evidence</w:t>
            </w:r>
          </w:p>
        </w:tc>
        <w:tc>
          <w:tcPr>
            <w:tcW w:type="dxa" w:w="9191"/>
          </w:tcPr>
          <w:p>
            <w:r>
              <w:rPr>
                <w:sz w:val="17"/>
              </w:rPr>
            </w:r>
            <w:r>
              <w:rPr>
                <w:sz w:val="17"/>
              </w:rPr>
              <w:t>Controlled official source, edition, clause, effective date, applicability reasoning, specialist decision, verification date and clarification status</w:t>
            </w:r>
          </w:p>
        </w:tc>
      </w:tr>
    </w:tbl>
    <w:p/>
    <w:p>
      <w:pPr/>
      <w:r>
        <w:t>The InstrumentID is the BBM-STD-51 §3 register ID (for example ED-DBC); this register does not keep its own edition list (O-DEC-111). The Codes table records InstrumentID, jurisdiction/authority, title/edition, clause or service-checklist item, scope, effective and verification dates, official source URL, library row/path/hash where available, specialist, approval/clarification status and affected BoD criterion/submission IDs. Unknown applicability stays Unverified. Record a reason and authority for N/A; silence does not mean exemption. National/international publications, local adoption instruments and project planning conditions are separate records.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052"/>
        <w:gridCol w:w="4468"/>
        <w:gridCol w:w="3844"/>
        <w:gridCol w:w="1102"/>
      </w:tblGrid>
      <w:tr>
        <w:trPr>
          <w:cantSplit/>
          <w:tblHeader/>
        </w:trPr>
        <w:tc>
          <w:tcPr>
            <w:tcW w:type="dxa" w:w="105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Instrument (BBM-STD-51 ID)</w:t>
            </w:r>
          </w:p>
        </w:tc>
        <w:tc>
          <w:tcPr>
            <w:tcW w:type="dxa" w:w="446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Edition fact (from the register)</w:t>
            </w:r>
          </w:p>
        </w:tc>
        <w:tc>
          <w:tcPr>
            <w:tcW w:type="dxa" w:w="384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Applies to</w:t>
            </w:r>
          </w:p>
        </w:tc>
        <w:tc>
          <w:tcPr>
            <w:tcW w:type="dxa" w:w="110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Detail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ED-DBC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Building Code (Decree 45/​2021) as amended by DM Administrative Resolution No. 225 of 2024 (13 Aug 2024); apply the DBC plus all DM amending resolutions in force at permit submission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buildings under DM permitting; BoD criteria citing the DBC link here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BBM-STD-85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ED-DXB-LAW-3-2026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Law No. 3 of 2026 on the Quality and Safety of Buildings (emirate law), issued 27 Feb 2026, in force 60 days after Official Gazette publication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Existing Dubai buildings: Quality &amp; Safety Certificate after 20 years from completion, valid 10 years (5 years if 40+ years); an asset-life obligation, not a design-permit rule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BBM-STD-75, 76, 85</w:t>
            </w:r>
          </w:p>
        </w:tc>
      </w:tr>
      <w:tr>
        <w:trPr/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ED-DM-11-9-1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DM circular (11-9-1) of 2026, 1 Oct 2026, applying ED-DXB-LAW-3-2026, with guidance manual 11-9-1-1 (May 2026)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Existing Dubai buildings 20 or more years from completion, on DM notice: Building Quality and Safety Certificate after an appointed engineering office's assessment against the DM technical checklist; valid 10 years (under 40 years) or 5 years (40+); renewal in the last 90 days before expiry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color w:val="9A7B45"/>
                <w:sz w:val="17"/>
                <w:u w:val="single"/>
              </w:rPr>
              <w:t>BBM-STD-75</w:t>
            </w:r>
            <w:r>
              <w:rPr>
                <w:sz w:val="17"/>
              </w:rPr>
              <w:t xml:space="preserve"> §7, </w:t>
            </w:r>
            <w:r>
              <w:rPr>
                <w:color w:val="9A7B45"/>
                <w:sz w:val="17"/>
                <w:u w:val="single"/>
              </w:rPr>
              <w:t>BBM-STD-85</w:t>
            </w:r>
            <w:r>
              <w:rPr>
                <w:sz w:val="17"/>
              </w:rPr>
              <w:t xml:space="preserve"> §4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ED-UAE-FLS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UAE Fire &amp; Life Safety Code of Practice, September 2018 edition, plus the emirate authority's amendments current at project start, recorded in the BEP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All UAE projects; Fire_Rating per O-DEC-119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BBM-STD-85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ED-ADIBC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The ADIBC edition published by DMT and in force at project start (2013 edition at 2026-11-04)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Abu Dhabi buildings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BBM-STD-85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ED-ESTIDAMA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Estidama Pearl: private projects minimum 1 Pearl; government-funded minimum 2 Pearl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Abu Dhabi building permits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BBM-STD-81, 85</w:t>
            </w:r>
          </w:p>
        </w:tc>
      </w:tr>
      <w:tr>
        <w:trPr>
          <w:cantSplit/>
        </w:trPr>
        <w:tc>
          <w:tcPr>
            <w:tcW w:type="dxa" w:w="1052"/>
          </w:tcPr>
          <w:p>
            <w:r>
              <w:rPr>
                <w:sz w:val="17"/>
              </w:rPr>
            </w:r>
            <w:r>
              <w:rPr>
                <w:sz w:val="17"/>
              </w:rPr>
              <w:t>ED-ALSAFAT</w:t>
            </w:r>
          </w:p>
        </w:tc>
        <w:tc>
          <w:tcPr>
            <w:tcW w:type="dxa" w:w="4468"/>
          </w:tcPr>
          <w:p>
            <w:r>
              <w:rPr>
                <w:sz w:val="17"/>
              </w:rPr>
            </w:r>
            <w:r>
              <w:rPr>
                <w:sz w:val="17"/>
              </w:rPr>
              <w:t>Al Sa'fat 2nd edition (Jan 2023): Silver Sa'fa mandatory for all new buildings in Dubai</w:t>
            </w:r>
          </w:p>
        </w:tc>
        <w:tc>
          <w:tcPr>
            <w:tcW w:type="dxa" w:w="3844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new buildings</w:t>
            </w:r>
          </w:p>
        </w:tc>
        <w:tc>
          <w:tcPr>
            <w:tcW w:type="dxa" w:w="1102"/>
          </w:tcPr>
          <w:p>
            <w:r>
              <w:rPr>
                <w:sz w:val="17"/>
              </w:rPr>
            </w:r>
            <w:r>
              <w:rPr>
                <w:sz w:val="17"/>
              </w:rPr>
              <w:t>BBM-STD-81, 85</w:t>
            </w:r>
          </w:p>
        </w:tc>
      </w:tr>
    </w:tbl>
    <w:p/>
    <w:p>
      <w:pPr/>
      <w:r>
        <w:t>The rating rows are statutory minimums, not optional targets. Record the required level, submission stage and evidence for each in the project register; the higher of the statutory minimum and any client target applies.</w:t>
      </w:r>
    </w:p>
    <w:p>
      <w:pPr/>
      <w:r>
        <w:t>Applicable law and binding authority conditions cannot be waived by a client instruction or office standard. Contractual hierarchy is recorded by the actual commercial/legal owner. A technical team escalates conflicting instruments or an uncertain transition to the competent specialist/authority; it does not choose the more convenient edition. Preserve the previous project baseline and exact clarification receipt.</w:t>
      </w:r>
    </w:p>
    <w:p>
      <w:pPr>
        <w:pStyle w:val="Heading1"/>
      </w:pPr>
      <w:r>
        <w:t>3 Separate UAE authority profiles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604"/>
        <w:gridCol w:w="4728"/>
        <w:gridCol w:w="4133"/>
      </w:tblGrid>
      <w:tr>
        <w:trPr>
          <w:cantSplit/>
          <w:tblHeader/>
        </w:trPr>
        <w:tc>
          <w:tcPr>
            <w:tcW w:type="dxa" w:w="160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Profile</w:t>
            </w:r>
          </w:p>
        </w:tc>
        <w:tc>
          <w:tcPr>
            <w:tcW w:type="dxa" w:w="472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Researched source boundary</w:t>
            </w:r>
          </w:p>
        </w:tc>
        <w:tc>
          <w:tcPr>
            <w:tcW w:type="dxa" w:w="41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Project decision still required</w:t>
            </w:r>
          </w:p>
        </w:tc>
      </w:tr>
      <w:tr>
        <w:trPr/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Municipality /​ DM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BIM instruments (BBM-STD-51): circulars 196 (2013) and 207 (2015), historical (ED-DM-196-207); 9-1-1 of 2021 on applying BIM (ED-DM-9-1-1); 9-1-2 of 13 Oct 2023 (ED-DM-9-1-2): Open BIM per the Dubai BIM Standard from 1 Jan 2024 above 20 floors (ARC) /​ 40 floors (STR), 20,000 m² (ARC) /​ 30,000 m² (STR), specialised buildings and government projects; 9-1-3 of 15 Jan 2026, effective 1 Apr 2026 (ED-DM-9-1-3): ARC + STR BIM with the permit for new buildings above G+12 or 15,000 m² or more, listed alterations (add/​remove floors, +1,500 m² or more, full redesign, change of main use, relocation on plot) with the application, other alterations final BIM before the completion certificate; drawings extracted from the model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Threshold test record: storeys, built area, alteration type, building use → BIM permit Yes/​No with instrument IDs. Profile = the IFC schema, export setup and attribute matrix stated in the current Dubai BIM Standard (ED-DUBAI-BIM-STD), checked at project start and recorded in the BEP; openBIM IFC, zipped, within the portal upload limit; portal validation evidence retained. Exchange profile SYN-X-AUTH in BBM-STD-54; steps in BBM-STD-85</w:t>
            </w:r>
          </w:p>
        </w:tc>
      </w:tr>
      <w:tr>
        <w:trPr/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Abu Dhabi DMT /​ ADM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ADM BIM Code of Practice (Oct 2020; cover v1, headers v1.1), BIM Documentation Guidelines for Infrastructure v1.0 (Oct 2020) and Infrastructure BIM Object Catalogue v2.0 (May 2021) (ED-ADM-BIM); ADIBC (ED-ADIBC). The guidelines and catalogue are infrastructure documents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Establish whether the appointment/​project adopts them; do not apply them automatically to every building or other emirate. Record the CoP cover/​header revision discrepancy. No universal Abu Dhabi building-permit BIM threshold has been established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Abu Dhabi building permits /​ BINAA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DMT officially reports the BINAA construction-permitting platform and BIM/​AI integration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Confirm the actual current municipality service, project route, checklist, model/​schema and receiving capability; no universal building BIM threshold is inferred</w:t>
            </w:r>
          </w:p>
        </w:tc>
      </w:tr>
      <w:tr>
        <w:trPr/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Dubai Development Authority /​ DDA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Current Final Design Approval service places final design approval before building permit and lists project-specific supporting material; DDA Circular 400 Drawings Submission Standards, 29 Sep 2021 (ED-DDA-CIRC-400) sets A1 DWF, monochrome and discipline-tab/​sheet-naming conventions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Verify DDA jurisdiction/​site plan, the current service/​circulars and conditional NOCs; where the current service checklist differs from Circular 400, the checklist governs. Do not substitute a DM or ADM profile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Fit-out routes (DDA, DM, Civil Defence, Abu Dhabi)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Per project: each authority's current fit-out service; titles not confirmed from a primary source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Record authority, fit-out service URL, checklist revision and verification date per route before use (BBM-STD-62 §5 route table)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UAE Civil Defence /​ FLS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UAE Fire &amp; Life Safety Code of Practice, September 2018 edition (ED-UAE-FLS), plus emirate authority amendments current at project start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Approved fire consultant route, fire NOC dependency (DEP-…F), applicable amendments recorded in the BEP, verification date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Security systems (Dubai SIRA)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ED-SIRA: no primary source confirmed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Security-system drawings follow the current SIRA/​DM requirement for the plot, confirmed at permit stage; classified per BBM-STD-87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Other free-zone authorities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Per project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Record authority, current service URL, profile and verification date before use; do not substitute another authority's profile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Utilities (e.g. DEWA, ADDC, AADC)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Per project (ED-UTILITY-REGS)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Record utility, NOC service URL, profile and verification date; NOC dependency rows in section 4</w:t>
            </w:r>
          </w:p>
        </w:tc>
      </w:tr>
      <w:tr>
        <w:trPr>
          <w:cantSplit/>
        </w:trPr>
        <w:tc>
          <w:tcPr>
            <w:tcW w:type="dxa" w:w="1604"/>
          </w:tcPr>
          <w:p>
            <w:r>
              <w:rPr>
                <w:sz w:val="17"/>
              </w:rPr>
            </w:r>
            <w:r>
              <w:rPr>
                <w:sz w:val="17"/>
              </w:rPr>
              <w:t>Roads and transport authority</w:t>
            </w:r>
          </w:p>
        </w:tc>
        <w:tc>
          <w:tcPr>
            <w:tcW w:type="dxa" w:w="4728"/>
          </w:tcPr>
          <w:p>
            <w:r>
              <w:rPr>
                <w:sz w:val="17"/>
              </w:rPr>
            </w:r>
            <w:r>
              <w:rPr>
                <w:sz w:val="17"/>
              </w:rPr>
              <w:t>Per project</w:t>
            </w:r>
          </w:p>
        </w:tc>
        <w:tc>
          <w:tcPr>
            <w:tcW w:type="dxa" w:w="4133"/>
          </w:tcPr>
          <w:p>
            <w:r>
              <w:rPr>
                <w:sz w:val="17"/>
              </w:rPr>
            </w:r>
            <w:r>
              <w:rPr>
                <w:sz w:val="17"/>
              </w:rPr>
              <w:t>Record authority, NOC service URL, profile and verification date</w:t>
            </w:r>
          </w:p>
        </w:tc>
      </w:tr>
    </w:tbl>
    <w:p/>
    <w:p>
      <w:pPr/>
      <w:r>
        <w:t>The live DDA Final Design Approval page identifies architectural/structural/mechanical drawings, appointment evidence and technical supporting material, with conditional utility, traffic, fire and other NOCs. The workbook records these as a candidate package profile, not a universal nationwide checklist. Older static service cards differ from the current page; retain their dates and seek confirmation rather than merge them into an invented mandatory list. No authority processing duration, charge or project threshold is assumed here.</w:t>
      </w:r>
    </w:p>
    <w:p>
      <w:pPr>
        <w:pStyle w:val="Heading1"/>
      </w:pPr>
      <w:r>
        <w:t>4 Stage and submission dependency map</w:t>
      </w:r>
    </w:p>
    <w:p>
      <w:pPr/>
      <w:r>
        <w:t>SubmissionIDs use the series SUB-&lt;project&gt;-&lt;route&gt;&lt;nn&gt; (e.g. SUB-SYN-PER), the AuthoritySubmissionID the MIDP Exchanges table carries. Track each design approval, construction permission, inspection, connection, completion and occupancy decision as its own record, with authority/service, prerequisites, exact revisions, confirmed review-cycle source and gate (</w:t>
      </w:r>
      <w:r>
        <w:rPr>
          <w:color w:val="9A7B45"/>
          <w:u w:val="single"/>
        </w:rPr>
        <w:t>O-DEC-127</w:t>
      </w:r>
      <w:r>
        <w:t xml:space="preserve">). Maintain StageID, SubmissionID, InstrumentIDs, exact authority/service/profile revision, prerequisites, content list, NOC dependencies, producing/checking/authorising party, actual dates, receipt, comments, conditions, expiry and closure evidence. Separate planned, submitted, approved, conditionally approved, rejected and expired states, plus Unverified for an unconfirmed requirement; this set is canonical (O-DEC-110, </w:t>
      </w:r>
      <w:r>
        <w:rPr>
          <w:color w:val="9A7B45"/>
          <w:u w:val="single"/>
        </w:rPr>
        <w:t>O-DEC-140</w:t>
      </w:r>
      <w:r>
        <w:t xml:space="preserve">) and is listed once in </w:t>
      </w:r>
      <w:r>
        <w:rPr>
          <w:color w:val="9A7B45"/>
          <w:u w:val="single"/>
        </w:rPr>
        <w:t>BBM-STD-93</w:t>
      </w:r>
      <w:r>
        <w:t xml:space="preserve"> §7. "Not applicable" is an applicability decision and "Superseded" a record flag, not states. Store the real decision and its scope; an upload receipt proves submission only.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231"/>
        <w:gridCol w:w="5755"/>
        <w:gridCol w:w="3481"/>
      </w:tblGrid>
      <w:tr>
        <w:trPr>
          <w:cantSplit/>
          <w:tblHeader/>
        </w:trPr>
        <w:tc>
          <w:tcPr>
            <w:tcW w:type="dxa" w:w="123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Gate</w:t>
            </w:r>
          </w:p>
        </w:tc>
        <w:tc>
          <w:tcPr>
            <w:tcW w:type="dxa" w:w="575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Candidate contents and prerequisites</w:t>
            </w:r>
          </w:p>
        </w:tc>
        <w:tc>
          <w:tcPr>
            <w:tcW w:type="dxa" w:w="348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Release decision</w:t>
            </w:r>
          </w:p>
        </w:tc>
      </w:tr>
      <w:tr>
        <w:trPr>
          <w:cantSplit/>
        </w:trPr>
        <w:tc>
          <w:tcPr>
            <w:tcW w:type="dxa" w:w="1231"/>
          </w:tcPr>
          <w:p>
            <w:r>
              <w:rPr>
                <w:sz w:val="17"/>
              </w:rPr>
            </w:r>
            <w:r>
              <w:rPr>
                <w:sz w:val="17"/>
              </w:rPr>
              <w:t>Concept /​ planning</w:t>
            </w:r>
          </w:p>
        </w:tc>
        <w:tc>
          <w:tcPr>
            <w:tcW w:type="dxa" w:w="5755"/>
          </w:tcPr>
          <w:p>
            <w:r>
              <w:rPr>
                <w:sz w:val="17"/>
              </w:rPr>
            </w:r>
            <w:r>
              <w:rPr>
                <w:sz w:val="17"/>
              </w:rPr>
              <w:t>Current plot/​site plan, permitted-use/​planning baseline, design brief/​options and the authority's actual concept service requirements</w:t>
            </w:r>
          </w:p>
        </w:tc>
        <w:tc>
          <w:tcPr>
            <w:tcW w:type="dxa" w:w="3481"/>
          </w:tcPr>
          <w:p>
            <w:r>
              <w:rPr>
                <w:sz w:val="17"/>
              </w:rPr>
            </w:r>
            <w:r>
              <w:rPr>
                <w:sz w:val="17"/>
              </w:rPr>
              <w:t>Project authority liaison verifies the route and concept decision; stage name alone is not consent</w:t>
            </w:r>
          </w:p>
        </w:tc>
      </w:tr>
      <w:tr>
        <w:trPr>
          <w:cantSplit/>
        </w:trPr>
        <w:tc>
          <w:tcPr>
            <w:tcW w:type="dxa" w:w="1231"/>
          </w:tcPr>
          <w:p>
            <w:r>
              <w:rPr>
                <w:sz w:val="17"/>
              </w:rPr>
            </w:r>
            <w:r>
              <w:rPr>
                <w:sz w:val="17"/>
              </w:rPr>
              <w:t>Permit /​ final design</w:t>
            </w:r>
          </w:p>
        </w:tc>
        <w:tc>
          <w:tcPr>
            <w:tcW w:type="dxa" w:w="5755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drawings/​models/​calculations and reports, including the BIM model where ED-DM-9-1-2 /​ ED-DM-9-1-3 apply (drawings extracted from the model); scoped consultant appointments; current service checklist; applicable NOCs and prior design approvals</w:t>
            </w:r>
          </w:p>
        </w:tc>
        <w:tc>
          <w:tcPr>
            <w:tcW w:type="dxa" w:w="3481"/>
          </w:tcPr>
          <w:p>
            <w:r>
              <w:rPr>
                <w:sz w:val="17"/>
              </w:rPr>
            </w:r>
            <w:r>
              <w:rPr>
                <w:sz w:val="17"/>
              </w:rPr>
              <w:t>All applicable prerequisite conditions and package-profile checks complete; statutory decision remains with authority</w:t>
            </w:r>
          </w:p>
        </w:tc>
      </w:tr>
      <w:tr>
        <w:trPr>
          <w:cantSplit/>
        </w:trPr>
        <w:tc>
          <w:tcPr>
            <w:tcW w:type="dxa" w:w="1231"/>
          </w:tcPr>
          <w:p>
            <w:r>
              <w:rPr>
                <w:sz w:val="17"/>
              </w:rPr>
            </w:r>
            <w:r>
              <w:rPr>
                <w:sz w:val="17"/>
              </w:rPr>
              <w:t>Construction activity</w:t>
            </w:r>
          </w:p>
        </w:tc>
        <w:tc>
          <w:tcPr>
            <w:tcW w:type="dxa" w:w="5755"/>
          </w:tcPr>
          <w:p>
            <w:r>
              <w:rPr>
                <w:sz w:val="17"/>
              </w:rPr>
            </w:r>
            <w:r>
              <w:rPr>
                <w:sz w:val="17"/>
              </w:rPr>
              <w:t>Valid permit for the exact activity/​phase, approved design revision, specialist/​deferred submissions, inspection/​NOC requirements and conditions</w:t>
            </w:r>
          </w:p>
        </w:tc>
        <w:tc>
          <w:tcPr>
            <w:tcW w:type="dxa" w:w="3481"/>
          </w:tcPr>
          <w:p>
            <w:r>
              <w:rPr>
                <w:sz w:val="17"/>
              </w:rPr>
            </w:r>
            <w:r>
              <w:rPr>
                <w:sz w:val="17"/>
              </w:rPr>
              <w:t>Competent project owner confirms permission for this activity; a permit for another scope is insufficient</w:t>
            </w:r>
          </w:p>
        </w:tc>
      </w:tr>
      <w:tr>
        <w:trPr/>
        <w:tc>
          <w:tcPr>
            <w:tcW w:type="dxa" w:w="1231"/>
          </w:tcPr>
          <w:p>
            <w:r>
              <w:rPr>
                <w:sz w:val="17"/>
              </w:rPr>
            </w:r>
            <w:r>
              <w:rPr>
                <w:sz w:val="17"/>
              </w:rPr>
              <w:t>Completion /​ operation</w:t>
            </w:r>
          </w:p>
        </w:tc>
        <w:tc>
          <w:tcPr>
            <w:tcW w:type="dxa" w:w="5755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Required inspections, as-built/​record information (final BIM before the completion certificate where ED-DM-9-1-3 requires it), tests/​certificates, service clearances and closed conditions under the actual service; Civil Defence /​ FLS records per the record group in BBM-STD-75 §4 and the authority route in </w:t>
            </w:r>
            <w:r>
              <w:rPr>
                <w:color w:val="9A7B45"/>
                <w:sz w:val="17"/>
                <w:u w:val="single"/>
              </w:rPr>
              <w:t>BBM-STD-85</w:t>
            </w:r>
            <w:r>
              <w:rPr>
                <w:sz w:val="17"/>
              </w:rPr>
              <w:t xml:space="preserve"> §5</w:t>
            </w:r>
          </w:p>
        </w:tc>
        <w:tc>
          <w:tcPr>
            <w:tcW w:type="dxa" w:w="3481"/>
          </w:tcPr>
          <w:p>
            <w:r>
              <w:rPr>
                <w:sz w:val="17"/>
              </w:rPr>
            </w:r>
            <w:r>
              <w:rPr>
                <w:sz w:val="17"/>
              </w:rPr>
              <w:t>Confirm actual completion/​occupation permissions; information handover acceptance does not confer occupation permission</w:t>
            </w:r>
          </w:p>
        </w:tc>
      </w:tr>
    </w:tbl>
    <w:p/>
    <w:p>
      <w:pPr/>
      <w:r>
        <w:t xml:space="preserve">These four office gate labels are mapping categories: the authority-gate family, mapped against the office stage gates (Manual §2.1) and the BoD gates G0–G5 (BBM-STD-12) in </w:t>
      </w:r>
      <w:r>
        <w:rPr>
          <w:color w:val="9A7B45"/>
          <w:u w:val="single"/>
        </w:rPr>
        <w:t>BBM-STD-93</w:t>
      </w:r>
      <w:r>
        <w:t xml:space="preserve"> (O-DEC-109). The approval state set in this section and §2 is the canonical approval status vocabulary; BBM-STD-12 C4 maps to it through BBM-STD-93 (O-DEC-110). They do not prescribe a nationwide statutory sequence or equate RIBA stages with permits. RIBA 0–7 remains the planning context in BBM-STD-12. Each authority's actual sequence and conditional dependencies take precedence.</w:t>
      </w:r>
    </w:p>
    <w:p>
      <w:pPr>
        <w:pStyle w:val="Heading2"/>
      </w:pPr>
      <w:r>
        <w:t>4.1 Fictional dependency example</w:t>
      </w:r>
    </w:p>
    <w:p>
      <w:pPr/>
      <w:r>
        <w:t>SYN-P001 is hypothetically inside DDA jurisdiction. Plot SYN-PLOT-001 and every candidate profile require confirmation. The selected fictional route is SUB-SYN-CON01 concept, then SUB-SYN-FD01 Final Design Approval, then SUB-SYN-PER01 building permit, then SUB-SYN-CONST01 scoped construction activity and SUB-SYN-COMP01 completion/operation permission. Final Design Approval is a design decision and never the building permit. Each record has its own candidate ProfileID and stage-specific MIDP row. None is submitted or approved; the concept predecessor is a scenario assumption requiring project-route confirmation.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718"/>
        <w:gridCol w:w="4285"/>
        <w:gridCol w:w="4463"/>
      </w:tblGrid>
      <w:tr>
        <w:trPr>
          <w:cantSplit/>
          <w:tblHeader/>
        </w:trPr>
        <w:tc>
          <w:tcPr>
            <w:tcW w:type="dxa" w:w="171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DependencyID</w:t>
            </w:r>
          </w:p>
        </w:tc>
        <w:tc>
          <w:tcPr>
            <w:tcW w:type="dxa" w:w="428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Fictional prerequisite</w:t>
            </w:r>
          </w:p>
        </w:tc>
        <w:tc>
          <w:tcPr>
            <w:tcW w:type="dxa" w:w="446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Owner and effect</w:t>
            </w:r>
          </w:p>
        </w:tc>
      </w:tr>
      <w:tr>
        <w:trPr>
          <w:cantSplit/>
        </w:trPr>
        <w:tc>
          <w:tcPr>
            <w:tcW w:type="dxa" w:w="1718"/>
          </w:tcPr>
          <w:p>
            <w:r>
              <w:rPr>
                <w:sz w:val="17"/>
              </w:rPr>
            </w:r>
            <w:r>
              <w:rPr>
                <w:sz w:val="17"/>
              </w:rPr>
              <w:t>DEP-SYN-00 /​ DEP-SYN-01</w:t>
            </w:r>
          </w:p>
        </w:tc>
        <w:tc>
          <w:tcPr>
            <w:tcW w:type="dxa" w:w="4285"/>
          </w:tcPr>
          <w:p>
            <w:r>
              <w:rPr>
                <w:sz w:val="17"/>
              </w:rPr>
            </w:r>
            <w:r>
              <w:rPr>
                <w:sz w:val="17"/>
              </w:rPr>
              <w:t>Concept decision and verified site-plan validity before SUB-SYN-FD01</w:t>
            </w:r>
          </w:p>
        </w:tc>
        <w:tc>
          <w:tcPr>
            <w:tcW w:type="dxa" w:w="4463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Authority liaison; affected submission Hold while unknown</w:t>
            </w:r>
          </w:p>
        </w:tc>
      </w:tr>
      <w:tr>
        <w:trPr>
          <w:cantSplit/>
        </w:trPr>
        <w:tc>
          <w:tcPr>
            <w:tcW w:type="dxa" w:w="1718"/>
          </w:tcPr>
          <w:p>
            <w:r>
              <w:rPr>
                <w:sz w:val="17"/>
              </w:rPr>
            </w:r>
            <w:r>
              <w:rPr>
                <w:sz w:val="17"/>
              </w:rPr>
              <w:t>DEP-SYN-02F /​ DEP-SYN-02U</w:t>
            </w:r>
          </w:p>
        </w:tc>
        <w:tc>
          <w:tcPr>
            <w:tcW w:type="dxa" w:w="4285"/>
          </w:tcPr>
          <w:p>
            <w:r>
              <w:rPr>
                <w:sz w:val="17"/>
              </w:rPr>
            </w:r>
            <w:r>
              <w:rPr>
                <w:sz w:val="17"/>
              </w:rPr>
              <w:t>Fire-design and utility NOC applicability/​receipt for SUB-SYN-FD01</w:t>
            </w:r>
          </w:p>
        </w:tc>
        <w:tc>
          <w:tcPr>
            <w:tcW w:type="dxa" w:w="4463"/>
          </w:tcPr>
          <w:p>
            <w:r>
              <w:rPr>
                <w:sz w:val="17"/>
              </w:rPr>
            </w:r>
            <w:r>
              <w:rPr>
                <w:sz w:val="17"/>
              </w:rPr>
              <w:t>Separate fire lead and utility liaison owners; conditional applicability requires evidence</w:t>
            </w:r>
          </w:p>
        </w:tc>
      </w:tr>
      <w:tr>
        <w:trPr>
          <w:cantSplit/>
        </w:trPr>
        <w:tc>
          <w:tcPr>
            <w:tcW w:type="dxa" w:w="1718"/>
          </w:tcPr>
          <w:p>
            <w:r>
              <w:rPr>
                <w:sz w:val="17"/>
              </w:rPr>
            </w:r>
            <w:r>
              <w:rPr>
                <w:sz w:val="17"/>
              </w:rPr>
              <w:t>DEP-SYN-05 /​ DEP-SYN-06</w:t>
            </w:r>
          </w:p>
        </w:tc>
        <w:tc>
          <w:tcPr>
            <w:tcW w:type="dxa" w:w="4285"/>
          </w:tcPr>
          <w:p>
            <w:r>
              <w:rPr>
                <w:sz w:val="17"/>
              </w:rPr>
            </w:r>
            <w:r>
              <w:rPr>
                <w:sz w:val="17"/>
              </w:rPr>
              <w:t>Actual Final Design Approval decision plus verified building-permit profile/​prerequisites before SUB-SYN-PER01</w:t>
            </w:r>
          </w:p>
        </w:tc>
        <w:tc>
          <w:tcPr>
            <w:tcW w:type="dxa" w:w="4463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Authority liaison; the current building-permit service/​profile remains unconfirmed</w:t>
            </w:r>
          </w:p>
        </w:tc>
      </w:tr>
      <w:tr>
        <w:trPr>
          <w:cantSplit/>
        </w:trPr>
        <w:tc>
          <w:tcPr>
            <w:tcW w:type="dxa" w:w="1718"/>
          </w:tcPr>
          <w:p>
            <w:r>
              <w:rPr>
                <w:sz w:val="17"/>
              </w:rPr>
            </w:r>
            <w:r>
              <w:rPr>
                <w:sz w:val="17"/>
              </w:rPr>
              <w:t>DEP-SYN-03</w:t>
            </w:r>
          </w:p>
        </w:tc>
        <w:tc>
          <w:tcPr>
            <w:tcW w:type="dxa" w:w="4285"/>
          </w:tcPr>
          <w:p>
            <w:r>
              <w:rPr>
                <w:sz w:val="17"/>
              </w:rPr>
            </w:r>
            <w:r>
              <w:rPr>
                <w:sz w:val="17"/>
              </w:rPr>
              <w:t>SUB-SYN-PER01 valid permit and conditions for SUB-SYN-CONST01</w:t>
            </w:r>
          </w:p>
        </w:tc>
        <w:tc>
          <w:tcPr>
            <w:tcW w:type="dxa" w:w="4463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Authorised construction decision owner; information acceptance cannot close this dependency</w:t>
            </w:r>
          </w:p>
        </w:tc>
      </w:tr>
      <w:tr>
        <w:trPr>
          <w:cantSplit/>
        </w:trPr>
        <w:tc>
          <w:tcPr>
            <w:tcW w:type="dxa" w:w="1718"/>
          </w:tcPr>
          <w:p>
            <w:r>
              <w:rPr>
                <w:sz w:val="17"/>
              </w:rPr>
            </w:r>
            <w:r>
              <w:rPr>
                <w:sz w:val="17"/>
              </w:rPr>
              <w:t>DEP-SYN-04</w:t>
            </w:r>
          </w:p>
        </w:tc>
        <w:tc>
          <w:tcPr>
            <w:tcW w:type="dxa" w:w="4285"/>
          </w:tcPr>
          <w:p>
            <w:r>
              <w:rPr>
                <w:sz w:val="17"/>
              </w:rPr>
            </w:r>
            <w:r>
              <w:rPr>
                <w:sz w:val="17"/>
              </w:rPr>
              <w:t>Required inspections/​certificates and conditions for SUB-SYN-COMP01</w:t>
            </w:r>
          </w:p>
        </w:tc>
        <w:tc>
          <w:tcPr>
            <w:tcW w:type="dxa" w:w="4463"/>
          </w:tcPr>
          <w:p>
            <w:r>
              <w:rPr>
                <w:sz w:val="17"/>
              </w:rPr>
            </w:r>
            <w:r>
              <w:rPr>
                <w:sz w:val="17"/>
              </w:rPr>
              <w:t>Completion liaison; record actual decision and permitted use separately</w:t>
            </w:r>
          </w:p>
        </w:tc>
      </w:tr>
    </w:tbl>
    <w:p/>
    <w:p>
      <w:pPr/>
      <w:r>
        <w:t>The example identifies dependency ownership without inventing an actual permit, statutory code value or authority assurance. Record the applicable profile's model format/schema, coordinate basis (BBM-STD-86 register key), property/checklist scope, drawing/signature requirements, any Arabic-language text requirement stated in the authority's current checklist (none is assumed; text rules in BBM-STD-66 §3), uploader eligibility and portal validation evidence before release. A filename extension is not a submission profile.</w:t>
      </w:r>
    </w:p>
    <w:p>
      <w:pPr>
        <w:pStyle w:val="Heading1"/>
      </w:pPr>
      <w:r>
        <w:t>5 BoD criteria and information exchanges</w:t>
      </w:r>
    </w:p>
    <w:p>
      <w:pPr/>
      <w:r>
        <w:rPr>
          <w:color w:val="9A7B45"/>
          <w:u w:val="single"/>
        </w:rPr>
        <w:t>BBM-STD-12 Basis of Design Report</w:t>
      </w:r>
      <w:r>
        <w:t xml:space="preserve"> and its </w:t>
      </w:r>
      <w:r>
        <w:rPr>
          <w:color w:val="9A7B45"/>
          <w:u w:val="single"/>
        </w:rPr>
        <w:t>approval/criteria workbook</w:t>
      </w:r>
      <w:r>
        <w:t xml:space="preserve"> retain the design-criterion and approval-tracker ownership. Do not copy their criterion values into a second technical source. This register controls applicability/source and submission profiles; the project BoD/workbook controls the linked criterion value, unit, method and evidence. Both records carry the same InstrumentID/source revision and ChangeID where changed.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305"/>
        <w:gridCol w:w="9161"/>
      </w:tblGrid>
      <w:tr>
        <w:trPr>
          <w:cantSplit/>
          <w:tblHeader/>
        </w:trPr>
        <w:tc>
          <w:tcPr>
            <w:tcW w:type="dxa" w:w="130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Trace field</w:t>
            </w:r>
          </w:p>
        </w:tc>
        <w:tc>
          <w:tcPr>
            <w:tcW w:type="dxa" w:w="916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Synthetic trace and validation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Criterion source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CR-SYN-001 → INS-SYN-DDA01, candidate final-design checklist; project criterion is submission readiness, not an invented engineering value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BoD record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SYN-BOD-001 R01 is a fictional project row to be populated under BBM-STD-12; no claim that the office master contains a real project approval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Exchange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EX-SYN-FD01 /​ DEL-SYN-FD01 /​ SUB-SYN-FD01; actual date and appointment-specific EIR to be allocated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Plan link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Fictional MIDP-SYN-STAGES01 row FD-01; other gates have their own CON-01, PER-01, ACT-01 and CMP-01 rows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Source and change join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Candidate source revision SYN-PROFILE-R01 and baseline CH-SYN-BASE01 join Codes, Profiles and Criterion trace. A proposed CH-SYN-CODE01 revision R02 stays pending until approved and propagated</w:t>
            </w:r>
          </w:p>
        </w:tc>
      </w:tr>
      <w:tr>
        <w:trPr>
          <w:cantSplit/>
        </w:trPr>
        <w:tc>
          <w:tcPr>
            <w:tcW w:type="dxa" w:w="1305"/>
          </w:tcPr>
          <w:p>
            <w:r>
              <w:rPr>
                <w:sz w:val="17"/>
              </w:rPr>
            </w:r>
            <w:r>
              <w:rPr>
                <w:sz w:val="17"/>
              </w:rPr>
              <w:t>Separate decisions</w:t>
            </w:r>
          </w:p>
        </w:tc>
        <w:tc>
          <w:tcPr>
            <w:tcW w:type="dxa" w:w="9161"/>
          </w:tcPr>
          <w:p>
            <w:r>
              <w:rPr>
                <w:sz w:val="17"/>
              </w:rPr>
            </w:r>
            <w:r>
              <w:rPr>
                <w:sz w:val="17"/>
              </w:rPr>
              <w:t>Technical package check; LAP submission authorisation; recipient information acceptance; authority statutory approval, each with its own actor/​date/​evidence</w:t>
            </w:r>
          </w:p>
        </w:tc>
      </w:tr>
    </w:tbl>
    <w:p/>
    <w:p>
      <w:pPr/>
      <w:r>
        <w:t>For a design change, the discipline specialist assesses all affected criteria, drawings/models, NOCs, permit conditions and dependent exchanges. The authority liaison obtains required clarification/resubmission; task leads and LAP propagate the same ChangeID through EIR/BEP/TIDP/MIDP. Do not record authority approval from an internal review outcome.</w:t>
      </w:r>
    </w:p>
    <w:p>
      <w:pPr>
        <w:pStyle w:val="Heading1"/>
      </w:pPr>
      <w:r>
        <w:t>6 Change alerts and release checks</w:t>
      </w:r>
    </w:p>
    <w:p>
      <w:pPr/>
      <w:r>
        <w:t>At project mobilisation, each affected submission and material rule/site/use/design change, the liaison checks the official service/circular source, adopted edition and effective date. Record old/new source version, verification date, affected rows, specialist impact decision, required action/owner, notifications and receiving acknowledgment. Office default watch: check authority circular and service pages monthly and at every stage gate and submission (DM issued BIM circulars in Oct 2023 and Jan 2026). A project may shorten this interval, but not lengthen it without BIM Manager approval. This template invents no authority SLA. The controlled change record is the alert evidence, not a second code library.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4917"/>
        <w:gridCol w:w="5549"/>
      </w:tblGrid>
      <w:tr>
        <w:trPr>
          <w:cantSplit/>
          <w:tblHeader/>
        </w:trPr>
        <w:tc>
          <w:tcPr>
            <w:tcW w:type="dxa" w:w="491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Adverse case</w:t>
            </w:r>
          </w:p>
        </w:tc>
        <w:tc>
          <w:tcPr>
            <w:tcW w:type="dxa" w:w="554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response</w:t>
            </w:r>
          </w:p>
        </w:tc>
      </w:tr>
      <w:tr>
        <w:trPr>
          <w:cantSplit/>
        </w:trPr>
        <w:tc>
          <w:tcPr>
            <w:tcW w:type="dxa" w:w="4917"/>
          </w:tcPr>
          <w:p>
            <w:r>
              <w:rPr>
                <w:sz w:val="17"/>
              </w:rPr>
            </w:r>
            <w:r>
              <w:rPr>
                <w:sz w:val="17"/>
              </w:rPr>
              <w:t>Latest library PDF exists but adoption/​effective date is unknown</w:t>
            </w:r>
          </w:p>
        </w:tc>
        <w:tc>
          <w:tcPr>
            <w:tcW w:type="dxa" w:w="5549"/>
          </w:tcPr>
          <w:p>
            <w:r>
              <w:rPr>
                <w:sz w:val="17"/>
              </w:rPr>
            </w:r>
            <w:r>
              <w:rPr>
                <w:sz w:val="17"/>
              </w:rPr>
              <w:t>Hold affected criterion/​release; obtain the competent applicability decision</w:t>
            </w:r>
          </w:p>
        </w:tc>
      </w:tr>
      <w:tr>
        <w:trPr>
          <w:cantSplit/>
        </w:trPr>
        <w:tc>
          <w:tcPr>
            <w:tcW w:type="dxa" w:w="4917"/>
          </w:tcPr>
          <w:p>
            <w:r>
              <w:rPr>
                <w:sz w:val="17"/>
              </w:rPr>
            </w:r>
            <w:r>
              <w:rPr>
                <w:sz w:val="17"/>
              </w:rPr>
              <w:t>ADM infrastructure profile is assigned to a Dubai building without adoption evidence</w:t>
            </w:r>
          </w:p>
        </w:tc>
        <w:tc>
          <w:tcPr>
            <w:tcW w:type="dxa" w:w="5549"/>
          </w:tcPr>
          <w:p>
            <w:r>
              <w:rPr>
                <w:sz w:val="17"/>
              </w:rPr>
            </w:r>
            <w:r>
              <w:rPr>
                <w:sz w:val="17"/>
              </w:rPr>
              <w:t>Reject the profile mapping; determine actual authority and appointment scope</w:t>
            </w:r>
          </w:p>
        </w:tc>
      </w:tr>
      <w:tr>
        <w:trPr>
          <w:cantSplit/>
        </w:trPr>
        <w:tc>
          <w:tcPr>
            <w:tcW w:type="dxa" w:w="4917"/>
          </w:tcPr>
          <w:p>
            <w:r>
              <w:rPr>
                <w:sz w:val="17"/>
              </w:rPr>
            </w:r>
            <w:r>
              <w:rPr>
                <w:sz w:val="17"/>
              </w:rPr>
              <w:t>NOC is uploaded but receipt/​decision/​expiry does not cover this submission</w:t>
            </w:r>
          </w:p>
        </w:tc>
        <w:tc>
          <w:tcPr>
            <w:tcW w:type="dxa" w:w="5549"/>
          </w:tcPr>
          <w:p>
            <w:r>
              <w:rPr>
                <w:sz w:val="17"/>
              </w:rPr>
            </w:r>
            <w:r>
              <w:rPr>
                <w:sz w:val="17"/>
              </w:rPr>
              <w:t>Keep dependency open; verify current valid evidence</w:t>
            </w:r>
          </w:p>
        </w:tc>
      </w:tr>
      <w:tr>
        <w:trPr>
          <w:cantSplit/>
        </w:trPr>
        <w:tc>
          <w:tcPr>
            <w:tcW w:type="dxa" w:w="4917"/>
          </w:tcPr>
          <w:p>
            <w:r>
              <w:rPr>
                <w:sz w:val="17"/>
              </w:rPr>
            </w:r>
            <w:r>
              <w:rPr>
                <w:sz w:val="17"/>
              </w:rPr>
              <w:t>Package is accepted as information but the statutory permit is absent</w:t>
            </w:r>
          </w:p>
        </w:tc>
        <w:tc>
          <w:tcPr>
            <w:tcW w:type="dxa" w:w="5549"/>
          </w:tcPr>
          <w:p>
            <w:r>
              <w:rPr>
                <w:sz w:val="17"/>
              </w:rPr>
            </w:r>
            <w:r>
              <w:rPr>
                <w:sz w:val="17"/>
              </w:rPr>
              <w:t>Information decision may stand; construction/​occupation permission remains Hold</w:t>
            </w:r>
          </w:p>
        </w:tc>
      </w:tr>
      <w:tr>
        <w:trPr>
          <w:cantSplit/>
        </w:trPr>
        <w:tc>
          <w:tcPr>
            <w:tcW w:type="dxa" w:w="4917"/>
          </w:tcPr>
          <w:p>
            <w:r>
              <w:rPr>
                <w:sz w:val="17"/>
              </w:rPr>
            </w:r>
            <w:r>
              <w:rPr>
                <w:sz w:val="17"/>
              </w:rPr>
              <w:t>Authority changes the checklist after a prior concept exchange</w:t>
            </w:r>
          </w:p>
        </w:tc>
        <w:tc>
          <w:tcPr>
            <w:tcW w:type="dxa" w:w="5549"/>
          </w:tcPr>
          <w:p>
            <w:r>
              <w:rPr>
                <w:sz w:val="17"/>
              </w:rPr>
            </w:r>
            <w:r>
              <w:rPr>
                <w:sz w:val="17"/>
              </w:rPr>
              <w:t>Assess affected scope and transition/​clarification; update linked baselines before the next applicable release</w:t>
            </w:r>
          </w:p>
        </w:tc>
      </w:tr>
    </w:tbl>
    <w:p/>
    <w:p>
      <w:pPr/>
      <w:r>
        <w:t>The release reviewer checks all applicable instruments and clauses, current package profile, prerequisite/NOC ownership, actual valid approvals/conditions, BoD source joins and MIDP delivery joins. Unresolved applicable code or submission profile blocks the affected release. Explicitly accepted non-applicability is recorded with evidence. Office adoption, actual authority confirmation, live portal submission and project approvals are NOT EXECUTED in this template.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R1. Dubai Municipality, </w:t>
      </w:r>
      <w:hyperlink r:id="rId15">
        <w:r>
          <w:rPr>
            <w:color w:val="9A7B45"/>
            <w:u w:val="single"/>
          </w:rPr>
          <w:t>Building Permit Procedures</w:t>
        </w:r>
      </w:hyperlink>
      <w:r>
        <w:t xml:space="preserve"> and </w:t>
      </w:r>
      <w:hyperlink r:id="rId16">
        <w:r>
          <w:rPr>
            <w:color w:val="9A7B45"/>
            <w:u w:val="single"/>
          </w:rPr>
          <w:t>Building and Planning Circulars</w:t>
        </w:r>
      </w:hyperlink>
      <w:r>
        <w:t xml:space="preserve">, live official indexes; </w:t>
      </w:r>
      <w:hyperlink r:id="rId17">
        <w:r>
          <w:rPr>
            <w:color w:val="9A7B45"/>
            <w:u w:val="single"/>
          </w:rPr>
          <w:t>circular 9-1-2</w:t>
        </w:r>
      </w:hyperlink>
      <w:r>
        <w:t xml:space="preserve"> (13 Oct 2023); </w:t>
      </w:r>
      <w:hyperlink r:id="rId18">
        <w:r>
          <w:rPr>
            <w:color w:val="9A7B45"/>
            <w:u w:val="single"/>
          </w:rPr>
          <w:t>circular 9-1-3</w:t>
        </w:r>
      </w:hyperlink>
      <w:r>
        <w:t xml:space="preserve"> (15 Jan 2026, effective 1 Apr 2026); </w:t>
      </w:r>
      <w:hyperlink r:id="rId19">
        <w:r>
          <w:rPr>
            <w:color w:val="9A7B45"/>
            <w:u w:val="single"/>
          </w:rPr>
          <w:t>Laws and orders</w:t>
        </w:r>
      </w:hyperlink>
      <w:r>
        <w:t xml:space="preserve"> and </w:t>
      </w:r>
      <w:hyperlink r:id="rId20">
        <w:r>
          <w:rPr>
            <w:color w:val="9A7B45"/>
            <w:u w:val="single"/>
          </w:rPr>
          <w:t>Administrative Resolution 225/2024</w:t>
        </w:r>
      </w:hyperlink>
      <w:r>
        <w:t xml:space="preserve">; </w:t>
      </w:r>
      <w:hyperlink r:id="rId21">
        <w:r>
          <w:rPr>
            <w:color w:val="9A7B45"/>
            <w:u w:val="single"/>
          </w:rPr>
          <w:t>Al Sa'fat</w:t>
        </w:r>
      </w:hyperlink>
      <w:r>
        <w:t>.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R2. DMT/ADM, </w:t>
      </w:r>
      <w:hyperlink r:id="rId22">
        <w:r>
          <w:rPr>
            <w:color w:val="9A7B45"/>
            <w:u w:val="single"/>
          </w:rPr>
          <w:t>BIM Documentation Guidelines for Infrastructure v1.0 October 2020</w:t>
        </w:r>
      </w:hyperlink>
      <w:r>
        <w:t xml:space="preserve">, infrastructure scope; </w:t>
      </w:r>
      <w:hyperlink r:id="rId23">
        <w:r>
          <w:rPr>
            <w:color w:val="9A7B45"/>
            <w:u w:val="single"/>
          </w:rPr>
          <w:t>ADM BIM Code of Practice</w:t>
        </w:r>
      </w:hyperlink>
      <w:r>
        <w:t xml:space="preserve">; </w:t>
      </w:r>
      <w:hyperlink r:id="rId24">
        <w:r>
          <w:rPr>
            <w:color w:val="9A7B45"/>
            <w:u w:val="single"/>
          </w:rPr>
          <w:t>ADIMC 2013</w:t>
        </w:r>
      </w:hyperlink>
      <w:r>
        <w:t xml:space="preserve">; </w:t>
      </w:r>
      <w:hyperlink r:id="rId25">
        <w:r>
          <w:rPr>
            <w:color w:val="9A7B45"/>
            <w:u w:val="single"/>
          </w:rPr>
          <w:t>Estidama Pearl minimums</w:t>
        </w:r>
      </w:hyperlink>
      <w:r>
        <w:t>.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R3. DMT, </w:t>
      </w:r>
      <w:hyperlink r:id="rId26">
        <w:r>
          <w:rPr>
            <w:color w:val="9A7B45"/>
            <w:u w:val="single"/>
          </w:rPr>
          <w:t>BINAA construction-permits platform launch</w:t>
        </w:r>
      </w:hyperlink>
      <w:r>
        <w:t>. Platform evidence; no project-specific obligation inferred.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R4. DDA, </w:t>
      </w:r>
      <w:hyperlink r:id="rId27">
        <w:r>
          <w:rPr>
            <w:color w:val="9A7B45"/>
            <w:u w:val="single"/>
          </w:rPr>
          <w:t>Final Design Approval service</w:t>
        </w:r>
      </w:hyperlink>
      <w:r>
        <w:t>, current official service page accessed 16 October 2026; actual current plot/profile and conditional applicability require liaison verification.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R5. ISO, </w:t>
      </w:r>
      <w:hyperlink r:id="rId28">
        <w:r>
          <w:rPr>
            <w:color w:val="9A7B45"/>
            <w:u w:val="single"/>
          </w:rPr>
          <w:t>ISO 19650-1:2018</w:t>
        </w:r>
      </w:hyperlink>
      <w:r>
        <w:t xml:space="preserve"> and </w:t>
      </w:r>
      <w:hyperlink r:id="rId29">
        <w:r>
          <w:rPr>
            <w:color w:val="9A7B45"/>
            <w:u w:val="single"/>
          </w:rPr>
          <w:t>ISO 19650-2:2018</w:t>
        </w:r>
      </w:hyperlink>
      <w:r>
        <w:t xml:space="preserve">. Reading pointer: -2 clause 5.1.2 project information requirements, explained in </w:t>
      </w:r>
      <w:hyperlink r:id="rId30">
        <w:r>
          <w:rPr>
            <w:color w:val="9A7B45"/>
            <w:u w:val="single"/>
          </w:rPr>
          <w:t>IMI Framework (formerly UK BIM Framework, renamed May 2025) archived Guidance D edition 2 section 1.4.4</w:t>
        </w:r>
      </w:hyperlink>
      <w:r>
        <w:t>. Not a code-compliance audit.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R6. Writing plan, gap matrix, office standards linked above and the read-only codes library. Source editions and service pages are not legal or engineering advice.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R7. Dubai Legislation Portal, </w:t>
      </w:r>
      <w:hyperlink r:id="rId31">
        <w:r>
          <w:rPr>
            <w:color w:val="9A7B45"/>
            <w:u w:val="single"/>
          </w:rPr>
          <w:t>Law No. 3 of 2026</w:t>
        </w:r>
      </w:hyperlink>
      <w:r>
        <w:t xml:space="preserve">; DM </w:t>
      </w:r>
      <w:hyperlink r:id="rId32">
        <w:r>
          <w:rPr>
            <w:color w:val="9A7B45"/>
            <w:u w:val="single"/>
          </w:rPr>
          <w:t>circular 11-9-1 of 2026</w:t>
        </w:r>
      </w:hyperlink>
      <w:r>
        <w:t xml:space="preserve"> and </w:t>
      </w:r>
      <w:hyperlink r:id="rId33">
        <w:r>
          <w:rPr>
            <w:color w:val="9A7B45"/>
            <w:u w:val="single"/>
          </w:rPr>
          <w:t>guidance manual 11-9-1-1</w:t>
        </w:r>
      </w:hyperlink>
      <w:r>
        <w:t xml:space="preserve">, checked 2026-11-05; Dubai Civil Defence, </w:t>
      </w:r>
      <w:hyperlink r:id="rId34">
        <w:r>
          <w:rPr>
            <w:color w:val="9A7B45"/>
            <w:u w:val="single"/>
          </w:rPr>
          <w:t>UAE Fire and Life Safety Code of Practice</w:t>
        </w:r>
      </w:hyperlink>
      <w:r>
        <w:t>. Checked 2026-11-04.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BBM-STD-57-CODES_AND_SUBMISSIONS-V0.3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5cdee98f37a140778b8b30badb3c652c" TargetMode="External"/><Relationship Id="rId14" Type="http://schemas.openxmlformats.org/officeDocument/2006/relationships/hyperlink" Target="https://github.com/Fargaly/baboom-bim-standard/blob/main/04-DOCUMENTS/BBM-STD-57-CODES_AND_SUBMISSIONS-V0.3.docx" TargetMode="External"/><Relationship Id="rId15" Type="http://schemas.openxmlformats.org/officeDocument/2006/relationships/hyperlink" Target="https://www.dm.gov.ae/municipality-business/building-permit-steps/" TargetMode="External"/><Relationship Id="rId16" Type="http://schemas.openxmlformats.org/officeDocument/2006/relationships/hyperlink" Target="https://www.dm.gov.ae/building-planning-circulars-2/" TargetMode="External"/><Relationship Id="rId17" Type="http://schemas.openxmlformats.org/officeDocument/2006/relationships/hyperlink" Target="https://dmpmedia.dm.gov.ae/uploads/2023/10/&#1578;&#1593;&#1605;&#1610;&#1605;-BIM-9-1-2.pdf" TargetMode="External"/><Relationship Id="rId18" Type="http://schemas.openxmlformats.org/officeDocument/2006/relationships/hyperlink" Target="https://www.dm.gov.ae/wp-content/uploads/2026/02/Circular-9-1-3.pdf" TargetMode="External"/><Relationship Id="rId19" Type="http://schemas.openxmlformats.org/officeDocument/2006/relationships/hyperlink" Target="https://www.dm.gov.ae/municipality-business/laws-and-orders/" TargetMode="External"/><Relationship Id="rId20" Type="http://schemas.openxmlformats.org/officeDocument/2006/relationships/hyperlink" Target="https://www.dm.gov.ae/?p=352286" TargetMode="External"/><Relationship Id="rId21" Type="http://schemas.openxmlformats.org/officeDocument/2006/relationships/hyperlink" Target="https://www.dm.gov.ae/municipality-business/al-safat-dubai-green-building-system/" TargetMode="External"/><Relationship Id="rId22" Type="http://schemas.openxmlformats.org/officeDocument/2006/relationships/hyperlink" Target="https://www.dmt.gov.ae/adm/-/media/Project/DMT/ADM/E-Library/0001-Jan-2022-Doc/ADM-BIM-002Documentation-Guidelines-for-Infrastructure-projects.pdf" TargetMode="External"/><Relationship Id="rId23" Type="http://schemas.openxmlformats.org/officeDocument/2006/relationships/hyperlink" Target="https://www.dmt.gov.ae/adm/-/media/Project/DMT/ADM/E-Library/0001-Jan-2022-Doc/ADM-BIM-005Code-of-Practice.pdf" TargetMode="External"/><Relationship Id="rId24" Type="http://schemas.openxmlformats.org/officeDocument/2006/relationships/hyperlink" Target="https://www.dmt.gov.ae/-/media/Project/DMT/DMT/Codes/3-ADIMC-2013_1-12-2013.pdf" TargetMode="External"/><Relationship Id="rId25" Type="http://schemas.openxmlformats.org/officeDocument/2006/relationships/hyperlink" Target="https://www.dmt.gov.ae/en/adm/Media-Centre/News/08Jan2025" TargetMode="External"/><Relationship Id="rId26" Type="http://schemas.openxmlformats.org/officeDocument/2006/relationships/hyperlink" Target="https://www.dmt.gov.ae/en/Media-Centre/News/Binaa-Construction-Permits-Platform-Launched" TargetMode="External"/><Relationship Id="rId27" Type="http://schemas.openxmlformats.org/officeDocument/2006/relationships/hyperlink" Target="https://dda.gov.ae/en/planning-development/design/final-design-approval" TargetMode="External"/><Relationship Id="rId28" Type="http://schemas.openxmlformats.org/officeDocument/2006/relationships/hyperlink" Target="https://www.iso.org/standard/68078.html" TargetMode="External"/><Relationship Id="rId29" Type="http://schemas.openxmlformats.org/officeDocument/2006/relationships/hyperlink" Target="https://www.iso.org/standard/68080.html" TargetMode="External"/><Relationship Id="rId30" Type="http://schemas.openxmlformats.org/officeDocument/2006/relationships/hyperlink" Target="https://www.ukbimframework.org/wp-content/uploads/2021/02/Guidance-Part-D_Developing-information-requirements_Edition-2.pdf" TargetMode="External"/><Relationship Id="rId31" Type="http://schemas.openxmlformats.org/officeDocument/2006/relationships/hyperlink" Target="https://dlp.dubai.gov.ae/Legislation%20Reference/2026/Law%20No.%20%283%29%20of%202026%20Concerning%20the%20Quality%20and%20Safety%20of%20Buildings.html" TargetMode="External"/><Relationship Id="rId32" Type="http://schemas.openxmlformats.org/officeDocument/2006/relationships/hyperlink" Target="https://dmpmedia.dm.gov.ae/uploads/2026/10/11-9-1.pdf" TargetMode="External"/><Relationship Id="rId33" Type="http://schemas.openxmlformats.org/officeDocument/2006/relationships/hyperlink" Target="https://dmpmedia.dm.gov.ae/uploads/2026/10/11-9-1-1.pdf" TargetMode="External"/><Relationship Id="rId34" Type="http://schemas.openxmlformats.org/officeDocument/2006/relationships/hyperlink" Target="https://www.dcd.gov.ae/portal/preventive-safety/uae-fire-and-life-safety-code-of-practice.jsp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