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Landscape modelling and external works</w:t>
      </w:r>
    </w:p>
    <w:p>
      <w:pPr/>
      <w:r>
        <w:t xml:space="preserve">Linked copies: ID STD-61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BBM-STD-61-LANDSCAPE_MODELLING-V0.2 | Office standard | 4 November 2026 | V0.2 | Private controlled WIP draft</w:t>
      </w:r>
    </w:p>
    <w:p>
      <w:pPr/>
      <w:r>
        <w:rPr>
          <w:b/>
        </w:rP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775"/>
        <w:gridCol w:w="1033"/>
        <w:gridCol w:w="8659"/>
      </w:tblGrid>
      <w:tr>
        <w:trPr>
          <w:cantSplit/>
          <w:tblHeader/>
        </w:trPr>
        <w:tc>
          <w:tcPr>
            <w:tcW w:type="dxa" w:w="77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03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65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2026-10-16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Initial controlled WIP draft.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2026-11-04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Closed audit rows G188-G190: plant/​irrigation rating fields, IDS 1.0 property checks (LSC-IDS), single DM circular index URL; DDA Circular 400 pointer; IMI Framework naming; current set links; spacing fixes + cross-doc pointer pass.</w:t>
            </w:r>
          </w:p>
        </w:tc>
      </w:tr>
    </w:tbl>
    <w:p/>
    <w:p>
      <w:pPr>
        <w:pStyle w:val="Heading1"/>
      </w:pPr>
      <w:r>
        <w:t>1 Scope uses and ownership</w:t>
      </w:r>
    </w:p>
    <w:p>
      <w:pPr/>
      <w:r>
        <w:t xml:space="preserve">This annex covers SG-031: terrain/external levels, planting, hardscape, landscape furniture and irrigation interfaces. Use </w:t>
      </w:r>
      <w:r>
        <w:rPr>
          <w:color w:val="9A7B45"/>
          <w:u w:val="single"/>
        </w:rPr>
        <w:t>BoD</w:t>
      </w:r>
      <w:r>
        <w:t xml:space="preserve">, </w:t>
      </w:r>
      <w:r>
        <w:rPr>
          <w:color w:val="9A7B45"/>
          <w:u w:val="single"/>
        </w:rPr>
        <w:t>EIR and LOIN</w:t>
      </w:r>
      <w:r>
        <w:t xml:space="preserve">, </w:t>
      </w:r>
      <w:r>
        <w:rPr>
          <w:color w:val="9A7B45"/>
          <w:u w:val="single"/>
        </w:rPr>
        <w:t>survey/civil</w:t>
      </w:r>
      <w:r>
        <w:t xml:space="preserve">, </w:t>
      </w:r>
      <w:r>
        <w:rPr>
          <w:color w:val="9A7B45"/>
          <w:u w:val="single"/>
        </w:rPr>
        <w:t>templates</w:t>
      </w:r>
      <w:r>
        <w:t xml:space="preserve">, </w:t>
      </w:r>
      <w:r>
        <w:rPr>
          <w:color w:val="9A7B45"/>
          <w:u w:val="single"/>
        </w:rPr>
        <w:t>dictionary</w:t>
      </w:r>
      <w:r>
        <w:t xml:space="preserve"> and </w:t>
      </w:r>
      <w:r>
        <w:rPr>
          <w:color w:val="9A7B45"/>
          <w:u w:val="single"/>
        </w:rPr>
        <w:t>federation</w:t>
      </w:r>
      <w:r>
        <w:t xml:space="preserve">. Preserve </w:t>
      </w:r>
      <w:r>
        <w:rPr>
          <w:color w:val="9A7B45"/>
          <w:u w:val="single"/>
        </w:rPr>
        <w:t>Manual V0.5</w:t>
      </w:r>
      <w:r>
        <w:t xml:space="preserve"> authoring, coordination and issue procedures. The </w:t>
      </w:r>
      <w:r>
        <w:rPr>
          <w:color w:val="9A7B45"/>
          <w:u w:val="single"/>
        </w:rPr>
        <w:t>editable landscape pack</w:t>
      </w:r>
      <w:r>
        <w:t xml:space="preserve"> contains LOIN, planting, interfaces, quantities and release forms.</w:t>
      </w:r>
    </w:p>
    <w:p>
      <w:pPr/>
      <w:r>
        <w:t>The landscape lead owns landscape intent and authoring; competent horticultural/irrigation designers validate planting and watering criteria; civil owns agreed terrain/drainage/utilities; electrical owns lighting and supplies; the coordinator checks interfaces; a distinct competent checker reviews; scoped authoriser/recipient makes separate decisions. Confirm actual appointments/boundaries/dependencies before modelling. No plant performance, hydraulic design, accessibility approval or jurisdiction compliance is established by a model or this specimen.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404"/>
        <w:gridCol w:w="4886"/>
        <w:gridCol w:w="3176"/>
      </w:tblGrid>
      <w:tr>
        <w:trPr>
          <w:cantSplit/>
          <w:tblHeader/>
        </w:trPr>
        <w:tc>
          <w:tcPr>
            <w:tcW w:type="dxa" w:w="240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Purpose and agreed exchange</w:t>
            </w:r>
          </w:p>
        </w:tc>
        <w:tc>
          <w:tcPr>
            <w:tcW w:type="dxa" w:w="488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Required scope</w:t>
            </w:r>
          </w:p>
        </w:tc>
        <w:tc>
          <w:tcPr>
            <w:tcW w:type="dxa" w:w="317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Limit</w:t>
            </w:r>
          </w:p>
        </w:tc>
      </w:tr>
      <w:tr>
        <w:trPr>
          <w:cantSplit/>
        </w:trPr>
        <w:tc>
          <w:tcPr>
            <w:tcW w:type="dxa" w:w="2404"/>
          </w:tcPr>
          <w:p>
            <w:r>
              <w:rPr>
                <w:sz w:val="17"/>
              </w:rPr>
            </w:r>
            <w:r>
              <w:rPr>
                <w:sz w:val="17"/>
              </w:rPr>
              <w:t>Brief/​option decision</w:t>
            </w:r>
          </w:p>
        </w:tc>
        <w:tc>
          <w:tcPr>
            <w:tcW w:type="dxa" w:w="4886"/>
          </w:tcPr>
          <w:p>
            <w:r>
              <w:rPr>
                <w:sz w:val="17"/>
              </w:rPr>
            </w:r>
            <w:r>
              <w:rPr>
                <w:sz w:val="17"/>
              </w:rPr>
              <w:t>Site/​source boundaries, proposed/​retained zones, terrain concept, planting strategy and assumptions</w:t>
            </w:r>
          </w:p>
        </w:tc>
        <w:tc>
          <w:tcPr>
            <w:tcW w:type="dxa" w:w="3176"/>
          </w:tcPr>
          <w:p>
            <w:r>
              <w:rPr>
                <w:sz w:val="17"/>
              </w:rPr>
            </w:r>
            <w:r>
              <w:rPr>
                <w:sz w:val="17"/>
              </w:rPr>
              <w:t>Indicative forms are not selected nursery stock or surveyed terrain</w:t>
            </w:r>
          </w:p>
        </w:tc>
      </w:tr>
      <w:tr>
        <w:trPr>
          <w:cantSplit/>
        </w:trPr>
        <w:tc>
          <w:tcPr>
            <w:tcW w:type="dxa" w:w="2404"/>
          </w:tcPr>
          <w:p>
            <w:r>
              <w:rPr>
                <w:sz w:val="17"/>
              </w:rPr>
            </w:r>
            <w:r>
              <w:rPr>
                <w:sz w:val="17"/>
              </w:rPr>
              <w:t>Spatial coordination</w:t>
            </w:r>
          </w:p>
        </w:tc>
        <w:tc>
          <w:tcPr>
            <w:tcW w:type="dxa" w:w="4886"/>
          </w:tcPr>
          <w:p>
            <w:r>
              <w:rPr>
                <w:sz w:val="17"/>
              </w:rPr>
            </w:r>
            <w:r>
              <w:rPr>
                <w:sz w:val="17"/>
              </w:rPr>
              <w:t>Controlled site levels, hardscape extents/​build-ups, planting/​root/​canopy envelopes, furniture, irrigation routes and civil/​MEP interfaces</w:t>
            </w:r>
          </w:p>
        </w:tc>
        <w:tc>
          <w:tcPr>
            <w:tcW w:type="dxa" w:w="3176"/>
          </w:tcPr>
          <w:p>
            <w:r>
              <w:rPr>
                <w:sz w:val="17"/>
              </w:rPr>
            </w:r>
            <w:r>
              <w:rPr>
                <w:sz w:val="17"/>
              </w:rPr>
              <w:t>Detail and uncertainty fixed by decision, not automatic stage/​LOD</w:t>
            </w:r>
          </w:p>
        </w:tc>
      </w:tr>
      <w:tr>
        <w:trPr>
          <w:cantSplit/>
        </w:trPr>
        <w:tc>
          <w:tcPr>
            <w:tcW w:type="dxa" w:w="2404"/>
          </w:tcPr>
          <w:p>
            <w:r>
              <w:rPr>
                <w:sz w:val="17"/>
              </w:rPr>
            </w:r>
            <w:r>
              <w:rPr>
                <w:sz w:val="17"/>
              </w:rPr>
              <w:t>Construction/​operational exchange when appointed</w:t>
            </w:r>
          </w:p>
        </w:tc>
        <w:tc>
          <w:tcPr>
            <w:tcW w:type="dxa" w:w="4886"/>
          </w:tcPr>
          <w:p>
            <w:r>
              <w:rPr>
                <w:sz w:val="17"/>
              </w:rPr>
            </w:r>
            <w:r>
              <w:rPr>
                <w:sz w:val="17"/>
              </w:rPr>
              <w:t>Approved species/​product/​specification, set-out, quantities, evidence, irrigation/​access and maintenance instructions</w:t>
            </w:r>
          </w:p>
        </w:tc>
        <w:tc>
          <w:tcPr>
            <w:tcW w:type="dxa" w:w="3176"/>
          </w:tcPr>
          <w:p>
            <w:r>
              <w:rPr>
                <w:sz w:val="17"/>
              </w:rPr>
            </w:r>
            <w:r>
              <w:rPr>
                <w:sz w:val="17"/>
              </w:rPr>
              <w:t>Installed/​as-constructed claims require actual verification under BBM-STD-75/​77</w:t>
            </w:r>
          </w:p>
        </w:tc>
      </w:tr>
    </w:tbl>
    <w:p/>
    <w:p>
      <w:pPr/>
      <w:r>
        <w:t>Map these uses to actual TIDP/MIDP milestones and BBM-STD-54 geometry/alphanumeric/documentation requirements. Retained landscape, demolition/transplanting, proposed works and options have separate states; do not combine all options or symbolic canopies into plant quantities. Freeze exact source/model/revision and authoring/export/receiving builds. Unknown native category/site representation or unsupported exchange holds that route under BBM-STD-65/74.</w:t>
      </w:r>
    </w:p>
    <w:p>
      <w:pPr>
        <w:pStyle w:val="Heading1"/>
      </w:pPr>
      <w:r>
        <w:t>2 Plant identity and source constraints</w:t>
      </w:r>
    </w:p>
    <w:p>
      <w:pPr/>
      <w:r>
        <w:t>Allocate stable Plant_ID per counted occurrence or controlled Area_ID for area planting, separate from Type_ID, nursery batch and asset-maintenance identity. Dictionary records species botanical name and authority/reference, common name alias, cultivar if specified, plant form, maturity/stage, scheduled supply size and units, spacing/density basis, quantity rule, source/nursery evidence and permitted substitutions. Do not infer botanical identity from a family name, rendering or generic tree icon. State source confidence and who verifies suitability to actual soil, climate, utilities, water and maintenance requirements.</w:t>
      </w:r>
    </w:p>
    <w:p>
      <w:pPr/>
      <w:r>
        <w:t xml:space="preserve">Preserve type data versus occurrence-specific position/condition, existing/proposed state, survey/inspection date and source. Mature canopy, root protection and maintenance envelope dimensions require a competent project-specific source; a supply height is not a predicted mature size. Nursery stock constraints include approved source/availability date, sizes/condition, traceability and substitution/inspection authority. No botanical, survival, water-demand or performance number may be invented to fill a mandatory field. Missing required evidence holds species/installation reliance. Statutory green ratings set landscape water and planting credits (Al Sa'fat 2nd edition (January 2023): Silver Sa'fa is mandatory for all new buildings in Dubai; Estidama Pearl Rating System: minimum 1 Pearl for private and 2 Pearl for government-funded projects in Abu Dhabi (DMT, 8 January 2025); statutory minimums owned by BBM-STD-57 §2 and </w:t>
      </w:r>
      <w:r>
        <w:rPr>
          <w:color w:val="9A7B45"/>
          <w:u w:val="single"/>
        </w:rPr>
        <w:t>BBM-STD-85</w:t>
      </w:r>
      <w:r>
        <w:t xml:space="preserve"> §7); each plant type or area therefore also records Native_Adaptive (Y/N with source), Irrigation_Demand_Basis and Rating_Credit_Ref (Estidama Pearl or Al Sa'fat credit). Local landscape design manuals are not confirmed in this revision and are added through BBM-STD-57 when assigned.</w:t>
      </w:r>
    </w:p>
    <w:p>
      <w:pPr/>
      <w:r>
        <w:t>The synthetic Type PL-T01 is labelled TRAIN-TREE-A, deliberately not a botanical species claim. Three proposed occurrences P-001/002/003 use that type. Botanical/cultivar/nursery/supply-performance evidence is Unverified and must be populated before real procurement/design use. A test root envelope radius 1000 mm is a declared geometric fixture only; it is not a recommended protection radius or horticultural criterion.</w:t>
      </w:r>
    </w:p>
    <w:p>
      <w:pPr>
        <w:pStyle w:val="Heading1"/>
      </w:pPr>
      <w:r>
        <w:t>3 Terrain irrigation utilities and maintenance interfaces</w:t>
      </w:r>
    </w:p>
    <w:p>
      <w:pPr/>
      <w:r>
        <w:t>Use the single BBM-STD-63 survey/datum baseline; retain source date, horizontal/vertical reference, units, transformation, uncertainty, control points, measured/interpolated/assumed surfaces and limits. Civil and landscape agree the owner of existing/proposed terrain, grading, retaining edges, drainage and interfaces; reference the owner's model rather than recreating a competing terrain surface. A repeated visual mesh is not a second authorised earthworks quantity source.</w:t>
      </w:r>
    </w:p>
    <w:p>
      <w:pPr/>
      <w:r>
        <w:t>Irrigation design links IrrigationZone_ID and system/lateral/emitter identities to planting IDs/areas; record water-source quality/availability, design basis, flow/pressure/unit/source, connection owner, controls, isolation, drainage and maintenance access. Actual hydraulic calculations and plant demand remain with competent designers. A drawn pipe connection is not proof that a planting zone receives an adequate supply. Check utility routes/depth, root/soil volumes, structures, waterproofing, drainage and future access against approved constraints. Underground records not surveyed remain explicitly uncertain.</w:t>
      </w:r>
    </w:p>
    <w:p>
      <w:pPr/>
      <w:r>
        <w:t>External lighting positions, foundations, cables/earthing, access and plant growth/shade interfaces are coordinated with electrical/civil owners; ornamental symbols do not substitute for calculations or safe access criteria. Inspection, pruning, replacement and irrigation access/withdrawal envelopes need actual source/owner and maintained routes. Significant residual risks follow Manual §9.4 with recipient acknowledgement; a generic clash status cannot approve a safety-critical interface.</w:t>
      </w:r>
    </w:p>
    <w:p>
      <w:pPr>
        <w:pStyle w:val="Heading1"/>
      </w:pPr>
      <w:r>
        <w:t>4 Levels falls drainage and access criteria</w:t>
      </w:r>
    </w:p>
    <w:p>
      <w:pPr/>
      <w:r>
        <w:t>The BoD/BBM-STD-57 register supplies applicable design criteria, source clause/edition and competent reviewer for paths, ramps, crossfalls, level thresholds, drainage, water features, walls and lighting. Record criterion/value/unit, direction/run definition, source, geometry IDs, actual calculation/measurement, uncertainty and disposition. Do not import an illustrative gradient as a universal access or drainage limit. Competent civil/accessibility reviewers decide adequacy and authority requirements.</w:t>
      </w:r>
    </w:p>
    <w:p>
      <w:pPr/>
      <w:r>
        <w:t>The fictional specimen SYN-L61 R01 is a 10 m by 6 m local engineering site: X east, Y north, Z up, millimetres; no geodetic/survey claim. Corner elevations are Z10000 at X0 and Z9900 at X10000, independent of Y. This is a planar 1% fall in +X over 10 m. Coordinate owner must confirm its relationship to actual source datum before any real use. The hardscape rectangular plan area X0..6000, Y0..2000 is 12 m2; remaining planted plan area 48 m2; these are horizontal projected areas, not sloping-surface quantities or material volumes.</w:t>
      </w:r>
    </w:p>
    <w:p>
      <w:pPr/>
      <w:r>
        <w:t>Set planting centres at (2000,4000),(5000,4000),(8000,4000)mm with terrain-derived Z9980/9950/9920 mm. Test-only root envelopes are horizontal radius 1000 mm; their depths/heights are outside this 2D clearance test and need separate actual project criteria. Utility route positive variant runs X0..10000 at Y5800; centre-to-route separation 1800 mm exceeds the test radius by 800 mm. Negative route Y4500 gives separation 500 mm and intersects the test envelope. This demonstrates a defined plan-interface test only, never full 3D utility/safety clearance. Irrigation lateral at Y3500 branches to all three plants; one missing branch is the adverse connectivity case. Flow/pressure adequacy remains Unverified.</w:t>
      </w:r>
    </w:p>
    <w:p>
      <w:pPr>
        <w:pStyle w:val="Heading1"/>
      </w:pPr>
      <w:r>
        <w:t>5 Representation quantities and exchange</w:t>
      </w:r>
    </w:p>
    <w:p>
      <w:pPr/>
      <w:r>
        <w:t>Use the admitted native categories/site objects and declared geometry/data mappings; record actual software release, object category, type, GUID/stableID, link/phase and export support. Avoid hiding meaningful planting as uncounted generic graphics. At early use, simplified canopy/symbols may satisfy reviewed purpose; at detailed use geometry and documentation follow the specified LOIN, including levels/build-ups, interfaces and controlled details. Do not model every leaf or root without an information need. Seasonal representations retain same occurrence IDs and counts; seasonal appearance does not change approved species or maturity data.</w:t>
      </w:r>
    </w:p>
    <w:p>
      <w:pPr/>
      <w:r>
        <w:t>Every counted/scheduled object has one quantity source and explicit unit, phase/option, boundary, inclusion/exclusion and measurement rule. Itemise occurrences for identity/count checks and separate grouped type totals. The specimen has 3 trees, not 6 when root envelopes are displayed; hardscape 12 m2 plus planting 48 m2 equals 60 m2 site plan area. Material/spec/detail IDs are controlled references, not invented construction specifications; thickness, waste, earthwork cut/fill and irrigation quantities require their actual measurement/design sources. Report exclusions/uncertainty rather than imply full bill accuracy.</w:t>
      </w:r>
    </w:p>
    <w:p>
      <w:pPr/>
      <w:r>
        <w:t xml:space="preserve">Exchange native/IFC/data/drawing sets under BBM-STD-74 with exact profile, maps, source/output hashes and receiver builds. Check plant IDs/count/type/state, coordinates, levels and units, material/spec/detail links, utility/irrigation relationships and receiver visibility of required envelopes. Plant, area and irrigation property checks for IFC exchange use the IDS 1.0 file </w:t>
      </w:r>
      <w:r>
        <w:rPr>
          <w:rFonts w:ascii="JetBrains Mono" w:hAnsi="JetBrains Mono"/>
        </w:rPr>
        <w:t>LSC-IDS-&lt;rev&gt;</w:t>
      </w:r>
      <w:r>
        <w:t>, with the checker and version named (</w:t>
      </w:r>
      <w:r>
        <w:rPr>
          <w:color w:val="9A7B45"/>
          <w:u w:val="single"/>
        </w:rPr>
        <w:t>BBM-STD-89</w:t>
      </w:r>
      <w:r>
        <w:t>); geometry and clearance tests stay in BBM-STD-50. A pretty seasonal render or schema-valid IFC is not recipient acceptance.</w:t>
      </w:r>
    </w:p>
    <w:p>
      <w:pPr>
        <w:pStyle w:val="Heading1"/>
      </w:pPr>
      <w:r>
        <w:t>6 Checklists evidence and release</w:t>
      </w:r>
    </w:p>
    <w:p>
      <w:pPr/>
      <w:r>
        <w:t>Complete the LOIN, Plants, Interface, Quantities and Checklist blank forms with actual requirement/source revisions, accountable owner, mandatory applicability, expected and observed result/unit/uncertainty, evidence URI/hash, independent checker/date, issue/retest, submission authorisation and receiving decision. Native/site qualification, actual species/nursery/soil/water inputs, code/design criteria, source survey and recipient tests remain Not executed here.</w:t>
      </w:r>
    </w:p>
    <w:p>
      <w:pPr/>
      <w:r>
        <w:t>Synthetic expected cases: positive datum/fall/3-plant/60 m2 partition tests pass arithmetic only; shifted terrain datum, a fourth hidden duplicate plant, route Y4500 or missing irrigation branch fail their defined checks. Correct the actual source owner/revision, preserve failed evidence and repeat affected interfaces/quantities/receiver checks under one ChangeID. Do not average away an unresolved mandatory design, identity, access or exchange failure. Review required landscape/civil/MEP dependencies and scope before release; actual receiving acceptance is a separate decision.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Office sources linked above and matrix SG-031; Manual/BEP, coordinate/dictionary and BoD ownership retained. All numeric dimensions here are synthetic fixtures.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5">
        <w:r>
          <w:rPr>
            <w:color w:val="9A7B45"/>
            <w:u w:val="single"/>
          </w:rPr>
          <w:t>ISO 19650-1:2018</w:t>
        </w:r>
      </w:hyperlink>
      <w:r>
        <w:t xml:space="preserve"> clauses 5/11 and </w:t>
      </w:r>
      <w:hyperlink r:id="rId16">
        <w:r>
          <w:rPr>
            <w:color w:val="9A7B45"/>
            <w:u w:val="single"/>
          </w:rPr>
          <w:t>19650-2:2018</w:t>
        </w:r>
      </w:hyperlink>
      <w:r>
        <w:t xml:space="preserve"> clauses 5.6–5.7 are requirements/production/exchange reading pointers; </w:t>
      </w:r>
      <w:hyperlink r:id="rId17">
        <w:r>
          <w:rPr>
            <w:color w:val="9A7B45"/>
            <w:u w:val="single"/>
          </w:rPr>
          <w:t>19650-3:2020</w:t>
        </w:r>
      </w:hyperlink>
      <w:r>
        <w:t xml:space="preserve"> operational and </w:t>
      </w:r>
      <w:hyperlink r:id="rId18">
        <w:r>
          <w:rPr>
            <w:color w:val="9A7B45"/>
            <w:u w:val="single"/>
          </w:rPr>
          <w:t>19650-5:2020</w:t>
        </w:r>
      </w:hyperlink>
      <w:r>
        <w:t xml:space="preserve"> security context. Public catalogue evidence is not licensed clause audit.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9">
        <w:r>
          <w:rPr>
            <w:color w:val="9A7B45"/>
            <w:u w:val="single"/>
          </w:rPr>
          <w:t>ISO 7817-1:2024</w:t>
        </w:r>
      </w:hyperlink>
      <w:r>
        <w:t xml:space="preserve">, purpose-led information; </w:t>
      </w:r>
      <w:hyperlink r:id="rId20">
        <w:r>
          <w:rPr>
            <w:color w:val="9A7B45"/>
            <w:u w:val="single"/>
          </w:rPr>
          <w:t>BS EN 17412-1:2020 predecessor</w:t>
        </w:r>
      </w:hyperlink>
      <w:r>
        <w:t xml:space="preserve">, retain contracted edition until controlled change; </w:t>
      </w:r>
      <w:hyperlink r:id="rId21">
        <w:r>
          <w:rPr>
            <w:color w:val="9A7B45"/>
            <w:u w:val="single"/>
          </w:rPr>
          <w:t>IMI Framework resources (formerly UK BIM Framework, renamed May 2025)</w:t>
        </w:r>
      </w:hyperlink>
      <w:r>
        <w:t>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2">
        <w:r>
          <w:rPr>
            <w:color w:val="9A7B45"/>
            <w:u w:val="single"/>
          </w:rPr>
          <w:t>BCA Singapore BIM Guide v2 (August 2013), historic benchmark</w:t>
        </w:r>
      </w:hyperlink>
      <w:r>
        <w:t>, Appendix B responsibility-matrix context including landscape designer; it is precedent, not a UAE landscape design code. Checked 2026-10-16.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3">
        <w:r>
          <w:rPr>
            <w:color w:val="9A7B45"/>
            <w:u w:val="single"/>
          </w:rPr>
          <w:t>DMT infrastructure documentation v1.0 October 2020</w:t>
        </w:r>
      </w:hyperlink>
      <w:r>
        <w:t xml:space="preserve">, project appointment/deliverable context; </w:t>
      </w:r>
      <w:hyperlink r:id="rId24">
        <w:r>
          <w:rPr>
            <w:color w:val="9A7B45"/>
            <w:u w:val="single"/>
          </w:rPr>
          <w:t>DM circular index</w:t>
        </w:r>
      </w:hyperlink>
      <w:r>
        <w:t xml:space="preserve"> (the BBM-STD-51 §3 register entry used by BBM-STD-57), DDA Circular 400 (registered once, with verified URL, date and subject, in BBM-STD-57). Determine actual jurisdiction/submission profile through BBM-STD-57, not by generic geography. Primary sources rechecked 2026-10-16.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Current sources, checked 2026-11-04: </w:t>
      </w:r>
      <w:hyperlink r:id="rId21">
        <w:r>
          <w:rPr>
            <w:color w:val="9A7B45"/>
            <w:u w:val="single"/>
          </w:rPr>
          <w:t>IMI Framework resources (formerly UK BIM Framework, renamed May 2025)</w:t>
        </w:r>
      </w:hyperlink>
      <w:r>
        <w:t xml:space="preserve">; </w:t>
      </w:r>
      <w:hyperlink r:id="rId25">
        <w:r>
          <w:rPr>
            <w:color w:val="9A7B45"/>
            <w:u w:val="single"/>
          </w:rPr>
          <w:t>buildingSMART IDS 1.0 (June 2024)</w:t>
        </w:r>
      </w:hyperlink>
      <w:r>
        <w:t xml:space="preserve">; </w:t>
      </w:r>
      <w:hyperlink r:id="rId26">
        <w:r>
          <w:rPr>
            <w:color w:val="9A7B45"/>
            <w:u w:val="single"/>
          </w:rPr>
          <w:t>Al Sa'fat</w:t>
        </w:r>
      </w:hyperlink>
      <w:r>
        <w:t xml:space="preserve">, </w:t>
      </w:r>
      <w:hyperlink r:id="rId27">
        <w:r>
          <w:rPr>
            <w:color w:val="9A7B45"/>
            <w:u w:val="single"/>
          </w:rPr>
          <w:t>Estidama Pearl minimums (DMT news, 8 Jan 2025)</w:t>
        </w:r>
      </w:hyperlink>
      <w:r>
        <w:t xml:space="preserve">. UAE requirement detail: </w:t>
      </w:r>
      <w:r>
        <w:rPr>
          <w:color w:val="9A7B45"/>
          <w:u w:val="single"/>
        </w:rPr>
        <w:t>BBM-STD-85</w:t>
      </w:r>
      <w:r>
        <w:t>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BBM-STD-61-LANDSCAPE_MODELLING-V0.2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6f57b4e72f80118816ff4385350a98" TargetMode="External"/><Relationship Id="rId14" Type="http://schemas.openxmlformats.org/officeDocument/2006/relationships/hyperlink" Target="https://github.com/Fargaly/baboom-bim-standard/blob/main/04-DOCUMENTS/BBM-STD-61-LANDSCAPE_MODELLING-V0.2.docx" TargetMode="External"/><Relationship Id="rId15" Type="http://schemas.openxmlformats.org/officeDocument/2006/relationships/hyperlink" Target="https://www.iso.org/standard/68078.html" TargetMode="External"/><Relationship Id="rId16" Type="http://schemas.openxmlformats.org/officeDocument/2006/relationships/hyperlink" Target="https://www.iso.org/standard/68080.html" TargetMode="External"/><Relationship Id="rId17" Type="http://schemas.openxmlformats.org/officeDocument/2006/relationships/hyperlink" Target="https://www.iso.org/standard/75109.html" TargetMode="External"/><Relationship Id="rId18" Type="http://schemas.openxmlformats.org/officeDocument/2006/relationships/hyperlink" Target="https://www.iso.org/standard/74206.html" TargetMode="External"/><Relationship Id="rId19" Type="http://schemas.openxmlformats.org/officeDocument/2006/relationships/hyperlink" Target="https://www.iso.org/standard/82914.html" TargetMode="External"/><Relationship Id="rId20" Type="http://schemas.openxmlformats.org/officeDocument/2006/relationships/hyperlink" Target="https://landingpage.bsigroup.com/LandingPage/Standard?UPI=000000000030382760" TargetMode="External"/><Relationship Id="rId21" Type="http://schemas.openxmlformats.org/officeDocument/2006/relationships/hyperlink" Target="https://ukbimframework.org/resources/" TargetMode="External"/><Relationship Id="rId22" Type="http://schemas.openxmlformats.org/officeDocument/2006/relationships/hyperlink" Target="https://info.corenet.gov.sg/docs/default-source/bim-guides/singapore/singapore-bim-guide_v2.pdf" TargetMode="External"/><Relationship Id="rId23" Type="http://schemas.openxmlformats.org/officeDocument/2006/relationships/hyperlink" Target="https://www.dmt.gov.ae/adm/-/media/Project/DMT/ADM/E-Library/0001-Jan-2022-Doc/ADM-BIM-002Documentation-Guidelines-for-Infrastructure-projects.pdf" TargetMode="External"/><Relationship Id="rId24" Type="http://schemas.openxmlformats.org/officeDocument/2006/relationships/hyperlink" Target="https://www.dm.gov.ae/building-planning-circulars-2/" TargetMode="External"/><Relationship Id="rId25" Type="http://schemas.openxmlformats.org/officeDocument/2006/relationships/hyperlink" Target="https://github.com/buildingSMART/IDS/releases" TargetMode="External"/><Relationship Id="rId26" Type="http://schemas.openxmlformats.org/officeDocument/2006/relationships/hyperlink" Target="https://www.dm.gov.ae/municipality-business/al-safat-dubai-green-building-system/" TargetMode="External"/><Relationship Id="rId27" Type="http://schemas.openxmlformats.org/officeDocument/2006/relationships/hyperlink" Target="https://www.dmt.gov.ae/en/adm/Media-Centre/News/08Jan2025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