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spacing w:before="840"/>
      </w:pPr>
      <w:r>
        <w:t>Interiors and fit out modelling</w:t>
      </w:r>
    </w:p>
    <w:p>
      <w:pPr/>
      <w:r>
        <w:t xml:space="preserve">Linked copies: ID STD-62 · </w:t>
      </w:r>
      <w:hyperlink r:id="rId13">
        <w:r>
          <w:rPr>
            <w:color w:val="9A7B45"/>
            <w:u w:val="single"/>
          </w:rPr>
          <w:t>TBP page</w:t>
        </w:r>
      </w:hyperlink>
      <w:r>
        <w:t xml:space="preserve"> · </w:t>
      </w:r>
      <w:hyperlink r:id="rId14">
        <w:r>
          <w:rPr>
            <w:color w:val="9A7B45"/>
            <w:u w:val="single"/>
          </w:rPr>
          <w:t>BABOOM edition</w:t>
        </w:r>
      </w:hyperlink>
      <w:r>
        <w:t xml:space="preserve"> · ArchHub: BABOOM companion</w:t>
      </w:r>
    </w:p>
    <w:p>
      <w:pPr/>
      <w:r>
        <w:t>BBM-STD-62-INTERIORS_MODELLING-V0.2 | Office standard | 4 November 2026 | V0.2 | Private controlled WIP draft</w:t>
      </w:r>
    </w:p>
    <w:p>
      <w:pPr/>
      <w:r>
        <w:rPr>
          <w:b/>
        </w:rPr>
        <w:t>Revision history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775"/>
        <w:gridCol w:w="1033"/>
        <w:gridCol w:w="8659"/>
      </w:tblGrid>
      <w:tr>
        <w:trPr>
          <w:cantSplit/>
          <w:tblHeader/>
        </w:trPr>
        <w:tc>
          <w:tcPr>
            <w:tcW w:type="dxa" w:w="775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Version</w:t>
            </w:r>
          </w:p>
        </w:tc>
        <w:tc>
          <w:tcPr>
            <w:tcW w:type="dxa" w:w="1033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Date</w:t>
            </w:r>
          </w:p>
        </w:tc>
        <w:tc>
          <w:tcPr>
            <w:tcW w:type="dxa" w:w="8659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Change</w:t>
            </w:r>
          </w:p>
        </w:tc>
      </w:tr>
      <w:tr>
        <w:trPr>
          <w:cantSplit/>
        </w:trPr>
        <w:tc>
          <w:tcPr>
            <w:tcW w:type="dxa" w:w="775"/>
          </w:tcPr>
          <w:p>
            <w:r>
              <w:rPr>
                <w:sz w:val="17"/>
              </w:rPr>
            </w:r>
            <w:r>
              <w:rPr>
                <w:sz w:val="17"/>
              </w:rPr>
              <w:t>V0.1</w:t>
            </w:r>
          </w:p>
        </w:tc>
        <w:tc>
          <w:tcPr>
            <w:tcW w:type="dxa" w:w="1033"/>
          </w:tcPr>
          <w:p>
            <w:r>
              <w:rPr>
                <w:sz w:val="17"/>
              </w:rPr>
            </w:r>
            <w:r>
              <w:rPr>
                <w:sz w:val="17"/>
              </w:rPr>
              <w:t>2026-10-16</w:t>
            </w:r>
          </w:p>
        </w:tc>
        <w:tc>
          <w:tcPr>
            <w:tcW w:type="dxa" w:w="8659"/>
          </w:tcPr>
          <w:p>
            <w:r>
              <w:rPr>
                <w:sz w:val="17"/>
              </w:rPr>
            </w:r>
            <w:r>
              <w:rPr>
                <w:sz w:val="17"/>
              </w:rPr>
              <w:t>Initial controlled WIP draft.</w:t>
            </w:r>
          </w:p>
        </w:tc>
      </w:tr>
      <w:tr>
        <w:trPr>
          <w:cantSplit/>
        </w:trPr>
        <w:tc>
          <w:tcPr>
            <w:tcW w:type="dxa" w:w="775"/>
          </w:tcPr>
          <w:p>
            <w:r>
              <w:rPr>
                <w:sz w:val="17"/>
              </w:rPr>
            </w:r>
            <w:r>
              <w:rPr>
                <w:sz w:val="17"/>
              </w:rPr>
              <w:t>V0.2</w:t>
            </w:r>
          </w:p>
        </w:tc>
        <w:tc>
          <w:tcPr>
            <w:tcW w:type="dxa" w:w="1033"/>
          </w:tcPr>
          <w:p>
            <w:r>
              <w:rPr>
                <w:sz w:val="17"/>
              </w:rPr>
            </w:r>
            <w:r>
              <w:rPr>
                <w:sz w:val="17"/>
              </w:rPr>
              <w:t>2026-11-04</w:t>
            </w:r>
          </w:p>
        </w:tc>
        <w:tc>
          <w:tcPr>
            <w:tcW w:type="dxa" w:w="8659"/>
          </w:tcPr>
          <w:p>
            <w:r>
              <w:rPr>
                <w:sz w:val="17"/>
              </w:rPr>
            </w:r>
            <w:r>
              <w:rPr>
                <w:sz w:val="17"/>
              </w:rPr>
              <w:t>Closed audit rows G191-G192: authority fit-out route table (DM, Civil Defence, Abu Dhabi), FinishKey reaction-to-fire and green-rating fields; IMI Framework naming; current set links; spacing fixes + cross-doc pointer pass.</w:t>
            </w:r>
          </w:p>
        </w:tc>
      </w:tr>
    </w:tbl>
    <w:p/>
    <w:p>
      <w:pPr>
        <w:pStyle w:val="Heading1"/>
      </w:pPr>
      <w:r>
        <w:t>1 Scope rooms and discipline boundaries</w:t>
      </w:r>
    </w:p>
    <w:p>
      <w:pPr/>
      <w:r>
        <w:t xml:space="preserve">This annex covers SG-032: rooms/zones, finishes, ceilings, partitions, joinery, fixtures and furniture. Extend </w:t>
      </w:r>
      <w:r>
        <w:rPr>
          <w:color w:val="9A7B45"/>
          <w:u w:val="single"/>
        </w:rPr>
        <w:t>architectural modelling</w:t>
      </w:r>
      <w:r>
        <w:t xml:space="preserve"> rather than creating another room/area authority. Apply </w:t>
      </w:r>
      <w:r>
        <w:rPr>
          <w:color w:val="9A7B45"/>
          <w:u w:val="single"/>
        </w:rPr>
        <w:t>BoD</w:t>
      </w:r>
      <w:r>
        <w:t xml:space="preserve">, </w:t>
      </w:r>
      <w:r>
        <w:rPr>
          <w:color w:val="9A7B45"/>
          <w:u w:val="single"/>
        </w:rPr>
        <w:t>EIR/LOIN</w:t>
      </w:r>
      <w:r>
        <w:t xml:space="preserve">, </w:t>
      </w:r>
      <w:r>
        <w:rPr>
          <w:color w:val="9A7B45"/>
          <w:u w:val="single"/>
        </w:rPr>
        <w:t>templates</w:t>
      </w:r>
      <w:r>
        <w:t xml:space="preserve">, </w:t>
      </w:r>
      <w:r>
        <w:rPr>
          <w:color w:val="9A7B45"/>
          <w:u w:val="single"/>
        </w:rPr>
        <w:t>drawing outputs</w:t>
      </w:r>
      <w:r>
        <w:t xml:space="preserve">, </w:t>
      </w:r>
      <w:r>
        <w:rPr>
          <w:color w:val="9A7B45"/>
          <w:u w:val="single"/>
        </w:rPr>
        <w:t>dictionary</w:t>
      </w:r>
      <w:r>
        <w:t xml:space="preserve"> and </w:t>
      </w:r>
      <w:r>
        <w:rPr>
          <w:color w:val="9A7B45"/>
          <w:u w:val="single"/>
        </w:rPr>
        <w:t>Manual V0.5</w:t>
      </w:r>
      <w:r>
        <w:t xml:space="preserve">. The </w:t>
      </w:r>
      <w:r>
        <w:rPr>
          <w:color w:val="9A7B45"/>
          <w:u w:val="single"/>
        </w:rPr>
        <w:t>editable interiors pack</w:t>
      </w:r>
      <w:r>
        <w:t xml:space="preserve"> provides room data, finish, interface, phase/output and acceptance records.</w:t>
      </w:r>
    </w:p>
    <w:p>
      <w:pPr/>
      <w:r>
        <w:t>Interiors lead owns fit-out intent and finish/joinery authoring; architectural owner controls base-build room/partition/envelope interfaces; structure owns openings/support adequacy; mechanical/electrical/public-health/fire designers own service systems and performance. Agree who authors shared partitions/ceilings/openings and include reference-only geometry rather than duplicate physical quantities. Coordinator checks interface allocation; a distinct competent checker reviews; submission/receiving authority remains separate. A ceiling-family category or modelled fire rating does not establish design adequacy or authority approval.</w:t>
      </w:r>
    </w:p>
    <w:p>
      <w:pPr/>
      <w:r>
        <w:t>Use stable SpaceID from BBM-STD-58, with room number/name, level, zone, phase/option and brief requirement as separate controlled attributes. A fit-out renumber does not create a replacement space identity. Record computation height, agreed measurement boundary, source base-build revision, link phase/room-bounding settings, survey limitations and responsible designer. Distinguish a tag deletion from unplacing a room; preserve exceptions and do not add separators to hide a wrong linked boundary without a reviewed decision.</w:t>
      </w:r>
    </w:p>
    <w:p>
      <w:pPr>
        <w:pStyle w:val="Heading1"/>
      </w:pPr>
      <w:r>
        <w:t>2 Finishes keys and room data sheets</w:t>
      </w:r>
    </w:p>
    <w:p>
      <w:pPr/>
      <w:r>
        <w:t xml:space="preserve">Each Room Data Sheet (RDS) joins SpaceID and selected phase/option to use/brief source, floor/wall/ceiling/skirting finish keys, approved material/specification/detail revisions, quantities/measurement rule, fixtures/equipment, performance/access criteria, MEP interfaces and reviewer. Unknown actual fire/acoustic/hygiene/accessibility or authority criteria remain open BoD issues, not invented defaults. A finish code must resolve to one controlled finish record; appearance alone is not evidence of performance. Each FinishKey also carries Reaction_To_Fire_Class with its test standard (basis: UAE Fire &amp; Life Safety Code of Practice, September 2018 edition, plus the emirate Civil Defence authority's amendments current at project start, recorded in the BEP) and Rating_Material_Credit (Al Sa'fat or Estidama material credit, for example low-emitting materials; statutory minimums owned by BBM-STD-57 §2 and </w:t>
      </w:r>
      <w:r>
        <w:rPr>
          <w:color w:val="9A7B45"/>
          <w:u w:val="single"/>
        </w:rPr>
        <w:t>BBM-STD-85</w:t>
      </w:r>
      <w:r>
        <w:t xml:space="preserve"> §7).</w:t>
      </w:r>
    </w:p>
    <w:p>
      <w:pPr/>
      <w:r>
        <w:t>For each FinishKey record material/product/source evidence, substrate/build-up and thickness/unit, location/application, finish system/specification clause, detail, state/option, quantity source and exclusions, owner and current approval. Retain BBM-STD-71 material authority. The workbook Source index defines synthetic MAT62, SP62 and DET62 records at R01 for the specimen; its finish/quantity references resolve to those records only. These are controlled fixture descriptions and measurement/detail specifications, not real product approvals or supplied native construction details. Actual products, build-ups and performance evidence remain required before design reliance. Separate finish objects are permitted for phase/quantity purpose only when the same physical finish is excluded from compound-layer take-off. Paint, material area, separate floor and room finish schedule are different representations; declare one quantity owner and reconcile duplicates. Record net/gross/returns/opening conventions before comparison.</w:t>
      </w:r>
    </w:p>
    <w:p>
      <w:pPr>
        <w:pStyle w:val="Heading1"/>
      </w:pPr>
      <w:r>
        <w:t>3 Ceiling service and joinery coordination</w:t>
      </w:r>
    </w:p>
    <w:p>
      <w:pPr/>
      <w:r>
        <w:t>Set one agreed room/zone ceiling grid origin, axes/module, level/offset and datum. Identify ceiling systems/suspension boundaries, lighting, diffusers, sprinklers/detectors, access panels and support/penetration interfaces with system owner, actual level and opening/clearance source. Required service/maintenance/removal routes, access panel size/opening direction and below/above-ceiling obstruction checks are design requirements, not merely clashes of visible components. Use source model revisions and agreed minimum clearance/uncertainty; missing safety/service criteria hold the affected use.</w:t>
      </w:r>
    </w:p>
    <w:p>
      <w:pPr/>
      <w:r>
        <w:t>Joinery requires Joinery_ID, type/host/set-out, material/spec/detail, dimensions and project-specific fabrication/installation tolerance, support/fixing and equipment/fixture connections. Record source basis for tolerances and interfaces between finish build-ups, appliance doors, access, water/waste/power/ventilation and structure. Do not infer electrical load, hydraulic connection or fixing adequacy from a nested symbol. Manufacturer details remain reference evidence until compatible geometry/rights and competent interface review are established.</w:t>
      </w:r>
    </w:p>
    <w:p>
      <w:pPr/>
      <w:r>
        <w:t>For a fictional width check only, criterion J62-TOL permits absolute width deviation plus stated bounded measurement uncertainty &lt;=2 mm. Expected measurements 2001+/-0.5 mm against nominal 2000 mm give 1.5 mm and pass; 2003+/-0.5 mm give 3.5 mm and fail. These are synthetic test values, not office fabrication tolerances or measured installation evidence. Real joinery acceptance requires the actual approved criterion and competent check.</w:t>
      </w:r>
    </w:p>
    <w:p>
      <w:pPr>
        <w:pStyle w:val="Heading1"/>
      </w:pPr>
      <w:r>
        <w:t>4 Existing demolition options and retained conditions</w:t>
      </w:r>
    </w:p>
    <w:p>
      <w:pPr/>
      <w:r>
        <w:t>Freeze verified base-build sources and their surveyed/record-derived/assumed status before modification. Retained, demolished, new and temporary objects use the adopted phase timeline; record creation/demolition and link mapping rather than deleting existing condition evidence. Options have selected/unselected status and a decision owner; schedules/exchanges include only the declared option. Replacing a modelling error is not evidence of real demolition. Occupied-building restrictions, services isolation and significant residual risks need competent review under Manual §9.4.</w:t>
      </w:r>
    </w:p>
    <w:p>
      <w:pPr/>
      <w:r>
        <w:t>For SYN-ID62 R01, SpaceID SYN-SP62-01 is a 4x3 m internal room, height 3 m, level 0; room number R01 is display metadata. One 1x2 m door opening lies in a wall; no windows, reveals or returns in the simple wall-face test. Floor plan area 12 m2; wall perimeter 14 m gives 42 m2 gross and 40 m2 net after the 2 m2 opening. No statutory GFA/occupancy claim is made.</w:t>
      </w:r>
    </w:p>
    <w:p>
      <w:pPr/>
      <w:r>
        <w:t>Selected option A retains existing floor FF-01, 12 m2. Existing ceiling 12 m2 is demolished; new board ceiling CF-01 at 2700 mm is 12 m2 gross less one 500x500 mm access opening =11.75 m2 net board. Access panel AP-01 is scheduled separately as count 1, not an additional 12 m2 ceiling. New wall finish WF-01 is 40 m2 under the stated rule. Unselected option B is excluded. Combining existing/demolition/new phase reports as completed quantities is prohibited; retained floor remains 12 m2, not 24 m2 from an extra duplicate new finish.</w:t>
      </w:r>
    </w:p>
    <w:p>
      <w:pPr/>
      <w:r>
        <w:t>Ceiling coordinates are millimetres in the room-local test frame, X east, Y north, Z up, origin southwest floor corner. Two lights at (1000,1500,2700)/(3000,1500,2700), one diffuser (2000,1500,2700) and AP-01 centre (2500,1000,2700). Symbols are test placements, not lighting/airflow/fire design. One cabinet J-01 occupies X0..2000, Y0..600, Z0..900; test service zone X0..2000, Y600..1400 has 800 mm depth, a fictional envelope requiring actual project source before design use. One sink fixture S-01 centred (1000,300) joins plumbing connections still Unverified. Two chairs F-01/F-02 remain separate Furniture occurrences. The floor area includes beneath cabinetry; no cabinet footprint deduction is applied. Stable IDs, type/host and room joins survive view/phase/option changes.</w:t>
      </w:r>
    </w:p>
    <w:p>
      <w:pPr>
        <w:pStyle w:val="Heading1"/>
      </w:pPr>
      <w:r>
        <w:t>5 Required views schedules and authority packages</w:t>
      </w:r>
    </w:p>
    <w:p>
      <w:pPr/>
      <w:r>
        <w:t>Provide room/zone plans, furniture/equipment layout, partition plan, reflected ceiling plan, floor/wall finish plans, internal elevations/sections, joinery/detail references and itemised schedules as required by appointment. Tie each to selected phase/option, model/source revision, SpaceID and controlled sheet ID. Reflected views, service grids and ceiling levels must reconcile to elevations/sections and service models. Check clipped/cropped objects, tags, finish keys, dimensions and reference callouts in final plotted output under BBM-STD-67; whole-sheet and nine-tile review apply.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1749"/>
        <w:gridCol w:w="3717"/>
        <w:gridCol w:w="4999"/>
      </w:tblGrid>
      <w:tr>
        <w:trPr>
          <w:cantSplit/>
          <w:tblHeader/>
        </w:trPr>
        <w:tc>
          <w:tcPr>
            <w:tcW w:type="dxa" w:w="1749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Synthetic schedule</w:t>
            </w:r>
          </w:p>
        </w:tc>
        <w:tc>
          <w:tcPr>
            <w:tcW w:type="dxa" w:w="3717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Expected output</w:t>
            </w:r>
          </w:p>
        </w:tc>
        <w:tc>
          <w:tcPr>
            <w:tcW w:type="dxa" w:w="4999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Independent reconciliation</w:t>
            </w:r>
          </w:p>
        </w:tc>
      </w:tr>
      <w:tr>
        <w:trPr>
          <w:cantSplit/>
        </w:trPr>
        <w:tc>
          <w:tcPr>
            <w:tcW w:type="dxa" w:w="1749"/>
          </w:tcPr>
          <w:p>
            <w:r>
              <w:rPr>
                <w:sz w:val="17"/>
              </w:rPr>
            </w:r>
            <w:r>
              <w:rPr>
                <w:sz w:val="17"/>
              </w:rPr>
              <w:t>RDS/​finish</w:t>
            </w:r>
          </w:p>
        </w:tc>
        <w:tc>
          <w:tcPr>
            <w:tcW w:type="dxa" w:w="3717"/>
          </w:tcPr>
          <w:p>
            <w:r>
              <w:rPr>
                <w:sz w:val="17"/>
              </w:rPr>
            </w:r>
            <w:r>
              <w:rPr>
                <w:sz w:val="17"/>
              </w:rPr>
              <w:t>FF-01 retained 12 m2; WF-01 new 40 m2; CF-01 board net 11.75 m2, gross 12 m2 separately</w:t>
            </w:r>
          </w:p>
        </w:tc>
        <w:tc>
          <w:tcPr>
            <w:tcW w:type="dxa" w:w="4999"/>
          </w:tcPr>
          <w:p>
            <w:r>
              <w:rPr>
                <w:sz w:val="17"/>
              </w:rPr>
            </w:r>
            <w:r>
              <w:rPr>
                <w:sz w:val="17"/>
              </w:rPr>
              <w:t>Same room/​boundary/​phase/​option; no summing gross and net or duplicate representations</w:t>
            </w:r>
          </w:p>
        </w:tc>
      </w:tr>
      <w:tr>
        <w:trPr>
          <w:cantSplit/>
        </w:trPr>
        <w:tc>
          <w:tcPr>
            <w:tcW w:type="dxa" w:w="1749"/>
          </w:tcPr>
          <w:p>
            <w:r>
              <w:rPr>
                <w:sz w:val="17"/>
              </w:rPr>
            </w:r>
            <w:r>
              <w:rPr>
                <w:sz w:val="17"/>
              </w:rPr>
              <w:t>Reflected ceiling</w:t>
            </w:r>
          </w:p>
        </w:tc>
        <w:tc>
          <w:tcPr>
            <w:tcW w:type="dxa" w:w="3717"/>
          </w:tcPr>
          <w:p>
            <w:r>
              <w:rPr>
                <w:sz w:val="17"/>
              </w:rPr>
            </w:r>
            <w:r>
              <w:rPr>
                <w:sz w:val="17"/>
              </w:rPr>
              <w:t>2 light fixtures,1 diffuser,1 access panel; Z2700mm</w:t>
            </w:r>
          </w:p>
        </w:tc>
        <w:tc>
          <w:tcPr>
            <w:tcW w:type="dxa" w:w="4999"/>
          </w:tcPr>
          <w:p>
            <w:r>
              <w:rPr>
                <w:sz w:val="17"/>
              </w:rPr>
            </w:r>
            <w:r>
              <w:rPr>
                <w:sz w:val="17"/>
              </w:rPr>
              <w:t>Categories/​IDs/​positions and opening geometry agree with service source and elevation</w:t>
            </w:r>
          </w:p>
        </w:tc>
      </w:tr>
      <w:tr>
        <w:trPr>
          <w:cantSplit/>
        </w:trPr>
        <w:tc>
          <w:tcPr>
            <w:tcW w:type="dxa" w:w="1749"/>
          </w:tcPr>
          <w:p>
            <w:r>
              <w:rPr>
                <w:sz w:val="17"/>
              </w:rPr>
            </w:r>
            <w:r>
              <w:rPr>
                <w:sz w:val="17"/>
              </w:rPr>
              <w:t>Joinery/​fixture/​furniture</w:t>
            </w:r>
          </w:p>
        </w:tc>
        <w:tc>
          <w:tcPr>
            <w:tcW w:type="dxa" w:w="3717"/>
          </w:tcPr>
          <w:p>
            <w:r>
              <w:rPr>
                <w:sz w:val="17"/>
              </w:rPr>
            </w:r>
            <w:r>
              <w:rPr>
                <w:sz w:val="17"/>
              </w:rPr>
              <w:t>1 cabinet J-01,1 sink S-01,2 chairs F-01/​F-02</w:t>
            </w:r>
          </w:p>
        </w:tc>
        <w:tc>
          <w:tcPr>
            <w:tcW w:type="dxa" w:w="4999"/>
          </w:tcPr>
          <w:p>
            <w:r>
              <w:rPr>
                <w:sz w:val="17"/>
              </w:rPr>
            </w:r>
            <w:r>
              <w:rPr>
                <w:sz w:val="17"/>
              </w:rPr>
              <w:t>Separate categories/​counts; plumbing/​support/​access interfaces reviewed</w:t>
            </w:r>
          </w:p>
        </w:tc>
      </w:tr>
    </w:tbl>
    <w:p/>
    <w:p>
      <w:pPr/>
      <w:r>
        <w:t>Do not aggregate unlike category counts into an unexplained total of fixtures. Every required finish/material/detail/specification reference must resolve at the selected revision and permitted audience. Export native/IFC/data under BBM-STD-74 and verify identities/room joins, quantities/units, visibility and required properties in the actual receiver. A render does not prove fit-out coordination or usable information.</w:t>
      </w:r>
    </w:p>
    <w:p>
      <w:pPr/>
      <w:r>
        <w:t>Use BBM-STD-57 to identify actual fit-out, building-modification, fire/utility/landlord and completion requirements for the selected jurisdiction/service. The DDA required-drawing list includes approved/proposed layouts and ceiling/furniture/floor information; its scope is not a Dubai-wide or UAE-wide rule. Other routes are recorded in the table below; their exact titles are not confirmed in this revision, so each row is completed with source and date before use.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1075"/>
        <w:gridCol w:w="1173"/>
        <w:gridCol w:w="4160"/>
        <w:gridCol w:w="1093"/>
        <w:gridCol w:w="1177"/>
        <w:gridCol w:w="1788"/>
      </w:tblGrid>
      <w:tr>
        <w:trPr>
          <w:cantSplit/>
          <w:tblHeader/>
        </w:trPr>
        <w:tc>
          <w:tcPr>
            <w:tcW w:type="dxa" w:w="1075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Route</w:t>
            </w:r>
          </w:p>
        </w:tc>
        <w:tc>
          <w:tcPr>
            <w:tcW w:type="dxa" w:w="1173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Authority</w:t>
            </w:r>
          </w:p>
        </w:tc>
        <w:tc>
          <w:tcPr>
            <w:tcW w:type="dxa" w:w="4160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Instrument /​ service (title to confirm)</w:t>
            </w:r>
          </w:p>
        </w:tc>
        <w:tc>
          <w:tcPr>
            <w:tcW w:type="dxa" w:w="1093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Source URL</w:t>
            </w:r>
          </w:p>
        </w:tc>
        <w:tc>
          <w:tcPr>
            <w:tcW w:type="dxa" w:w="1177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Checked date</w:t>
            </w:r>
          </w:p>
        </w:tc>
        <w:tc>
          <w:tcPr>
            <w:tcW w:type="dxa" w:w="1788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rPr>
          <w:cantSplit/>
        </w:trPr>
        <w:tc>
          <w:tcPr>
            <w:tcW w:type="dxa" w:w="1075"/>
          </w:tcPr>
          <w:p>
            <w:r>
              <w:rPr>
                <w:sz w:val="17"/>
              </w:rPr>
            </w:r>
            <w:r>
              <w:rPr>
                <w:sz w:val="17"/>
              </w:rPr>
              <w:t>DDA fit-out permit</w:t>
            </w:r>
          </w:p>
        </w:tc>
        <w:tc>
          <w:tcPr>
            <w:tcW w:type="dxa" w:w="1173"/>
          </w:tcPr>
          <w:p>
            <w:r>
              <w:rPr>
                <w:sz w:val="17"/>
              </w:rPr>
            </w:r>
            <w:r>
              <w:rPr>
                <w:sz w:val="17"/>
              </w:rPr>
              <w:t>DDA</w:t>
            </w:r>
          </w:p>
        </w:tc>
        <w:tc>
          <w:tcPr>
            <w:tcW w:type="dxa" w:w="4160"/>
          </w:tcPr>
          <w:p>
            <w:r>
              <w:rPr>
                <w:sz w:val="17"/>
              </w:rPr>
            </w:r>
            <w:r>
              <w:rPr>
                <w:sz w:val="17"/>
              </w:rPr>
              <w:t>Fit-Out Permit service and required drawings (linked in References)</w:t>
            </w:r>
          </w:p>
        </w:tc>
        <w:tc>
          <w:tcPr>
            <w:tcW w:type="dxa" w:w="1093"/>
          </w:tcPr>
          <w:p>
            <w:r>
              <w:rPr>
                <w:sz w:val="17"/>
              </w:rPr>
            </w:r>
            <w:r>
              <w:rPr>
                <w:sz w:val="17"/>
              </w:rPr>
              <w:t>Recorded in References</w:t>
            </w:r>
          </w:p>
        </w:tc>
        <w:tc>
          <w:tcPr>
            <w:tcW w:type="dxa" w:w="1177"/>
          </w:tcPr>
          <w:p>
            <w:r>
              <w:rPr>
                <w:sz w:val="17"/>
              </w:rPr>
            </w:r>
            <w:r>
              <w:rPr>
                <w:sz w:val="17"/>
              </w:rPr>
              <w:t>2026-10-16</w:t>
            </w:r>
          </w:p>
        </w:tc>
        <w:tc>
          <w:tcPr>
            <w:tcW w:type="dxa" w:w="1788"/>
          </w:tcPr>
          <w:p>
            <w:r>
              <w:rPr>
                <w:sz w:val="17"/>
              </w:rPr>
            </w:r>
            <w:r>
              <w:rPr>
                <w:sz w:val="17"/>
              </w:rPr>
              <w:t>Confirm latest package before submission</w:t>
            </w:r>
          </w:p>
        </w:tc>
      </w:tr>
      <w:tr>
        <w:trPr>
          <w:cantSplit/>
        </w:trPr>
        <w:tc>
          <w:tcPr>
            <w:tcW w:type="dxa" w:w="1075"/>
          </w:tcPr>
          <w:p>
            <w:r>
              <w:rPr>
                <w:sz w:val="17"/>
              </w:rPr>
            </w:r>
            <w:r>
              <w:rPr>
                <w:sz w:val="17"/>
              </w:rPr>
              <w:t>DM fit-out permit</w:t>
            </w:r>
          </w:p>
        </w:tc>
        <w:tc>
          <w:tcPr>
            <w:tcW w:type="dxa" w:w="1173"/>
          </w:tcPr>
          <w:p>
            <w:r>
              <w:rPr>
                <w:sz w:val="17"/>
              </w:rPr>
            </w:r>
            <w:r>
              <w:rPr>
                <w:sz w:val="17"/>
              </w:rPr>
              <w:t>Dubai Municipality</w:t>
            </w:r>
          </w:p>
        </w:tc>
        <w:tc>
          <w:tcPr>
            <w:tcW w:type="dxa" w:w="4160"/>
          </w:tcPr>
          <w:p>
            <w:r>
              <w:rPr>
                <w:sz w:val="17"/>
              </w:rPr>
            </w:r>
            <w:r>
              <w:rPr>
                <w:sz w:val="17"/>
              </w:rPr>
              <w:t>Enter from DM service catalogue</w:t>
            </w:r>
          </w:p>
        </w:tc>
        <w:tc>
          <w:tcPr>
            <w:tcW w:type="dxa" w:w="1093"/>
          </w:tcPr>
          <w:p>
            <w:r>
              <w:rPr>
                <w:sz w:val="17"/>
              </w:rPr>
            </w:r>
            <w:r>
              <w:rPr>
                <w:sz w:val="17"/>
              </w:rPr>
              <w:t>Enter</w:t>
            </w:r>
          </w:p>
        </w:tc>
        <w:tc>
          <w:tcPr>
            <w:tcW w:type="dxa" w:w="1177"/>
          </w:tcPr>
          <w:p>
            <w:r>
              <w:rPr>
                <w:sz w:val="17"/>
              </w:rPr>
            </w:r>
            <w:r>
              <w:rPr>
                <w:sz w:val="17"/>
              </w:rPr>
              <w:t>Enter</w:t>
            </w:r>
          </w:p>
        </w:tc>
        <w:tc>
          <w:tcPr>
            <w:tcW w:type="dxa" w:w="1788"/>
          </w:tcPr>
          <w:p>
            <w:r>
              <w:rPr>
                <w:sz w:val="17"/>
              </w:rPr>
            </w:r>
            <w:r>
              <w:rPr>
                <w:sz w:val="17"/>
              </w:rPr>
              <w:t>Not confirmed</w:t>
            </w:r>
          </w:p>
        </w:tc>
      </w:tr>
      <w:tr>
        <w:trPr>
          <w:cantSplit/>
        </w:trPr>
        <w:tc>
          <w:tcPr>
            <w:tcW w:type="dxa" w:w="1075"/>
          </w:tcPr>
          <w:p>
            <w:r>
              <w:rPr>
                <w:sz w:val="17"/>
              </w:rPr>
            </w:r>
            <w:r>
              <w:rPr>
                <w:sz w:val="17"/>
              </w:rPr>
              <w:t>Civil Defence fit-out approval</w:t>
            </w:r>
          </w:p>
        </w:tc>
        <w:tc>
          <w:tcPr>
            <w:tcW w:type="dxa" w:w="1173"/>
          </w:tcPr>
          <w:p>
            <w:r>
              <w:rPr>
                <w:sz w:val="17"/>
              </w:rPr>
            </w:r>
            <w:r>
              <w:rPr>
                <w:sz w:val="17"/>
              </w:rPr>
              <w:t>Emirate Civil Defence authority</w:t>
            </w:r>
          </w:p>
        </w:tc>
        <w:tc>
          <w:tcPr>
            <w:tcW w:type="dxa" w:w="4160"/>
          </w:tcPr>
          <w:p>
            <w:r>
              <w:rPr>
                <w:sz w:val="17"/>
              </w:rPr>
            </w:r>
            <w:r>
              <w:rPr>
                <w:sz w:val="17"/>
              </w:rPr>
              <w:t>Enter; fire basis per UAE Fire &amp; Life Safety Code of Practice, September 2018 edition, plus the emirate Civil Defence authority's amendments current at project start, recorded in the BEP</w:t>
            </w:r>
          </w:p>
        </w:tc>
        <w:tc>
          <w:tcPr>
            <w:tcW w:type="dxa" w:w="1093"/>
          </w:tcPr>
          <w:p>
            <w:r>
              <w:rPr>
                <w:sz w:val="17"/>
              </w:rPr>
            </w:r>
            <w:r>
              <w:rPr>
                <w:sz w:val="17"/>
              </w:rPr>
              <w:t>Enter</w:t>
            </w:r>
          </w:p>
        </w:tc>
        <w:tc>
          <w:tcPr>
            <w:tcW w:type="dxa" w:w="1177"/>
          </w:tcPr>
          <w:p>
            <w:r>
              <w:rPr>
                <w:sz w:val="17"/>
              </w:rPr>
            </w:r>
            <w:r>
              <w:rPr>
                <w:sz w:val="17"/>
              </w:rPr>
              <w:t>Enter</w:t>
            </w:r>
          </w:p>
        </w:tc>
        <w:tc>
          <w:tcPr>
            <w:tcW w:type="dxa" w:w="1788"/>
          </w:tcPr>
          <w:p>
            <w:r>
              <w:rPr>
                <w:sz w:val="17"/>
              </w:rPr>
            </w:r>
            <w:r>
              <w:rPr>
                <w:sz w:val="17"/>
              </w:rPr>
              <w:t>Not confirmed</w:t>
            </w:r>
          </w:p>
        </w:tc>
      </w:tr>
      <w:tr>
        <w:trPr>
          <w:cantSplit/>
        </w:trPr>
        <w:tc>
          <w:tcPr>
            <w:tcW w:type="dxa" w:w="1075"/>
          </w:tcPr>
          <w:p>
            <w:r>
              <w:rPr>
                <w:sz w:val="17"/>
              </w:rPr>
            </w:r>
            <w:r>
              <w:rPr>
                <w:sz w:val="17"/>
              </w:rPr>
              <w:t>Abu Dhabi fit-out</w:t>
            </w:r>
          </w:p>
        </w:tc>
        <w:tc>
          <w:tcPr>
            <w:tcW w:type="dxa" w:w="1173"/>
          </w:tcPr>
          <w:p>
            <w:r>
              <w:rPr>
                <w:sz w:val="17"/>
              </w:rPr>
            </w:r>
            <w:r>
              <w:rPr>
                <w:sz w:val="17"/>
              </w:rPr>
              <w:t>DMT /​ municipality</w:t>
            </w:r>
          </w:p>
        </w:tc>
        <w:tc>
          <w:tcPr>
            <w:tcW w:type="dxa" w:w="4160"/>
          </w:tcPr>
          <w:p>
            <w:r>
              <w:rPr>
                <w:sz w:val="17"/>
              </w:rPr>
            </w:r>
            <w:r>
              <w:rPr>
                <w:sz w:val="17"/>
              </w:rPr>
              <w:t>Enter from DMT service catalogue</w:t>
            </w:r>
          </w:p>
        </w:tc>
        <w:tc>
          <w:tcPr>
            <w:tcW w:type="dxa" w:w="1093"/>
          </w:tcPr>
          <w:p>
            <w:r>
              <w:rPr>
                <w:sz w:val="17"/>
              </w:rPr>
            </w:r>
            <w:r>
              <w:rPr>
                <w:sz w:val="17"/>
              </w:rPr>
              <w:t>Enter</w:t>
            </w:r>
          </w:p>
        </w:tc>
        <w:tc>
          <w:tcPr>
            <w:tcW w:type="dxa" w:w="1177"/>
          </w:tcPr>
          <w:p>
            <w:r>
              <w:rPr>
                <w:sz w:val="17"/>
              </w:rPr>
            </w:r>
            <w:r>
              <w:rPr>
                <w:sz w:val="17"/>
              </w:rPr>
              <w:t>Enter</w:t>
            </w:r>
          </w:p>
        </w:tc>
        <w:tc>
          <w:tcPr>
            <w:tcW w:type="dxa" w:w="1788"/>
          </w:tcPr>
          <w:p>
            <w:r>
              <w:rPr>
                <w:sz w:val="17"/>
              </w:rPr>
            </w:r>
            <w:r>
              <w:rPr>
                <w:sz w:val="17"/>
              </w:rPr>
              <w:t>Not confirmed</w:t>
            </w:r>
          </w:p>
        </w:tc>
      </w:tr>
    </w:tbl>
    <w:p/>
    <w:p>
      <w:pPr>
        <w:pStyle w:val="Heading1"/>
      </w:pPr>
      <w:r>
        <w:t>6 Checklist adverse tests and release</w:t>
      </w:r>
    </w:p>
    <w:p>
      <w:pPr/>
      <w:r>
        <w:t>The Room data, Finishes, Interfaces, Phase output, Quantities and Checklist forms capture source/requirement revisions, mandatory applicability, expected/observed quantities/IDs/geometry, criteria/uncertainty, evidence URI/hashes, actual builds, competent checker/date, issue/correction/retest and separate authoriser/recipient decision. Native specimen construction, actual base-build survey, adopted products/criteria, source documents and receiving checks are Not executed here.</w:t>
      </w:r>
    </w:p>
    <w:p>
      <w:pPr/>
      <w:r>
        <w:t>Reset each negative test from SYN-ID62 R01: duplicate FF-01 quantity source, missing finish/spec link, ceiling-service collision/inaccessible panel, option B inadvertently included, changed linked phase/boundary or wrong joinery width. Identify exact objects/outputs, preserve failed evidence, correct by the owning designer/source and repeat affected room/finish/interface/quantity/receiver checks. All mandatory applicable information and design/access requirements must pass before affected release; a correct room total cannot conceal a missing fixture, invalid specification or blocked service zone.</w:t>
      </w:r>
    </w:p>
    <w:p>
      <w:pPr>
        <w:pStyle w:val="Heading1"/>
      </w:pPr>
      <w:r>
        <w:t>References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Office owners linked above; BBM-STD-32/33 revised guides supply room/finish/phase precedent; matrix SG-032. Proposed room specimen values are synthetic, not constructed or authority evidence.</w:t>
      </w:r>
    </w:p>
    <w:p>
      <w:pPr>
        <w:pStyle w:val="ListParagraph"/>
        <w:spacing w:after="40"/>
        <w:ind w:left="360" w:hanging="240"/>
      </w:pPr>
      <w:r>
        <w:t xml:space="preserve">•  </w:t>
      </w:r>
      <w:hyperlink r:id="rId15">
        <w:r>
          <w:rPr>
            <w:color w:val="9A7B45"/>
            <w:u w:val="single"/>
          </w:rPr>
          <w:t>ISO 19650-1:2018</w:t>
        </w:r>
      </w:hyperlink>
      <w:r>
        <w:t xml:space="preserve"> clauses 5/11; </w:t>
      </w:r>
      <w:hyperlink r:id="rId16">
        <w:r>
          <w:rPr>
            <w:color w:val="9A7B45"/>
            <w:u w:val="single"/>
          </w:rPr>
          <w:t>19650-2:2018</w:t>
        </w:r>
      </w:hyperlink>
      <w:r>
        <w:t xml:space="preserve"> clauses 5.6–5.7, production/exchange reading pointers; </w:t>
      </w:r>
      <w:hyperlink r:id="rId17">
        <w:r>
          <w:rPr>
            <w:color w:val="9A7B45"/>
            <w:u w:val="single"/>
          </w:rPr>
          <w:t>19650-3:2020</w:t>
        </w:r>
      </w:hyperlink>
      <w:r>
        <w:t xml:space="preserve">, operational context; </w:t>
      </w:r>
      <w:hyperlink r:id="rId18">
        <w:r>
          <w:rPr>
            <w:color w:val="9A7B45"/>
            <w:u w:val="single"/>
          </w:rPr>
          <w:t>19650-5:2020</w:t>
        </w:r>
      </w:hyperlink>
      <w:r>
        <w:t>, security context. Licensed applicability audit remains separate.</w:t>
      </w:r>
    </w:p>
    <w:p>
      <w:pPr>
        <w:pStyle w:val="ListParagraph"/>
        <w:spacing w:after="40"/>
        <w:ind w:left="360" w:hanging="240"/>
      </w:pPr>
      <w:r>
        <w:t xml:space="preserve">•  </w:t>
      </w:r>
      <w:hyperlink r:id="rId19">
        <w:r>
          <w:rPr>
            <w:color w:val="9A7B45"/>
            <w:u w:val="single"/>
          </w:rPr>
          <w:t>ISO 7817-1:2024</w:t>
        </w:r>
      </w:hyperlink>
      <w:r>
        <w:t xml:space="preserve"> and retained </w:t>
      </w:r>
      <w:hyperlink r:id="rId20">
        <w:r>
          <w:rPr>
            <w:color w:val="9A7B45"/>
            <w:u w:val="single"/>
          </w:rPr>
          <w:t>BS EN 17412-1:2020 predecessor</w:t>
        </w:r>
      </w:hyperlink>
      <w:r>
        <w:t xml:space="preserve">, purpose-led LOIN; </w:t>
      </w:r>
      <w:hyperlink r:id="rId21">
        <w:r>
          <w:rPr>
            <w:color w:val="9A7B45"/>
            <w:u w:val="single"/>
          </w:rPr>
          <w:t>IMI Framework resources (formerly UK BIM Framework, renamed May 2025)</w:t>
        </w:r>
      </w:hyperlink>
      <w:r>
        <w:t>. No automatic stage/LOD/tolerance equivalence.</w:t>
      </w:r>
    </w:p>
    <w:p>
      <w:pPr>
        <w:pStyle w:val="ListParagraph"/>
        <w:spacing w:after="40"/>
        <w:ind w:left="360" w:hanging="240"/>
      </w:pPr>
      <w:r>
        <w:t xml:space="preserve">•  </w:t>
      </w:r>
      <w:hyperlink r:id="rId22">
        <w:r>
          <w:rPr>
            <w:color w:val="9A7B45"/>
            <w:u w:val="single"/>
          </w:rPr>
          <w:t>BCA Singapore BIM Guide v2 (August 2013), historic benchmark</w:t>
        </w:r>
      </w:hyperlink>
      <w:r>
        <w:t>, responsibility/deliverable precedent, not a UAE fit-out rule.</w:t>
      </w:r>
    </w:p>
    <w:p>
      <w:pPr>
        <w:pStyle w:val="ListParagraph"/>
        <w:spacing w:after="40"/>
        <w:ind w:left="360" w:hanging="240"/>
      </w:pPr>
      <w:r>
        <w:t xml:space="preserve">•  </w:t>
      </w:r>
      <w:hyperlink r:id="rId23">
        <w:r>
          <w:rPr>
            <w:color w:val="9A7B45"/>
            <w:u w:val="single"/>
          </w:rPr>
          <w:t>DDA Fit-Out Permit service</w:t>
        </w:r>
      </w:hyperlink>
      <w:r>
        <w:t xml:space="preserve"> and </w:t>
      </w:r>
      <w:hyperlink r:id="rId24">
        <w:r>
          <w:rPr>
            <w:color w:val="9A7B45"/>
            <w:u w:val="single"/>
          </w:rPr>
          <w:t>required drawings</w:t>
        </w:r>
      </w:hyperlink>
      <w:r>
        <w:t>, checked 2026-10-16. Confirm actual service/category and latest required package before submission.</w:t>
      </w:r>
    </w:p>
    <w:p>
      <w:pPr>
        <w:pStyle w:val="ListParagraph"/>
        <w:spacing w:after="40"/>
        <w:ind w:left="360" w:hanging="240"/>
      </w:pPr>
      <w:r>
        <w:t xml:space="preserve">•  </w:t>
      </w:r>
      <w:hyperlink r:id="rId25">
        <w:r>
          <w:rPr>
            <w:color w:val="9A7B45"/>
            <w:u w:val="single"/>
          </w:rPr>
          <w:t>DM building/planning circulars</w:t>
        </w:r>
      </w:hyperlink>
      <w:r>
        <w:t xml:space="preserve"> and </w:t>
      </w:r>
      <w:hyperlink r:id="rId26">
        <w:r>
          <w:rPr>
            <w:color w:val="9A7B45"/>
            <w:u w:val="single"/>
          </w:rPr>
          <w:t>DMT infrastructure documentation</w:t>
        </w:r>
      </w:hyperlink>
      <w:r>
        <w:t>: jurisdiction-specific sources through BBM-STD-57, not interchangeable submission authorities.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 xml:space="preserve">Current sources, checked 2026-11-04: </w:t>
      </w:r>
      <w:hyperlink r:id="rId21">
        <w:r>
          <w:rPr>
            <w:color w:val="9A7B45"/>
            <w:u w:val="single"/>
          </w:rPr>
          <w:t>IMI Framework resources (formerly UK BIM Framework, renamed May 2025)</w:t>
        </w:r>
      </w:hyperlink>
      <w:r>
        <w:t xml:space="preserve">; </w:t>
      </w:r>
      <w:hyperlink r:id="rId27">
        <w:r>
          <w:rPr>
            <w:color w:val="9A7B45"/>
            <w:u w:val="single"/>
          </w:rPr>
          <w:t>UAE Fire &amp; Life Safety Code of Practice, September 2018</w:t>
        </w:r>
      </w:hyperlink>
      <w:r>
        <w:t xml:space="preserve">; </w:t>
      </w:r>
      <w:hyperlink r:id="rId28">
        <w:r>
          <w:rPr>
            <w:color w:val="9A7B45"/>
            <w:u w:val="single"/>
          </w:rPr>
          <w:t>Al Sa'fat</w:t>
        </w:r>
      </w:hyperlink>
      <w:r>
        <w:t xml:space="preserve">, </w:t>
      </w:r>
      <w:hyperlink r:id="rId29">
        <w:r>
          <w:rPr>
            <w:color w:val="9A7B45"/>
            <w:u w:val="single"/>
          </w:rPr>
          <w:t>Estidama Pearl minimums (DMT news, 8 Jan 2025)</w:t>
        </w:r>
      </w:hyperlink>
      <w:r>
        <w:t xml:space="preserve">. UAE requirement detail: </w:t>
      </w:r>
      <w:r>
        <w:rPr>
          <w:color w:val="9A7B45"/>
          <w:u w:val="single"/>
        </w:rPr>
        <w:t>BBM-STD-85</w:t>
      </w:r>
      <w:r>
        <w:t>.</w:t>
      </w:r>
    </w:p>
    <w:sectPr w:rsidR="00922C46" w:rsidSect="00922C46">
      <w:headerReference w:type="default" r:id="rId8"/>
      <w:footerReference w:type="default" r:id="rId9"/>
      <w:headerReference w:type="first" r:id="rId10"/>
      <w:pgSz w:w="11906" w:h="16838"/>
      <w:pgMar w:top="1701" w:right="720" w:bottom="720" w:left="720" w:header="454" w:footer="20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C3B23" w14:textId="77777777" w:rsidR="00721C27" w:rsidRDefault="00721C27" w:rsidP="00CB352A">
      <w:pPr>
        <w:spacing w:after="0" w:line="240" w:lineRule="auto"/>
      </w:pPr>
      <w:r>
        <w:separator/>
      </w:r>
    </w:p>
  </w:endnote>
  <w:endnote w:type="continuationSeparator" w:id="0">
    <w:p w14:paraId="311C7F5C" w14:textId="77777777" w:rsidR="00721C27" w:rsidRDefault="00721C27" w:rsidP="00CB3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Inter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403874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1233345" w14:textId="16A281E0" w:rsidR="00F66F4B" w:rsidRDefault="00F66F4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B1D756A" w14:textId="666CA5D8" w:rsidR="00F66F4B" w:rsidRDefault="00F66F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9EE4E" w14:textId="77777777" w:rsidR="00721C27" w:rsidRDefault="00721C27" w:rsidP="00CB352A">
      <w:pPr>
        <w:spacing w:after="0" w:line="240" w:lineRule="auto"/>
      </w:pPr>
      <w:r>
        <w:separator/>
      </w:r>
    </w:p>
  </w:footnote>
  <w:footnote w:type="continuationSeparator" w:id="0">
    <w:p w14:paraId="12244030" w14:textId="77777777" w:rsidR="00721C27" w:rsidRDefault="00721C27" w:rsidP="00CB3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8C6C" w14:textId="515D1FCF" w:rsidR="00CB352A" w:rsidRDefault="009C7B28">
    <w:pPr>
      <w:pStyle w:val="Header"/>
      <w:rPr>
        <w:b/>
        <w:bCs/>
      </w:rPr>
    </w:pPr>
    <w:r w:rsidRPr="0089320F">
      <w:rPr>
        <w:rFonts w:ascii="Calibri" w:eastAsia="Times New Roman" w:hAnsi="Calibri" w:cs="Calibri"/>
        <w:b/>
        <w:bCs/>
        <w:noProof/>
        <w:color w:val="1F497D"/>
        <w:sz w:val="22"/>
        <w:szCs w:val="22"/>
        <w:lang w:val="en-US"/>
        <w14:ligatures w14:val="none"/>
      </w:rPr>
      <w:drawing>
        <wp:anchor distT="0" distB="0" distL="114300" distR="114300" simplePos="0" relativeHeight="251658240" behindDoc="0" locked="0" layoutInCell="1" allowOverlap="1" wp14:anchorId="0228A8AB" wp14:editId="336A9345">
          <wp:simplePos x="0" y="0"/>
          <wp:positionH relativeFrom="margin">
            <wp:align>right</wp:align>
          </wp:positionH>
          <wp:positionV relativeFrom="page">
            <wp:posOffset>288000</wp:posOffset>
          </wp:positionV>
          <wp:extent cx="900000" cy="282750"/>
          <wp:effectExtent l="0" t="0" r="0" b="9525"/>
          <wp:wrapNone/>
          <wp:docPr id="923870934" name="Picture 1" descr="BBM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BM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 cx="900000" cy="282750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28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9320F" w:rsidRPr="0089320F">
      <w:rPr>
        <w:b/>
        <w:bCs/>
      </w:rPr>
      <w:t>BBM-BIM | BBM-STD-62-INTERIORS_MODELLING-V0.2</w:t>
    </w:r>
    <w:r w:rsidR="00A018A2">
      <w:rPr>
        <w:b/>
        <w:bCs/>
      </w:rPr>
    </w:r>
    <w:r w:rsidR="00050B13">
      <w:rPr>
        <w:b/>
        <w:bCs/>
      </w:rPr>
    </w:r>
  </w:p>
  <w:p w14:paraId="6DEDEFD4" w14:textId="77777777" w:rsidR="00F66F4B" w:rsidRDefault="00F66F4B">
    <w:pPr>
      <w:pStyle w:val="Header"/>
      <w:rPr>
        <w:b/>
        <w:bCs/>
      </w:rPr>
    </w:pPr>
  </w:p>
  <w:p w14:paraId="1F087E3B" w14:textId="77777777" w:rsidR="0089320F" w:rsidRPr="0089320F" w:rsidRDefault="0089320F">
    <w:pPr>
      <w:pStyle w:val="Header"/>
      <w:rPr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3CAFC" w14:textId="11F1D81D" w:rsidR="0038312B" w:rsidRDefault="0038312B">
    <w:pPr>
      <w:pStyle w:val="Header"/>
    </w:pPr>
    <w:r w:rsidRPr="0089320F">
      <w:rPr>
        <w:rFonts w:ascii="Calibri" w:eastAsia="Times New Roman" w:hAnsi="Calibri" w:cs="Calibri"/>
        <w:b/>
        <w:bCs/>
        <w:noProof/>
        <w:color w:val="1F497D"/>
        <w:sz w:val="22"/>
        <w:szCs w:val="22"/>
        <w:lang w:val="en-US"/>
        <w14:ligatures w14:val="none"/>
      </w:rPr>
      <w:drawing>
        <wp:anchor distT="0" distB="0" distL="114300" distR="114300" simplePos="0" relativeHeight="251660288" behindDoc="0" locked="0" layoutInCell="1" allowOverlap="1" wp14:anchorId="05FC8F1B" wp14:editId="450AA59F">
          <wp:simplePos x="0" y="0"/>
          <wp:positionH relativeFrom="margin">
            <wp:align>right</wp:align>
          </wp:positionH>
          <wp:positionV relativeFrom="page">
            <wp:posOffset>288000</wp:posOffset>
          </wp:positionV>
          <wp:extent cx="900000" cy="282750"/>
          <wp:effectExtent l="0" t="0" r="0" b="9525"/>
          <wp:wrapNone/>
          <wp:docPr id="1296434436" name="Picture 1" descr="BBM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BM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 cx="900000" cy="282750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28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5CB5"/>
    <w:multiLevelType w:val="multilevel"/>
    <w:tmpl w:val="A9BE5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E5580"/>
    <w:multiLevelType w:val="multilevel"/>
    <w:tmpl w:val="9F8C4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810C3F"/>
    <w:multiLevelType w:val="multilevel"/>
    <w:tmpl w:val="FDB47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1F5278"/>
    <w:multiLevelType w:val="multilevel"/>
    <w:tmpl w:val="D27A30C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5E607D4"/>
    <w:multiLevelType w:val="multilevel"/>
    <w:tmpl w:val="0F58E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D22449"/>
    <w:multiLevelType w:val="multilevel"/>
    <w:tmpl w:val="7FDA3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291BE1"/>
    <w:multiLevelType w:val="multilevel"/>
    <w:tmpl w:val="9A982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B16DFE"/>
    <w:multiLevelType w:val="multilevel"/>
    <w:tmpl w:val="10F84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480DBE"/>
    <w:multiLevelType w:val="multilevel"/>
    <w:tmpl w:val="C8506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E3636F"/>
    <w:multiLevelType w:val="multilevel"/>
    <w:tmpl w:val="DA9E6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1543BB"/>
    <w:multiLevelType w:val="multilevel"/>
    <w:tmpl w:val="19F65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B2324D"/>
    <w:multiLevelType w:val="multilevel"/>
    <w:tmpl w:val="FC389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D3A2E07"/>
    <w:multiLevelType w:val="multilevel"/>
    <w:tmpl w:val="E2403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EBD2A97"/>
    <w:multiLevelType w:val="multilevel"/>
    <w:tmpl w:val="43A21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EC43213"/>
    <w:multiLevelType w:val="multilevel"/>
    <w:tmpl w:val="8480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0B110E8"/>
    <w:multiLevelType w:val="multilevel"/>
    <w:tmpl w:val="80524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0C465B0"/>
    <w:multiLevelType w:val="multilevel"/>
    <w:tmpl w:val="C0504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49A7D33"/>
    <w:multiLevelType w:val="hybridMultilevel"/>
    <w:tmpl w:val="ACE66CBA"/>
    <w:lvl w:ilvl="0" w:tplc="4C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8" w15:restartNumberingAfterBreak="0">
    <w:nsid w:val="187B4E90"/>
    <w:multiLevelType w:val="multilevel"/>
    <w:tmpl w:val="5EAA3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CF47AEF"/>
    <w:multiLevelType w:val="multilevel"/>
    <w:tmpl w:val="0CD4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F651B91"/>
    <w:multiLevelType w:val="multilevel"/>
    <w:tmpl w:val="9998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08076E0"/>
    <w:multiLevelType w:val="multilevel"/>
    <w:tmpl w:val="9A4E1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1916E4C"/>
    <w:multiLevelType w:val="multilevel"/>
    <w:tmpl w:val="73085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3983E25"/>
    <w:multiLevelType w:val="multilevel"/>
    <w:tmpl w:val="9FD66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49F27FC"/>
    <w:multiLevelType w:val="multilevel"/>
    <w:tmpl w:val="43102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5CE0CD0"/>
    <w:multiLevelType w:val="hybridMultilevel"/>
    <w:tmpl w:val="877C0468"/>
    <w:lvl w:ilvl="0" w:tplc="4C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6" w15:restartNumberingAfterBreak="0">
    <w:nsid w:val="25E45045"/>
    <w:multiLevelType w:val="multilevel"/>
    <w:tmpl w:val="6D222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8BD15BC"/>
    <w:multiLevelType w:val="multilevel"/>
    <w:tmpl w:val="E4B2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A054ACD"/>
    <w:multiLevelType w:val="multilevel"/>
    <w:tmpl w:val="A5BE0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BBE48F0"/>
    <w:multiLevelType w:val="multilevel"/>
    <w:tmpl w:val="A142F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EDA1723"/>
    <w:multiLevelType w:val="hybridMultilevel"/>
    <w:tmpl w:val="1AD011EC"/>
    <w:lvl w:ilvl="0" w:tplc="498CDAC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0B418A3"/>
    <w:multiLevelType w:val="multilevel"/>
    <w:tmpl w:val="93280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13038C1"/>
    <w:multiLevelType w:val="multilevel"/>
    <w:tmpl w:val="252A2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1D27B7E"/>
    <w:multiLevelType w:val="multilevel"/>
    <w:tmpl w:val="BB3A3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33824DB"/>
    <w:multiLevelType w:val="hybridMultilevel"/>
    <w:tmpl w:val="BD40DAA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AC3C79"/>
    <w:multiLevelType w:val="hybridMultilevel"/>
    <w:tmpl w:val="743EF4BA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CE442A6"/>
    <w:multiLevelType w:val="hybridMultilevel"/>
    <w:tmpl w:val="25DCC4CC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D203C6B"/>
    <w:multiLevelType w:val="multilevel"/>
    <w:tmpl w:val="482E7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E80033A"/>
    <w:multiLevelType w:val="multilevel"/>
    <w:tmpl w:val="F54CE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F990FD6"/>
    <w:multiLevelType w:val="multilevel"/>
    <w:tmpl w:val="5DB66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5B207C1"/>
    <w:multiLevelType w:val="multilevel"/>
    <w:tmpl w:val="3F588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74743A6"/>
    <w:multiLevelType w:val="multilevel"/>
    <w:tmpl w:val="0464C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89D6270"/>
    <w:multiLevelType w:val="multilevel"/>
    <w:tmpl w:val="493859A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4B37442B"/>
    <w:multiLevelType w:val="multilevel"/>
    <w:tmpl w:val="DCC4D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D4D4C7F"/>
    <w:multiLevelType w:val="multilevel"/>
    <w:tmpl w:val="F8B8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D6C620A"/>
    <w:multiLevelType w:val="multilevel"/>
    <w:tmpl w:val="D01A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DA02F28"/>
    <w:multiLevelType w:val="hybridMultilevel"/>
    <w:tmpl w:val="89589A58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10A30BE"/>
    <w:multiLevelType w:val="multilevel"/>
    <w:tmpl w:val="387A2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1D07053"/>
    <w:multiLevelType w:val="hybridMultilevel"/>
    <w:tmpl w:val="753CE6EA"/>
    <w:lvl w:ilvl="0" w:tplc="137A815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1F9764D"/>
    <w:multiLevelType w:val="hybridMultilevel"/>
    <w:tmpl w:val="6D90A5F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3257493"/>
    <w:multiLevelType w:val="multilevel"/>
    <w:tmpl w:val="1862E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55033D6"/>
    <w:multiLevelType w:val="multilevel"/>
    <w:tmpl w:val="C024A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5DF1E1A"/>
    <w:multiLevelType w:val="multilevel"/>
    <w:tmpl w:val="EA0AF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7897B19"/>
    <w:multiLevelType w:val="hybridMultilevel"/>
    <w:tmpl w:val="C5142CA6"/>
    <w:lvl w:ilvl="0" w:tplc="D1F2EEA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8987667"/>
    <w:multiLevelType w:val="multilevel"/>
    <w:tmpl w:val="44282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A4841AC"/>
    <w:multiLevelType w:val="multilevel"/>
    <w:tmpl w:val="65D41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C154B9E"/>
    <w:multiLevelType w:val="multilevel"/>
    <w:tmpl w:val="3EDCE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CF446D6"/>
    <w:multiLevelType w:val="multilevel"/>
    <w:tmpl w:val="9AE83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DA12C63"/>
    <w:multiLevelType w:val="multilevel"/>
    <w:tmpl w:val="19BA5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EA64FFB"/>
    <w:multiLevelType w:val="multilevel"/>
    <w:tmpl w:val="4BEC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F26775D"/>
    <w:multiLevelType w:val="multilevel"/>
    <w:tmpl w:val="0DCCC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F4C2599"/>
    <w:multiLevelType w:val="multilevel"/>
    <w:tmpl w:val="13B8F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07C44F1"/>
    <w:multiLevelType w:val="multilevel"/>
    <w:tmpl w:val="3CC6F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43467FE"/>
    <w:multiLevelType w:val="multilevel"/>
    <w:tmpl w:val="9522E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DB57CDF"/>
    <w:multiLevelType w:val="multilevel"/>
    <w:tmpl w:val="72E67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E964972"/>
    <w:multiLevelType w:val="multilevel"/>
    <w:tmpl w:val="C3AC1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0511F6D"/>
    <w:multiLevelType w:val="multilevel"/>
    <w:tmpl w:val="9BEC2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123172F"/>
    <w:multiLevelType w:val="multilevel"/>
    <w:tmpl w:val="12B65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4BE5B37"/>
    <w:multiLevelType w:val="multilevel"/>
    <w:tmpl w:val="27C63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8180DFE"/>
    <w:multiLevelType w:val="multilevel"/>
    <w:tmpl w:val="176C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83555A3"/>
    <w:multiLevelType w:val="multilevel"/>
    <w:tmpl w:val="1EF28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9CD7C91"/>
    <w:multiLevelType w:val="multilevel"/>
    <w:tmpl w:val="0FC41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9D12550"/>
    <w:multiLevelType w:val="multilevel"/>
    <w:tmpl w:val="5F00E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9FC1C66"/>
    <w:multiLevelType w:val="hybridMultilevel"/>
    <w:tmpl w:val="6246873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BAE16B6"/>
    <w:multiLevelType w:val="hybridMultilevel"/>
    <w:tmpl w:val="E8164416"/>
    <w:lvl w:ilvl="0" w:tplc="D52ED5B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D3F25B3"/>
    <w:multiLevelType w:val="multilevel"/>
    <w:tmpl w:val="EA489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EC23B7E"/>
    <w:multiLevelType w:val="multilevel"/>
    <w:tmpl w:val="416C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EF26A17"/>
    <w:multiLevelType w:val="hybridMultilevel"/>
    <w:tmpl w:val="E7F42ABC"/>
    <w:lvl w:ilvl="0" w:tplc="51D0EC10">
      <w:start w:val="2"/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EFD14F4"/>
    <w:multiLevelType w:val="hybridMultilevel"/>
    <w:tmpl w:val="1E980114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F303287"/>
    <w:multiLevelType w:val="multilevel"/>
    <w:tmpl w:val="2EBAE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8837531">
    <w:abstractNumId w:val="11"/>
  </w:num>
  <w:num w:numId="2" w16cid:durableId="1351297986">
    <w:abstractNumId w:val="53"/>
  </w:num>
  <w:num w:numId="3" w16cid:durableId="1365397943">
    <w:abstractNumId w:val="56"/>
  </w:num>
  <w:num w:numId="4" w16cid:durableId="2071027318">
    <w:abstractNumId w:val="75"/>
  </w:num>
  <w:num w:numId="5" w16cid:durableId="210533793">
    <w:abstractNumId w:val="32"/>
  </w:num>
  <w:num w:numId="6" w16cid:durableId="445732298">
    <w:abstractNumId w:val="61"/>
  </w:num>
  <w:num w:numId="7" w16cid:durableId="133573405">
    <w:abstractNumId w:val="30"/>
  </w:num>
  <w:num w:numId="8" w16cid:durableId="574585613">
    <w:abstractNumId w:val="74"/>
  </w:num>
  <w:num w:numId="9" w16cid:durableId="1349478103">
    <w:abstractNumId w:val="59"/>
  </w:num>
  <w:num w:numId="10" w16cid:durableId="2110003057">
    <w:abstractNumId w:val="45"/>
  </w:num>
  <w:num w:numId="11" w16cid:durableId="1874147494">
    <w:abstractNumId w:val="28"/>
  </w:num>
  <w:num w:numId="12" w16cid:durableId="2079087691">
    <w:abstractNumId w:val="3"/>
  </w:num>
  <w:num w:numId="13" w16cid:durableId="1823153762">
    <w:abstractNumId w:val="36"/>
  </w:num>
  <w:num w:numId="14" w16cid:durableId="1909921589">
    <w:abstractNumId w:val="12"/>
  </w:num>
  <w:num w:numId="15" w16cid:durableId="641083692">
    <w:abstractNumId w:val="77"/>
  </w:num>
  <w:num w:numId="16" w16cid:durableId="1245065181">
    <w:abstractNumId w:val="21"/>
  </w:num>
  <w:num w:numId="17" w16cid:durableId="398945280">
    <w:abstractNumId w:val="14"/>
  </w:num>
  <w:num w:numId="18" w16cid:durableId="16122890">
    <w:abstractNumId w:val="42"/>
  </w:num>
  <w:num w:numId="19" w16cid:durableId="1635210469">
    <w:abstractNumId w:val="25"/>
  </w:num>
  <w:num w:numId="20" w16cid:durableId="218126872">
    <w:abstractNumId w:val="17"/>
  </w:num>
  <w:num w:numId="21" w16cid:durableId="1801800760">
    <w:abstractNumId w:val="34"/>
  </w:num>
  <w:num w:numId="22" w16cid:durableId="1988775808">
    <w:abstractNumId w:val="47"/>
  </w:num>
  <w:num w:numId="23" w16cid:durableId="471681732">
    <w:abstractNumId w:val="27"/>
  </w:num>
  <w:num w:numId="24" w16cid:durableId="1064639593">
    <w:abstractNumId w:val="72"/>
  </w:num>
  <w:num w:numId="25" w16cid:durableId="2090497845">
    <w:abstractNumId w:val="23"/>
  </w:num>
  <w:num w:numId="26" w16cid:durableId="1181160950">
    <w:abstractNumId w:val="66"/>
  </w:num>
  <w:num w:numId="27" w16cid:durableId="1095247099">
    <w:abstractNumId w:val="26"/>
  </w:num>
  <w:num w:numId="28" w16cid:durableId="1520775121">
    <w:abstractNumId w:val="55"/>
  </w:num>
  <w:num w:numId="29" w16cid:durableId="600991068">
    <w:abstractNumId w:val="29"/>
  </w:num>
  <w:num w:numId="30" w16cid:durableId="1683556577">
    <w:abstractNumId w:val="51"/>
  </w:num>
  <w:num w:numId="31" w16cid:durableId="974061579">
    <w:abstractNumId w:val="43"/>
  </w:num>
  <w:num w:numId="32" w16cid:durableId="1131433968">
    <w:abstractNumId w:val="50"/>
  </w:num>
  <w:num w:numId="33" w16cid:durableId="512912934">
    <w:abstractNumId w:val="58"/>
  </w:num>
  <w:num w:numId="34" w16cid:durableId="1647661682">
    <w:abstractNumId w:val="5"/>
  </w:num>
  <w:num w:numId="35" w16cid:durableId="973022565">
    <w:abstractNumId w:val="24"/>
  </w:num>
  <w:num w:numId="36" w16cid:durableId="2025981299">
    <w:abstractNumId w:val="37"/>
  </w:num>
  <w:num w:numId="37" w16cid:durableId="60642266">
    <w:abstractNumId w:val="31"/>
  </w:num>
  <w:num w:numId="38" w16cid:durableId="2132359830">
    <w:abstractNumId w:val="9"/>
  </w:num>
  <w:num w:numId="39" w16cid:durableId="313875134">
    <w:abstractNumId w:val="38"/>
  </w:num>
  <w:num w:numId="40" w16cid:durableId="1400589230">
    <w:abstractNumId w:val="1"/>
  </w:num>
  <w:num w:numId="41" w16cid:durableId="2120292575">
    <w:abstractNumId w:val="22"/>
  </w:num>
  <w:num w:numId="42" w16cid:durableId="1371876170">
    <w:abstractNumId w:val="57"/>
  </w:num>
  <w:num w:numId="43" w16cid:durableId="1466267942">
    <w:abstractNumId w:val="62"/>
  </w:num>
  <w:num w:numId="44" w16cid:durableId="3631326">
    <w:abstractNumId w:val="4"/>
  </w:num>
  <w:num w:numId="45" w16cid:durableId="1991057930">
    <w:abstractNumId w:val="41"/>
  </w:num>
  <w:num w:numId="46" w16cid:durableId="664094968">
    <w:abstractNumId w:val="76"/>
  </w:num>
  <w:num w:numId="47" w16cid:durableId="1739940048">
    <w:abstractNumId w:val="49"/>
  </w:num>
  <w:num w:numId="48" w16cid:durableId="286551571">
    <w:abstractNumId w:val="16"/>
  </w:num>
  <w:num w:numId="49" w16cid:durableId="846596105">
    <w:abstractNumId w:val="40"/>
  </w:num>
  <w:num w:numId="50" w16cid:durableId="510607186">
    <w:abstractNumId w:val="63"/>
  </w:num>
  <w:num w:numId="51" w16cid:durableId="12155379">
    <w:abstractNumId w:val="2"/>
  </w:num>
  <w:num w:numId="52" w16cid:durableId="1045834822">
    <w:abstractNumId w:val="54"/>
  </w:num>
  <w:num w:numId="53" w16cid:durableId="804196552">
    <w:abstractNumId w:val="73"/>
  </w:num>
  <w:num w:numId="54" w16cid:durableId="178736295">
    <w:abstractNumId w:val="10"/>
  </w:num>
  <w:num w:numId="55" w16cid:durableId="1877966397">
    <w:abstractNumId w:val="46"/>
  </w:num>
  <w:num w:numId="56" w16cid:durableId="1944485735">
    <w:abstractNumId w:val="8"/>
  </w:num>
  <w:num w:numId="57" w16cid:durableId="1237714374">
    <w:abstractNumId w:val="35"/>
  </w:num>
  <w:num w:numId="58" w16cid:durableId="165638271">
    <w:abstractNumId w:val="78"/>
  </w:num>
  <w:num w:numId="59" w16cid:durableId="881479234">
    <w:abstractNumId w:val="48"/>
  </w:num>
  <w:num w:numId="60" w16cid:durableId="861405408">
    <w:abstractNumId w:val="18"/>
  </w:num>
  <w:num w:numId="61" w16cid:durableId="1968507311">
    <w:abstractNumId w:val="52"/>
  </w:num>
  <w:num w:numId="62" w16cid:durableId="726805067">
    <w:abstractNumId w:val="7"/>
  </w:num>
  <w:num w:numId="63" w16cid:durableId="694841789">
    <w:abstractNumId w:val="19"/>
  </w:num>
  <w:num w:numId="64" w16cid:durableId="628516054">
    <w:abstractNumId w:val="69"/>
  </w:num>
  <w:num w:numId="65" w16cid:durableId="1222668138">
    <w:abstractNumId w:val="65"/>
  </w:num>
  <w:num w:numId="66" w16cid:durableId="1019281562">
    <w:abstractNumId w:val="70"/>
  </w:num>
  <w:num w:numId="67" w16cid:durableId="1271547946">
    <w:abstractNumId w:val="20"/>
  </w:num>
  <w:num w:numId="68" w16cid:durableId="726295327">
    <w:abstractNumId w:val="64"/>
  </w:num>
  <w:num w:numId="69" w16cid:durableId="831221370">
    <w:abstractNumId w:val="68"/>
  </w:num>
  <w:num w:numId="70" w16cid:durableId="137649203">
    <w:abstractNumId w:val="44"/>
  </w:num>
  <w:num w:numId="71" w16cid:durableId="1085299768">
    <w:abstractNumId w:val="71"/>
  </w:num>
  <w:num w:numId="72" w16cid:durableId="1020814749">
    <w:abstractNumId w:val="79"/>
  </w:num>
  <w:num w:numId="73" w16cid:durableId="1082262486">
    <w:abstractNumId w:val="33"/>
  </w:num>
  <w:num w:numId="74" w16cid:durableId="1776947863">
    <w:abstractNumId w:val="67"/>
  </w:num>
  <w:num w:numId="75" w16cid:durableId="115297018">
    <w:abstractNumId w:val="60"/>
  </w:num>
  <w:num w:numId="76" w16cid:durableId="23871195">
    <w:abstractNumId w:val="39"/>
  </w:num>
  <w:num w:numId="77" w16cid:durableId="2099859680">
    <w:abstractNumId w:val="13"/>
  </w:num>
  <w:num w:numId="78" w16cid:durableId="900794897">
    <w:abstractNumId w:val="0"/>
  </w:num>
  <w:num w:numId="79" w16cid:durableId="2037386573">
    <w:abstractNumId w:val="15"/>
  </w:num>
  <w:num w:numId="80" w16cid:durableId="11658962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7A1"/>
    <w:rsid w:val="00011DE7"/>
    <w:rsid w:val="00014181"/>
    <w:rsid w:val="00015002"/>
    <w:rsid w:val="00031E93"/>
    <w:rsid w:val="00050B13"/>
    <w:rsid w:val="00071679"/>
    <w:rsid w:val="000B77CC"/>
    <w:rsid w:val="000D2CAD"/>
    <w:rsid w:val="000D3F31"/>
    <w:rsid w:val="000E40BB"/>
    <w:rsid w:val="00106139"/>
    <w:rsid w:val="001344DE"/>
    <w:rsid w:val="00135631"/>
    <w:rsid w:val="001455B9"/>
    <w:rsid w:val="00166022"/>
    <w:rsid w:val="001921A6"/>
    <w:rsid w:val="001C3FBF"/>
    <w:rsid w:val="001E35E1"/>
    <w:rsid w:val="0024151C"/>
    <w:rsid w:val="00244E2A"/>
    <w:rsid w:val="002B62CB"/>
    <w:rsid w:val="002B72A5"/>
    <w:rsid w:val="002E22B1"/>
    <w:rsid w:val="002E26B1"/>
    <w:rsid w:val="002E7B1C"/>
    <w:rsid w:val="003465B5"/>
    <w:rsid w:val="00381C02"/>
    <w:rsid w:val="0038312B"/>
    <w:rsid w:val="00384EA1"/>
    <w:rsid w:val="00386C78"/>
    <w:rsid w:val="003E3D4A"/>
    <w:rsid w:val="003F0FED"/>
    <w:rsid w:val="0044196E"/>
    <w:rsid w:val="0046252B"/>
    <w:rsid w:val="004A6153"/>
    <w:rsid w:val="004B0410"/>
    <w:rsid w:val="004C5116"/>
    <w:rsid w:val="004F0F2D"/>
    <w:rsid w:val="00584E33"/>
    <w:rsid w:val="005C3D0B"/>
    <w:rsid w:val="005C6025"/>
    <w:rsid w:val="00603D1F"/>
    <w:rsid w:val="00606DB4"/>
    <w:rsid w:val="00670C60"/>
    <w:rsid w:val="00675752"/>
    <w:rsid w:val="006A3C85"/>
    <w:rsid w:val="006F2333"/>
    <w:rsid w:val="00721C27"/>
    <w:rsid w:val="0072403D"/>
    <w:rsid w:val="00811E67"/>
    <w:rsid w:val="0081580C"/>
    <w:rsid w:val="008246ED"/>
    <w:rsid w:val="00832F4E"/>
    <w:rsid w:val="00836FBF"/>
    <w:rsid w:val="008449E9"/>
    <w:rsid w:val="00872D61"/>
    <w:rsid w:val="00884127"/>
    <w:rsid w:val="0089320F"/>
    <w:rsid w:val="00922C46"/>
    <w:rsid w:val="009C7B28"/>
    <w:rsid w:val="009E6369"/>
    <w:rsid w:val="009F2E66"/>
    <w:rsid w:val="009F657F"/>
    <w:rsid w:val="00A018A2"/>
    <w:rsid w:val="00A11121"/>
    <w:rsid w:val="00A267E2"/>
    <w:rsid w:val="00A8584F"/>
    <w:rsid w:val="00AA67BF"/>
    <w:rsid w:val="00AA7E9A"/>
    <w:rsid w:val="00AB36A2"/>
    <w:rsid w:val="00AD592D"/>
    <w:rsid w:val="00B26407"/>
    <w:rsid w:val="00B82C0A"/>
    <w:rsid w:val="00BA4935"/>
    <w:rsid w:val="00BB2E0C"/>
    <w:rsid w:val="00BF5F8A"/>
    <w:rsid w:val="00BF6C96"/>
    <w:rsid w:val="00C10D76"/>
    <w:rsid w:val="00C128AF"/>
    <w:rsid w:val="00C47258"/>
    <w:rsid w:val="00C62CFE"/>
    <w:rsid w:val="00C90F45"/>
    <w:rsid w:val="00CB352A"/>
    <w:rsid w:val="00CC064F"/>
    <w:rsid w:val="00CF67A1"/>
    <w:rsid w:val="00D04E04"/>
    <w:rsid w:val="00D50B5A"/>
    <w:rsid w:val="00D676C0"/>
    <w:rsid w:val="00D76C48"/>
    <w:rsid w:val="00DD0AC6"/>
    <w:rsid w:val="00DE2E50"/>
    <w:rsid w:val="00E070CA"/>
    <w:rsid w:val="00E07122"/>
    <w:rsid w:val="00E61CAC"/>
    <w:rsid w:val="00E74AA0"/>
    <w:rsid w:val="00E86154"/>
    <w:rsid w:val="00E868BF"/>
    <w:rsid w:val="00E94A0E"/>
    <w:rsid w:val="00EA0679"/>
    <w:rsid w:val="00EA3575"/>
    <w:rsid w:val="00EC0C97"/>
    <w:rsid w:val="00ED53F1"/>
    <w:rsid w:val="00F3602F"/>
    <w:rsid w:val="00F66F4B"/>
    <w:rsid w:val="00F861B0"/>
    <w:rsid w:val="00F93E7C"/>
    <w:rsid w:val="00FA2C09"/>
    <w:rsid w:val="00FA42A9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4A9A19"/>
  <w15:chartTrackingRefBased/>
  <w15:docId w15:val="{97BBD25F-B166-4413-9BF0-9496AD416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C78"/>
    <w:rPr>
      <w:rFonts w:ascii="Inter" w:hAnsi="Inter" w:eastAsia="Inter" w:cs="Inter"/>
      <w:color w:val="14130F"/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C7B28"/>
    <w:pPr>
      <w:keepNext/>
      <w:keepLines/>
      <w:spacing w:before="360" w:after="80"/>
      <w:outlineLvl w:val="0"/>
    </w:pPr>
    <w:rPr>
      <w:rFonts w:ascii="Inter" w:eastAsiaTheme="majorEastAsia" w:hAnsi="Inter" w:cstheme="majorBidi" w:eastAsia="Inter" w:cs="Inter"/>
      <w:b/>
      <w:color w:val="9A7B45"/>
      <w:sz w:val="32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86C78"/>
    <w:pPr>
      <w:keepNext/>
      <w:keepLines/>
      <w:tabs>
        <w:tab w:val="left" w:pos="1080"/>
      </w:tabs>
      <w:spacing w:before="280" w:after="200"/>
      <w:outlineLvl w:val="1"/>
    </w:pPr>
    <w:rPr>
      <w:rFonts w:ascii="Inter" w:eastAsiaTheme="majorEastAsia" w:hAnsi="Inter" w:cstheme="majorBidi" w:eastAsia="Inter" w:cs="Inter"/>
      <w:b/>
      <w:color w:val="14130F"/>
      <w:sz w:val="2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26B1"/>
    <w:pPr>
      <w:keepNext/>
      <w:keepLines/>
      <w:spacing w:before="160" w:after="80"/>
      <w:outlineLvl w:val="2"/>
    </w:pPr>
    <w:rPr>
      <w:rFonts w:eastAsiaTheme="majorEastAsia" w:cstheme="majorBidi" w:ascii="Inter" w:hAnsi="Inter" w:eastAsia="Inter" w:cs="Inter"/>
      <w:b/>
      <w:color w:val="111113"/>
      <w:sz w:val="2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7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7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7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7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7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7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28"/>
    <w:rPr>
      <w:rFonts w:ascii="Verdana" w:eastAsiaTheme="majorEastAsia" w:hAnsi="Verdana" w:cstheme="majorBidi"/>
      <w:b/>
      <w:color w:val="FF3300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4151C"/>
    <w:rPr>
      <w:rFonts w:ascii="Verdana" w:eastAsiaTheme="majorEastAsia" w:hAnsi="Verdana" w:cstheme="majorBidi"/>
      <w:b/>
      <w:color w:val="1C1C1C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E26B1"/>
    <w:rPr>
      <w:rFonts w:eastAsiaTheme="majorEastAsia" w:cstheme="majorBidi"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7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7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7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7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7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7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C7B28"/>
    <w:pPr>
      <w:spacing w:after="80" w:line="240" w:lineRule="auto"/>
      <w:contextualSpacing/>
      <w:jc w:val="center"/>
    </w:pPr>
    <w:rPr>
      <w:rFonts w:ascii="Inter" w:eastAsiaTheme="majorEastAsia" w:hAnsi="Inter" w:cstheme="majorBidi" w:eastAsia="Inter" w:cs="Inter"/>
      <w:b/>
      <w:color w:val="9A7B45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28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7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7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7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7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7A1"/>
    <w:pPr>
      <w:ind w:left="720"/>
      <w:contextualSpacing/>
    </w:pPr>
    <w:rPr>
      <w:rFonts w:ascii="Inter" w:hAnsi="Inter" w:eastAsia="Inter" w:cs="Inter"/>
    </w:rPr>
  </w:style>
  <w:style w:type="character" w:styleId="IntenseEmphasis">
    <w:name w:val="Intense Emphasis"/>
    <w:basedOn w:val="DefaultParagraphFont"/>
    <w:uiPriority w:val="21"/>
    <w:qFormat/>
    <w:rsid w:val="00CF67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7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7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7A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B352A"/>
    <w:pPr>
      <w:tabs>
        <w:tab w:val="center" w:pos="4513"/>
        <w:tab w:val="right" w:pos="9026"/>
      </w:tabs>
      <w:spacing w:after="0" w:line="240" w:lineRule="auto"/>
    </w:pPr>
    <w:rPr>
      <w:rFonts w:ascii="Inter" w:hAnsi="Inter" w:eastAsia="Inter" w:cs="Inter"/>
      <w:color w:val="3A3A3C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CB352A"/>
  </w:style>
  <w:style w:type="paragraph" w:styleId="Footer">
    <w:name w:val="footer"/>
    <w:basedOn w:val="Normal"/>
    <w:link w:val="FooterChar"/>
    <w:uiPriority w:val="99"/>
    <w:unhideWhenUsed/>
    <w:rsid w:val="00CB352A"/>
    <w:pPr>
      <w:tabs>
        <w:tab w:val="center" w:pos="4513"/>
        <w:tab w:val="right" w:pos="9026"/>
      </w:tabs>
      <w:spacing w:after="0" w:line="240" w:lineRule="auto"/>
    </w:pPr>
    <w:rPr>
      <w:rFonts w:ascii="Inter" w:hAnsi="Inter" w:eastAsia="Inter" w:cs="Inter"/>
      <w:color w:val="3A3A3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CB352A"/>
  </w:style>
  <w:style w:type="character" w:styleId="Strong">
    <w:name w:val="Strong"/>
    <w:basedOn w:val="DefaultParagraphFont"/>
    <w:uiPriority w:val="22"/>
    <w:qFormat/>
    <w:rsid w:val="009C7B28"/>
    <w:rPr>
      <w:rFonts w:ascii="Verdana" w:hAnsi="Verdana"/>
      <w:b/>
      <w:bCs/>
      <w:sz w:val="20"/>
    </w:rPr>
  </w:style>
  <w:style w:type="table" w:styleId="TableGrid">
    <w:name w:val="Table Grid"/>
    <w:basedOn w:val="TableNormal"/>
    <w:uiPriority w:val="39"/>
    <w:rsid w:val="00AD5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922C46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922C46"/>
    <w:rPr>
      <w:rFonts w:eastAsiaTheme="minorEastAsia"/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E63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63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https://www.notion.so/286f57b4e72f80118816ff4385350a98" TargetMode="External"/><Relationship Id="rId14" Type="http://schemas.openxmlformats.org/officeDocument/2006/relationships/hyperlink" Target="https://github.com/Fargaly/baboom-bim-standard/blob/main/04-DOCUMENTS/BBM-STD-62-INTERIORS_MODELLING-V0.2.docx" TargetMode="External"/><Relationship Id="rId15" Type="http://schemas.openxmlformats.org/officeDocument/2006/relationships/hyperlink" Target="https://www.iso.org/standard/68078.html" TargetMode="External"/><Relationship Id="rId16" Type="http://schemas.openxmlformats.org/officeDocument/2006/relationships/hyperlink" Target="https://www.iso.org/standard/68080.html" TargetMode="External"/><Relationship Id="rId17" Type="http://schemas.openxmlformats.org/officeDocument/2006/relationships/hyperlink" Target="https://www.iso.org/standard/75109.html" TargetMode="External"/><Relationship Id="rId18" Type="http://schemas.openxmlformats.org/officeDocument/2006/relationships/hyperlink" Target="https://www.iso.org/standard/74206.html" TargetMode="External"/><Relationship Id="rId19" Type="http://schemas.openxmlformats.org/officeDocument/2006/relationships/hyperlink" Target="https://www.iso.org/standard/82914.html" TargetMode="External"/><Relationship Id="rId20" Type="http://schemas.openxmlformats.org/officeDocument/2006/relationships/hyperlink" Target="https://landingpage.bsigroup.com/LandingPage/Standard?UPI=000000000030382760" TargetMode="External"/><Relationship Id="rId21" Type="http://schemas.openxmlformats.org/officeDocument/2006/relationships/hyperlink" Target="https://ukbimframework.org/resources/" TargetMode="External"/><Relationship Id="rId22" Type="http://schemas.openxmlformats.org/officeDocument/2006/relationships/hyperlink" Target="https://info.corenet.gov.sg/docs/default-source/bim-guides/singapore/singapore-bim-guide_v2.pdf" TargetMode="External"/><Relationship Id="rId23" Type="http://schemas.openxmlformats.org/officeDocument/2006/relationships/hyperlink" Target="https://dda.gov.ae/en/planning-development/construction/permits-nocs/fit-out-permit" TargetMode="External"/><Relationship Id="rId24" Type="http://schemas.openxmlformats.org/officeDocument/2006/relationships/hyperlink" Target="https://dda.gov.ae/-/media/Project/TECOM/Media/DDA/General/DDA_PDF/PD_PDF/03-Construction/Permits-and-NOCs/F-01-FIT-OUT-PERMIT/ZADC-T-123-Fitout-Drawings.pdf" TargetMode="External"/><Relationship Id="rId25" Type="http://schemas.openxmlformats.org/officeDocument/2006/relationships/hyperlink" Target="https://www.dm.gov.ae/building-planning-circulars-2/" TargetMode="External"/><Relationship Id="rId26" Type="http://schemas.openxmlformats.org/officeDocument/2006/relationships/hyperlink" Target="https://www.dmt.gov.ae/adm/-/media/Project/DMT/ADM/E-Library/0001-Jan-2022-Doc/ADM-BIM-002Documentation-Guidelines-for-Infrastructure-projects.pdf" TargetMode="External"/><Relationship Id="rId27" Type="http://schemas.openxmlformats.org/officeDocument/2006/relationships/hyperlink" Target="https://www.dcd.gov.ae/portal/preventive-safety/uae-fire-and-life-safety-code-of-practice.jsp" TargetMode="External"/><Relationship Id="rId28" Type="http://schemas.openxmlformats.org/officeDocument/2006/relationships/hyperlink" Target="https://www.dm.gov.ae/municipality-business/al-safat-dubai-green-building-system/" TargetMode="External"/><Relationship Id="rId29" Type="http://schemas.openxmlformats.org/officeDocument/2006/relationships/hyperlink" Target="https://www.dmt.gov.ae/en/adm/Media-Centre/News/08Jan2025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ustom 1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2024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21</Pages>
  <Words>4872</Words>
  <Characters>27773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GLOSSARY</vt:lpstr>
    </vt:vector>
  </TitlesOfParts>
  <Company/>
  <LinksUpToDate>false</LinksUpToDate>
  <CharactersWithSpaces>32580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GLOSSARY</dc:title>
  <dc:subject>Bep</dc:subject>
  <dc:creator>Fargaly</dc:creator>
  <cp:keywords/>
  <dc:description/>
  <cp:lastModifiedBy>Fargaly</cp:lastModifiedBy>
  <cp:revision>20</cp:revision>
  <dcterms:created xsi:type="dcterms:W3CDTF">2024-11-06T10:52:00Z</dcterms:created>
  <dcterms:modified xsi:type="dcterms:W3CDTF">2025-10-21T13:40:00Z</dcterms:modified>
</cp:coreProperties>
</file>