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CAD authoring resources and plotting</w:t>
      </w:r>
    </w:p>
    <w:p>
      <w:pPr/>
      <w:r>
        <w:t xml:space="preserve">Linked copies: ID STD-66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BBM-STD-66-CAD_STANDARD-V0.3 | Office standard | 5 November 2026 | V0.3 | Private controlled WIP draft</w:t>
      </w:r>
    </w:p>
    <w:p>
      <w:pPr/>
      <w:r>
        <w:rPr>
          <w:b/>
        </w:rP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775"/>
        <w:gridCol w:w="1033"/>
        <w:gridCol w:w="8659"/>
      </w:tblGrid>
      <w:tr>
        <w:trPr>
          <w:cantSplit/>
          <w:tblHeader/>
        </w:trPr>
        <w:tc>
          <w:tcPr>
            <w:tcW w:type="dxa" w:w="77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03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65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2026-10-16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Initial controlled WIP draft.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2026-11-04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Closed audit rows G208-G213: 1.1 ISO 13567 export mapping, discipline codes pointer to BBM-STD-93 (O-DEC-103), Manual §5 asset mapping, relinked Manual V0.4/​BEP V0.5, ISO 128-1/​ISO 7200 basis, Arabic text rule; minimum text 2.5 mm (O-DEC-118); share path updated to 01-AUTOCAD; IMI Framework naming; spacing fixes + cross-doc pointer pass. + template alignment (O-DEC-142..148) + folder names without dots (O-DEC-149)</w:t>
            </w:r>
          </w:p>
        </w:tc>
      </w:tr>
      <w:tr>
        <w:trPr>
          <w:cantSplit/>
        </w:trPr>
        <w:tc>
          <w:tcPr>
            <w:tcW w:type="dxa" w:w="775"/>
          </w:tcPr>
          <w:p>
            <w:r>
              <w:rPr>
                <w:sz w:val="17"/>
              </w:rPr>
            </w:r>
            <w:r>
              <w:rPr>
                <w:sz w:val="17"/>
              </w:rPr>
              <w:t>V0.3</w:t>
            </w:r>
          </w:p>
        </w:tc>
        <w:tc>
          <w:tcPr>
            <w:tcW w:type="dxa" w:w="1033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2026-11-05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§1.2 to §1.4 added (</w:t>
            </w:r>
            <w:r>
              <w:rPr>
                <w:color w:val="9A7B45"/>
                <w:sz w:val="17"/>
                <w:u w:val="single"/>
              </w:rPr>
              <w:t>O-DEC-187</w:t>
            </w:r>
            <w:r>
              <w:rPr>
                <w:sz w:val="17"/>
              </w:rPr>
              <w:t>): the mapping rules for layers outside the grammar (name, then content, then the MasterFormat division of the folder; no Hold), the colour, linetype and lineweight rules for layers outside the starter catalogue, and the full 204-layer set of the office detail library with its values. The detail library (425 drawings) follows this set; the BABOOM CAD tools BBM_LAYERAUDIT and BBM_LAYERFIX apply it.</w:t>
            </w:r>
          </w:p>
        </w:tc>
      </w:tr>
    </w:tbl>
    <w:p/>
    <w:p>
      <w:pPr>
        <w:pStyle w:val="Heading1"/>
      </w:pPr>
      <w:r>
        <w:t>1 Scope layer convention and migration</w:t>
      </w:r>
    </w:p>
    <w:p>
      <w:pPr/>
      <w:r>
        <w:t xml:space="preserve">This complete CAD authoring specification covers SG-041..052, including P2 hatch/resources where required. The CAD lead owns the layer/resource catalogue, discipline leads own drawing content and the production lead owns plotting/recipient checks. Use </w:t>
      </w:r>
      <w:r>
        <w:rPr>
          <w:color w:val="9A7B45"/>
          <w:u w:val="single"/>
        </w:rPr>
        <w:t>Manual V0.5 §4/§5/§7</w:t>
      </w:r>
      <w:r>
        <w:t xml:space="preserve">, </w:t>
      </w:r>
      <w:r>
        <w:rPr>
          <w:color w:val="9A7B45"/>
          <w:u w:val="single"/>
        </w:rPr>
        <w:t>BEP V0.5</w:t>
      </w:r>
      <w:r>
        <w:t xml:space="preserve">, </w:t>
      </w:r>
      <w:r>
        <w:rPr>
          <w:color w:val="9A7B45"/>
          <w:u w:val="single"/>
        </w:rPr>
        <w:t>BBM-STD-51</w:t>
      </w:r>
      <w:r>
        <w:t xml:space="preserve">, </w:t>
      </w:r>
      <w:r>
        <w:rPr>
          <w:color w:val="9A7B45"/>
          <w:u w:val="single"/>
        </w:rPr>
        <w:t>BBM-STD-63</w:t>
      </w:r>
      <w:r>
        <w:t xml:space="preserve">, </w:t>
      </w:r>
      <w:r>
        <w:rPr>
          <w:color w:val="9A7B45"/>
          <w:u w:val="single"/>
        </w:rPr>
        <w:t>BBM-STD-65</w:t>
      </w:r>
      <w:r>
        <w:t xml:space="preserve">, </w:t>
      </w:r>
      <w:r>
        <w:rPr>
          <w:color w:val="9A7B45"/>
          <w:u w:val="single"/>
        </w:rPr>
        <w:t>BBM-STD-72</w:t>
      </w:r>
      <w:r>
        <w:t xml:space="preserve"> and the </w:t>
      </w:r>
      <w:r>
        <w:rPr>
          <w:color w:val="9A7B45"/>
          <w:u w:val="single"/>
        </w:rPr>
        <w:t>editable CAD pack</w:t>
      </w:r>
      <w:r>
        <w:t>. This is an office draft and native test specification; no drawing, resource or server master is changed.</w:t>
      </w:r>
    </w:p>
    <w:p>
      <w:pPr/>
      <w:r>
        <w:t xml:space="preserve">Adopt an NCS-inspired local layer field structure rather than claim literal ISO 13567 or licensed NCS conformance. ISO 13567-1/-2:2017 supply organisational concepts; NCSv7 supplies discipline/major/minor/status benchmarks. Chosen office grammar is D-MMMM[-MMMM[-MMMM]]-S: uppercase discipline designator (the one-letter ROLE code from </w:t>
      </w:r>
      <w:r>
        <w:rPr>
          <w:color w:val="9A7B45"/>
          <w:u w:val="single"/>
        </w:rPr>
        <w:t>BBM-STD-93</w:t>
      </w:r>
      <w:r>
        <w:t xml:space="preserve">, optionally followed by one registered modifier letter), four-letter major group, optional four-letter minor groups, and one-character status N(New), E(Existing), D(Demolish) or T(Temporary). Hyphens separate fields. Discipline designators are the ROLE codes in </w:t>
      </w:r>
      <w:r>
        <w:rPr>
          <w:color w:val="9A7B45"/>
          <w:u w:val="single"/>
        </w:rPr>
        <w:t>BBM-STD-93</w:t>
      </w:r>
      <w:r>
        <w:t>, the one code dictionary (O-DEC-103); this standard keeps no own list. The starter catalogue uses the subset A, S, M, E, L, P, F, I and C; Survey is G. A new discipline gets its code in BBM-STD-93 first, then a catalogue revision and mapping here. Layer names do not replace file/sheet identity. This grammar, checked by the DWS, is the office layer standard; the office CAD standards files (DWS/DWT) are rebuilt to it, and layers outside it are mapped as below, not adopted (</w:t>
      </w:r>
      <w:r>
        <w:rPr>
          <w:color w:val="9A7B45"/>
          <w:u w:val="single"/>
        </w:rPr>
        <w:t>O-DEC-147</w:t>
      </w:r>
      <w:r>
        <w:t>).</w:t>
      </w:r>
    </w:p>
    <w:p>
      <w:pPr/>
      <w:r>
        <w:t>The Layers sheet is the controlled starter catalogue. Example A-WALL-CUTT-N is New architectural cut-wall geometry; A-WALL-OUTL-E is existing projection; S-COLS-CUTT-N is structural column cut. Reject A WALL CUTT, A-WALL-CUT-N (minor not four letters), unregistered status or a layer with contradictory semantics. Layer 0 is permitted for reusable block internal ByBlock/ByLayer geometry only, not general project geometry. Defpoints is a tool-created exception, never a substitute nonplot layer; register an intentional nonplot layer separately before use. All normal object colour, linetype and lineweight are ByLayer. Approved block internals use the documented ByBlock/Layer 0 behavior; dimensions retain their controlled style.</w:t>
      </w:r>
    </w:p>
    <w:p>
      <w:pPr/>
      <w:r>
        <w:t>Legacy/client/authority mapping records source layer fields, meaning/status, target catalogue layer, geometry/attribute effect, mapping type, owner and reviewed ChangeID. Example legacy WALLS maps by the rules of §1.2 (status New unless the name or source says otherwise); the mapping row records the rule used, and the CAD lead may change any row before it is applied. A proposed explicit LEG-NEW-WALL-CUT -&gt;A-WALL-CUTT-N mapping is a synthetic exact semantic case. Appointed external grammar may take precedence through a controlled export mapping; preserve originals and log any split/merge. Do not rename an approved source drawing in place or collapse different status layers merely to satisfy a validator.</w:t>
      </w:r>
    </w:p>
    <w:p>
      <w:pPr/>
      <w:r>
        <w:t>Manual §5 already controls Revit CAD import/export through "Layers -&gt; Categories map v1.0" and "ExportTable-DWG-v1.0.txt". Both assets are revised to v2.0 to emit this grammar; v1.0 is kept as the legacy mapping for projects already using it.</w:t>
      </w:r>
    </w:p>
    <w:p>
      <w:pPr>
        <w:pStyle w:val="Heading2"/>
      </w:pPr>
      <w:r>
        <w:t>1.1 ISO 13567 export mapping</w:t>
      </w:r>
    </w:p>
    <w:p>
      <w:pPr/>
      <w:r>
        <w:t>Where a client or authority cites ISO 13567, export through a mapping table, one per appointed recipient: office discipline designator -&gt; agent responsible (2 characters, from the BBM-STD-93 ROLE code); major/minor groups -&gt; element (6 characters, Uniclass-based code); a presentation code (2 characters); status N/E/D/T -&gt; the optional status field. ISO 13567-2:2017 sets the agent responsible, element and presentation fields as mandatory. Record the mapping revision and test it on a specimen before issue.</w:t>
      </w:r>
    </w:p>
    <w:p>
      <w:pPr>
        <w:pStyle w:val="Heading2"/>
      </w:pPr>
      <w:r>
        <w:t>1.2 Mapping rules for layers outside the grammar</w:t>
      </w:r>
    </w:p>
    <w:p>
      <w:pPr/>
      <w:r>
        <w:t>A layer that does not follow the grammar is mapped to one BABOOM layer by these rules, in order (</w:t>
      </w:r>
      <w:r>
        <w:rPr>
          <w:color w:val="9A7B45"/>
          <w:u w:val="single"/>
        </w:rPr>
        <w:t>O-DEC-187</w:t>
      </w:r>
      <w:r>
        <w:t>). No layer is left on Hold; the mapping row names the rule it used, and the CAD lead may change any row before it is applied.</w:t>
      </w:r>
    </w:p>
    <w:p>
      <w:pPr>
        <w:pStyle w:val="ListParagraph"/>
        <w:spacing w:after="40"/>
        <w:ind w:left="360" w:hanging="280"/>
      </w:pPr>
      <w:r>
        <w:t xml:space="preserve">1.  </w:t>
      </w:r>
      <w:r>
        <w:rPr>
          <w:b/>
        </w:rPr>
        <w:t>Already compliant.</w:t>
      </w:r>
      <w:r>
        <w:t xml:space="preserve"> A name that follows the grammar is kept; a name that follows it only in lower case is written in capitals. A name bound in from another drawing (</w:t>
      </w:r>
      <w:r>
        <w:rPr>
          <w:rFonts w:ascii="JetBrains Mono" w:hAnsi="JetBrains Mono"/>
        </w:rPr>
        <w:t>&lt;xref&gt;$0$&lt;name&gt;</w:t>
      </w:r>
      <w:r>
        <w:t>) is mapped by the part after the bind prefix.</w:t>
      </w:r>
    </w:p>
    <w:p>
      <w:pPr>
        <w:pStyle w:val="ListParagraph"/>
        <w:spacing w:after="40"/>
        <w:ind w:left="360" w:hanging="280"/>
      </w:pPr>
      <w:r>
        <w:t xml:space="preserve">2.  </w:t>
      </w:r>
      <w:r>
        <w:rPr>
          <w:b/>
        </w:rPr>
        <w:t>Name.</w:t>
      </w:r>
      <w:r>
        <w:t xml:space="preserve"> Name tokens give the major and minor group: WALL, DOOR, GLAZ (curtain wall, glass, window), COLS (column, cut), BEAM, SLAB, GRID, ANNO-DIMS (dim), ANNO-TEXT (text, note, label, tag), HATC-CUTT (hatch), FURN, STRS (stair), FLOR, CLNG (ceiling, RCP), ROOF, DUCT, PIPE (pipe, plumbing, drain), POWR (power, electrical, socket), LITE (light), ROAD, PLNT (plant, tree, landscape), ANNO-TTLB (title, border, frame), ANNO-SYMB (symbol, arrow, north), ANNO-REFR (section, elevation, detail, callout), ANNO-NPLT (viewport, no plot), DETL-OUTL (line, outline).</w:t>
      </w:r>
    </w:p>
    <w:p>
      <w:pPr>
        <w:pStyle w:val="ListParagraph"/>
        <w:spacing w:after="40"/>
        <w:ind w:left="360" w:hanging="280"/>
      </w:pPr>
      <w:r>
        <w:t xml:space="preserve">3.  </w:t>
      </w:r>
      <w:r>
        <w:rPr>
          <w:b/>
        </w:rPr>
        <w:t>Content.</w:t>
      </w:r>
      <w:r>
        <w:t xml:space="preserve"> A name that says nothing is mapped by what the layer holds across all drawings: mostly dimensions -&gt; ANNO-DIMS; mostly text, attributes or leaders -&gt; ANNO-TEXT; mostly hatch, solid or wipeout -&gt; HATC-PATT; viewports -&gt; ANNO-NPLT; mostly block references -&gt; DETL-BLCK; other linework -&gt; DETL-OUTL, or DETL-HIDD with a hidden, dashed or dotted linetype, or DETL-CNTR with a centre, phantom or dash-dot linetype; an empty layer -&gt; ANNO-NPLT. "Mostly" means at least half of the entities.</w:t>
      </w:r>
    </w:p>
    <w:p>
      <w:pPr>
        <w:pStyle w:val="ListParagraph"/>
        <w:spacing w:after="40"/>
        <w:ind w:left="360" w:hanging="280"/>
      </w:pPr>
      <w:r>
        <w:t xml:space="preserve">4.  </w:t>
      </w:r>
      <w:r>
        <w:rPr>
          <w:b/>
        </w:rPr>
        <w:t>Discipline.</w:t>
      </w:r>
      <w:r>
        <w:t xml:space="preserve"> From the name (STR, MECH/HVAC, ELEC, PLUMB, LANDSC, FIRE, INT, CIV, SURV, ARC prefixes); otherwise from the folder: the MasterFormat division of a detail (03 and 05 1x -&gt; S, 21 -&gt; F, 22 -&gt; P, 23 and 25 -&gt; M, 26 to 28 -&gt; E, 31 and 33 onwards -&gt; C, 32 -&gt; L, all other divisions -&gt; A) or a discipline folder; otherwise A.</w:t>
      </w:r>
    </w:p>
    <w:p>
      <w:pPr>
        <w:pStyle w:val="ListParagraph"/>
        <w:spacing w:after="40"/>
        <w:ind w:left="360" w:hanging="280"/>
      </w:pPr>
      <w:r>
        <w:t xml:space="preserve">5.  </w:t>
      </w:r>
      <w:r>
        <w:rPr>
          <w:b/>
        </w:rPr>
        <w:t>Status.</w:t>
      </w:r>
      <w:r>
        <w:t xml:space="preserve"> E (existing, EXST, EX), D (demolition, removed) or T (temporary) from the name; otherwise N.</w:t>
      </w:r>
    </w:p>
    <w:p>
      <w:pPr>
        <w:pStyle w:val="ListParagraph"/>
        <w:spacing w:after="40"/>
        <w:ind w:left="360" w:hanging="280"/>
      </w:pPr>
      <w:r>
        <w:t xml:space="preserve">6.  </w:t>
      </w:r>
      <w:r>
        <w:rPr>
          <w:b/>
        </w:rPr>
        <w:t>Apply.</w:t>
      </w:r>
      <w:r>
        <w:t xml:space="preserve"> Each source layer is renamed to its BABOOM layer, or merged into it when the BABOOM layer already exists in the drawing (entities moved, the source layer purged). A source layer that cannot be purged (proxy objects, viewport or style references) keeps its content under the BABOOM layer name with the minor group LGCx (legacy, x = A, B ...), for example A-ANNO-REFR-LGCA-N. Originals are kept in the archive; the entity count of every drawing is checked before and after.</w:t>
      </w:r>
    </w:p>
    <w:p>
      <w:pPr>
        <w:pStyle w:val="Heading2"/>
      </w:pPr>
      <w:r>
        <w:t>1.3 Colour, linetype and lineweight</w:t>
      </w:r>
    </w:p>
    <w:p>
      <w:pPr/>
      <w:r>
        <w:t>The starter catalogue rows (Layers sheet) keep their values. A layer outside it takes, in order: the catalogue row with the same major group, minor group and status in another discipline; status D -&gt; ACI 7, DASHED, 0.25 mm; status E -&gt; ACI 6, Continuous, 0.18 mm; its minor group: CUTT 1/Continuous/0.50, TEXT, TTLB, SYMB and REFR 3/Continuous/0.25, DIMS 4/Continuous/0.18, PATT 5/Continuous/0.13, HIDD 8/HIDDEN/0.18, CNTR 1/CENTER/0.13, NPLT 8/Continuous/0.13, BLCK 2/Continuous/0.25; any other layer 3/Continuous/0.25. Object properties stay ByLayer (§1).</w:t>
      </w:r>
    </w:p>
    <w:p>
      <w:pPr>
        <w:pStyle w:val="Heading2"/>
      </w:pPr>
      <w:r>
        <w:t>1.4 Office detail library layer set</w:t>
      </w:r>
    </w:p>
    <w:p>
      <w:pPr/>
      <w:r>
        <w:t>The 425 drawings of the office detail library (</w:t>
      </w:r>
      <w:r>
        <w:rPr>
          <w:rFonts w:ascii="JetBrains Mono" w:hAnsi="JetBrains Mono"/>
        </w:rPr>
        <w:t>02-LIBRARIES\03-DETAILS\01-BBM-DETAILS-LIBRARY\01-CAD</w:t>
      </w:r>
      <w:r>
        <w:t>) use these 204 layers, all following the grammar (BBM_LAYERAUDIT, 5 November 2026: 204 of 204). The set extends the starter catalogue; a new project reuses these names before it registers a new one. D = discipline, S = status, Drawings = number of library drawings using the layer.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076"/>
        <w:gridCol w:w="274"/>
        <w:gridCol w:w="681"/>
        <w:gridCol w:w="1206"/>
        <w:gridCol w:w="254"/>
        <w:gridCol w:w="433"/>
        <w:gridCol w:w="1117"/>
        <w:gridCol w:w="720"/>
        <w:gridCol w:w="929"/>
        <w:gridCol w:w="2776"/>
      </w:tblGrid>
      <w:tr>
        <w:trPr>
          <w:cantSplit/>
          <w:tblHeader/>
        </w:trPr>
        <w:tc>
          <w:tcPr>
            <w:tcW w:type="dxa" w:w="207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Layer</w:t>
            </w:r>
          </w:p>
        </w:tc>
        <w:tc>
          <w:tcPr>
            <w:tcW w:type="dxa" w:w="27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</w:t>
            </w:r>
          </w:p>
        </w:tc>
        <w:tc>
          <w:tcPr>
            <w:tcW w:type="dxa" w:w="68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Major</w:t>
            </w:r>
          </w:p>
        </w:tc>
        <w:tc>
          <w:tcPr>
            <w:tcW w:type="dxa" w:w="120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Minor</w:t>
            </w:r>
          </w:p>
        </w:tc>
        <w:tc>
          <w:tcPr>
            <w:tcW w:type="dxa" w:w="25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</w:t>
            </w:r>
          </w:p>
        </w:tc>
        <w:tc>
          <w:tcPr>
            <w:tcW w:type="dxa" w:w="43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ACI</w:t>
            </w:r>
          </w:p>
        </w:tc>
        <w:tc>
          <w:tcPr>
            <w:tcW w:type="dxa" w:w="111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Linetype</w:t>
            </w:r>
          </w:p>
        </w:tc>
        <w:tc>
          <w:tcPr>
            <w:tcW w:type="dxa" w:w="720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Weight mm</w:t>
            </w:r>
          </w:p>
        </w:tc>
        <w:tc>
          <w:tcPr>
            <w:tcW w:type="dxa" w:w="92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Drawings</w:t>
            </w:r>
          </w:p>
        </w:tc>
        <w:tc>
          <w:tcPr>
            <w:tcW w:type="dxa" w:w="277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Values from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294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A-ANNO-NPLT-N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NPLT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A-ANNO-REFR-LGCA-N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A-ANNO-REFR-LGCB-N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A-ANNO-REFR-LGCC-N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REFR-LGCC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A-ANNO-REFR-N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147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REFR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A-ANNO-SYMB-LGCA-N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A-ANNO-TEXT-LGCA-N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259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A-ANNO-TEXT-T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T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TEXT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A-BEAM-OUTL-N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BEAM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A-CLNG-OUTL-N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CLNG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A-COLS-CUTT-N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COLS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0.50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S-COLS-CUTT-N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A-DETL-BLCK-LGCA-N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A-DETL-OUTL-D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D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DASHED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status 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320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A-DOOR-OUTL-N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DOOR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A-FLOR-OUTL-LGCA-N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FLOR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A-FLOR-OUTL-N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FLOR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113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A-FURN-OUTL-N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FURN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I-FURN-OUTL-N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A-GLAZ-OUTL-N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GLAZ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A-GRID-OUTL-LGCA-N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GRID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A-GRID-OUTL-LGCB-N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GRID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A-GRID-OUTL-N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GRID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193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A-HATC-PATT-N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PATT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PATT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A-LITE-OUTL-N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LITE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P-PIPE-OUTL-N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A-PLNT-OUTL-N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PLNT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L-PLNT-OUTL-N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A-POWR-OUTL-N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POWR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E-POWR-OUTL-N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A-ROOF-OUTL-N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ROOF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A-SLAB-OUTL-N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SLAB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A-STRS-OUTL-N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STRS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A-WALL-OUTL-N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C-ANNO-NPLT-N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NPLT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C-ANNO-TEXT-LGCA-N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C-COLS-CUTT-N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COLS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0.50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S-COLS-CUTT-N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C-DETL-OUTL-LGCA-N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C-GLAZ-OUTL-N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GLAZ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A-GLAZ-OUTL-N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C-HATC-PATT-N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PATT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PATT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C-LITE-OUTL-N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LITE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P-PIPE-OUTL-N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C-ROAD-OUTL-LGCA-N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ROAD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C-ROAD-OUTL-N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ROAD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C-WALL-OUTL-N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C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E-ANNO-DIMS-N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E-DETL-HIDD-N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E-DETL-OUTL-N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E-HATC-CUTT-N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A-HATC-CUTT-N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E-LITE-OUTL-N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LITE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E-POWR-OUTL-N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POWR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F-ANNO-REFR-N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REFR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F-LITE-OUTL-N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LITE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P-PIPE-OUTL-N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F-WALL-OUTL-N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F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G-ANNO-DIMS-N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G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G-ANNO-SYMB-N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G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G-ANNO-TEXT-N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G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G-ANNO-TTLB-N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G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G-DETL-OUTL-N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G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I-CLNG-OUTL-N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CLNG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I-DOOR-OUTL-N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DOOR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A-DOOR-OUTL-N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I-FURN-OUTL-N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FURN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A-HATC-CUTT-N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I-WALL-OUTL-N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I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L-ANNO-REFR-N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REFR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L-ANNO-TEXT-LGCA-N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L-DETL-OUTL-E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status E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L-DETL-OUTL-LGCA-N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L-FLOR-OUTL-N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FLOR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L-GLAZ-OUTL-N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GLAZ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A-GLAZ-OUTL-N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A-HATC-CUTT-N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L-HATC-PATT-N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PATT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PATT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L-LITE-OUTL-N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LITE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P-PIPE-OUTL-N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L-PLNT-OUTL-N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PLNT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L-SLAB-OUTL-N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SLAB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L-WALL-OUTL-N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L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M-ANNO-NPLT-N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NPLT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M-ANNO-REFR-N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REFR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M-ANNO-TEXT-LGCA-N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M-ANNO-TEXT-LGCB-N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M-CLNG-OUTL-N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CLNG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M-COLS-CUTT-N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COLS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0.50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S-COLS-CUTT-N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M-DETL-OUTL-LGCA-N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M-DETL-OUTL-T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T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M-DOOR-OUTL-N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DOOR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A-DOOR-OUTL-N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M-DUCT-OUTL-N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DUCT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M-FLOR-OUTL-N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FLOR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M-GLAZ-OUTL-N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GLAZ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A-GLAZ-OUTL-N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M-GRID-OUTL-N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GRID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A-HATC-CUTT-N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M-HATC-PATT-N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PATT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PATT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P-PIPE-OUTL-N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M-POWR-OUTL-N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POWR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E-POWR-OUTL-N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M-SLAB-OUTL-N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SLAB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M-WALL-OUTL-N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M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P-ANNO-NPLT-LGCA-N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P-ANNO-NPLT-LGCB-N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P-ANNO-NPLT-N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NPLT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P-ANNO-REFR-N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REFR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P-ANNO-TEXT-LGCA-N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P-ANNO-TEXT-LGCB-N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P-ANNO-TEXT-LGCC-N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TEXT-LGCC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P-ANNO-TTLB-LGCA-N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P-BEAM-OUTL-N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BEAM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P-CLNG-OUTL-N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CLNG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P-COLS-CUTT-N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COLS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0.50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S-COLS-CUTT-N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P-DETL-BLCK-LGCA-N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7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P-DETL-OUTL-E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status E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P-DETL-OUTL-LGCB-N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P-DOOR-OUTL-N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DOOR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A-DOOR-OUTL-N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P-DUCT-OUTL-N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DUCT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M-DUCT-OUTL-N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P-FLOR-OUTL-N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FLOR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P-GLAZ-OUTL-N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GLAZ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A-GLAZ-OUTL-N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P-GRID-OUTL-N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GRID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A-HATC-CUTT-N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P-HATC-PATT-N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PATT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PATT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P-LITE-OUTL-N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LITE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P-PIPE-OUTL-LGCA-N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P-STRS-OUTL-N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STRS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P-WALL-OUTL-N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P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S-ANNO-DIMS-N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DIMS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A-ANNO-DIMS-N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S-ANNO-NPLT-LGCA-N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S-ANNO-NPLT-LGCB-N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S-ANNO-NPLT-N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NPLT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15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NPLT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S-ANNO-REFR-N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REFR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REFR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S-ANNO-SYMB-N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SYMB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SYMB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S-ANNO-TEXT-E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status E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S-ANNO-TEXT-LGCB-N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S-ANNO-TEXT-LGCC-N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TEXT-LGCC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S-ANNO-TEXT-LGCD-N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S-ANNO-TEXT-LGCE-N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TEXT-LGCE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S-ANNO-TEXT-N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TEXT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A-ANNO-TEXT-N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S-ANNO-TTLB-N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ANNO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TTLB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TTLB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S-BEAM-OUTL-N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BEAM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S-COLS-CUTT-N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COLS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0.50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starter catalogue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S-DETL-BLCK-LGCA-N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S-DETL-BLCK-N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BLCK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BLCK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S-DETL-CNTR-N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CNTR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CENTER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CNTR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S-DETL-HIDD-N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HIDD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8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HIDDEN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12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HIDD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S-DETL-OUTL-LGCA-N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OUTL-LGCA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 (legacy layer)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S-DETL-OUTL-N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DETL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51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S-FLOR-OUTL-N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FLOR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S-FURN-OUTL-N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FURN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I-FURN-OUTL-N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S-GRID-OUTL-N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GRID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16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S-HATC-CUTT-E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E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6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0.18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status E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S-HATC-CUTT-N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CUTT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A-HATC-CUTT-N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S-HATC-PATT-N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HATC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PATT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5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0.13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14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minor group PATT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S-PIPE-OUTL-N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PIPE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P-PIPE-OUTL-N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S-ROOF-OUTL-N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ROOF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S-SLAB-OUTL-N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SLAB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20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S-STRS-OUTL-N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STRS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0.25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3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default rule</w:t>
            </w:r>
          </w:p>
        </w:tc>
      </w:tr>
      <w:tr>
        <w:trPr>
          <w:cantSplit/>
        </w:trPr>
        <w:tc>
          <w:tcPr>
            <w:tcW w:type="dxa" w:w="2076"/>
          </w:tcPr>
          <w:p>
            <w:r>
              <w:rPr>
                <w:sz w:val="17"/>
              </w:rPr>
            </w:r>
            <w:r>
              <w:rPr>
                <w:sz w:val="17"/>
              </w:rPr>
              <w:t>S-WALL-OUTL-N</w:t>
            </w:r>
          </w:p>
        </w:tc>
        <w:tc>
          <w:tcPr>
            <w:tcW w:type="dxa" w:w="274"/>
          </w:tcPr>
          <w:p>
            <w:r>
              <w:rPr>
                <w:sz w:val="17"/>
              </w:rPr>
            </w:r>
            <w:r>
              <w:rPr>
                <w:sz w:val="17"/>
              </w:rPr>
              <w:t>S</w:t>
            </w:r>
          </w:p>
        </w:tc>
        <w:tc>
          <w:tcPr>
            <w:tcW w:type="dxa" w:w="681"/>
          </w:tcPr>
          <w:p>
            <w:r>
              <w:rPr>
                <w:sz w:val="17"/>
              </w:rPr>
            </w:r>
            <w:r>
              <w:rPr>
                <w:sz w:val="17"/>
              </w:rPr>
              <w:t>WALL</w:t>
            </w:r>
          </w:p>
        </w:tc>
        <w:tc>
          <w:tcPr>
            <w:tcW w:type="dxa" w:w="1206"/>
          </w:tcPr>
          <w:p>
            <w:r>
              <w:rPr>
                <w:sz w:val="17"/>
              </w:rPr>
            </w:r>
            <w:r>
              <w:rPr>
                <w:sz w:val="17"/>
              </w:rPr>
              <w:t>OUTL</w:t>
            </w:r>
          </w:p>
        </w:tc>
        <w:tc>
          <w:tcPr>
            <w:tcW w:type="dxa" w:w="254"/>
          </w:tcPr>
          <w:p>
            <w:r>
              <w:rPr>
                <w:sz w:val="17"/>
              </w:rPr>
            </w:r>
            <w:r>
              <w:rPr>
                <w:sz w:val="17"/>
              </w:rPr>
              <w:t>N</w:t>
            </w:r>
          </w:p>
        </w:tc>
        <w:tc>
          <w:tcPr>
            <w:tcW w:type="dxa" w:w="433"/>
          </w:tcPr>
          <w:p>
            <w:r>
              <w:rPr>
                <w:sz w:val="17"/>
              </w:rPr>
            </w:r>
            <w:r>
              <w:rPr>
                <w:sz w:val="17"/>
              </w:rPr>
              <w:t>2</w:t>
            </w:r>
          </w:p>
        </w:tc>
        <w:tc>
          <w:tcPr>
            <w:tcW w:type="dxa" w:w="1117"/>
          </w:tcPr>
          <w:p>
            <w:r>
              <w:rPr>
                <w:sz w:val="17"/>
              </w:rPr>
            </w:r>
            <w:r>
              <w:rPr>
                <w:sz w:val="17"/>
              </w:rPr>
              <w:t>Continuous</w:t>
            </w:r>
          </w:p>
        </w:tc>
        <w:tc>
          <w:tcPr>
            <w:tcW w:type="dxa" w:w="720"/>
          </w:tcPr>
          <w:p>
            <w:r>
              <w:rPr>
                <w:sz w:val="17"/>
              </w:rPr>
            </w:r>
            <w:r>
              <w:rPr>
                <w:sz w:val="17"/>
              </w:rPr>
              <w:t>0.35</w:t>
            </w:r>
          </w:p>
        </w:tc>
        <w:tc>
          <w:tcPr>
            <w:tcW w:type="dxa" w:w="929"/>
          </w:tcPr>
          <w:p>
            <w:r>
              <w:rPr>
                <w:sz w:val="17"/>
              </w:rPr>
            </w:r>
            <w:r>
              <w:rPr>
                <w:sz w:val="17"/>
              </w:rPr>
              <w:t>9</w:t>
            </w:r>
          </w:p>
        </w:tc>
        <w:tc>
          <w:tcPr>
            <w:tcW w:type="dxa" w:w="2776"/>
          </w:tcPr>
          <w:p>
            <w:r>
              <w:rPr>
                <w:sz w:val="17"/>
              </w:rPr>
            </w:r>
            <w:r>
              <w:rPr>
                <w:sz w:val="17"/>
              </w:rPr>
              <w:t>catalogue row A-WALL-OUTL-N</w:t>
            </w:r>
          </w:p>
        </w:tc>
      </w:tr>
    </w:tbl>
    <w:p/>
    <w:p>
      <w:pPr>
        <w:pStyle w:val="Heading1"/>
      </w:pPr>
      <w:r>
        <w:t>2 Native setup references and transfer</w:t>
      </w:r>
    </w:p>
    <w:p>
      <w:pPr/>
      <w:r>
        <w:t xml:space="preserve">Read-only inventory on 2026-10-16 found 31 indexed candidates:1 DWT, 2 DWS, 24 CTB, 3 PC3 and 1 LIN. Manifest validates their full hashes/bytes against disk. Source names are not republished; locate each restricted source by its exact hash in </w:t>
      </w:r>
      <w:r>
        <w:rPr>
          <w:rFonts w:ascii="JetBrains Mono" w:hAnsi="JetBrains Mono"/>
        </w:rPr>
        <w:t>BABOOM-BIM-STANDARD/01-TEMPLATES/01-AUTOCAD/ASSETS-INDEX.csv</w:t>
      </w:r>
      <w:r>
        <w:t xml:space="preserve"> (folder renamed from AUTOCAD on 2026-11-04) (index SHA-256 e04d2a09c7587903d2dd544e1fed4d9817a8af4502c57f76795b25d1892320b7). These are candidate resources, not approved office defaults. No STB/PMP/PAT was observed in that directory; this does not prove absence elsewhere. Exact DWT/DWS contents, licences, layer catalogue alignment and current selection remain unverified. A parsed CTB is not a passed plot.</w:t>
      </w:r>
    </w:p>
    <w:p>
      <w:pPr/>
      <w:r>
        <w:t>Qualify one DWT seed and DWS checking definition per adopted profile with exact native build/hash. Chosen building-drawing baseline is model-space geometry 1:1 in millimetres and paper-space sheets 1:1 in millimetres; civil metre/CRS sources retain their declared units with one explicit insertion transform from BBM-STD-63. Store geometry accuracy independently from display precision. Synthetic dimension fixture displays whole millimetres without overridden values. Record INSUNITS, angle direction/base, UCS/WCS, coordinates, precision, annotation scaling and drawing units; no unitless insertion assumption. A 6000 mm known length must remain 6000 mm before and after export/import.</w:t>
      </w:r>
    </w:p>
    <w:p>
      <w:pPr/>
      <w:r>
        <w:t>Use relative xref paths within a governed package; shared source locations are not rewritten. Register host/xref IDs, source hashes/revisions, insertion point/rotation/scale/unit, overlay/attach mode, nesting and intended visibility. Overlay is the default reference mode to prevent unwanted propagation; attach only where approved nested delivery requires it. No circular nesting or unresolved required reference is accepted. Do not bind/explode an approved reference to conceal missing content. eTransmit a protected copy with the recipient-compatible DWG version, required xrefs/images/underlays, permitted fonts, plot styles, linetypes/hatches and manifest. Review licence/security exclusions; no credentials, unrestricted absolute paths or unapproved datasets. Unpack in an isolated recipient location without source-network access and test it there.</w:t>
      </w:r>
    </w:p>
    <w:p>
      <w:pPr>
        <w:pStyle w:val="Heading1"/>
      </w:pPr>
      <w:r>
        <w:t>3 Blocks annotation fonts and resources</w:t>
      </w:r>
    </w:p>
    <w:p>
      <w:pPr/>
      <w:r>
        <w:t>Resource records capture AssetID/revision/owner/hash/native build/licence, dependencies and test evidence. Blocks use a controlled name and origin/units, meaningful insertion point, ByLayer/ByBlock policy, attributes tied to BBM-STD-72 property meanings, and documented dynamic actions/visibility constraints. SYN-BLK66-DOOR R01 specifies a 900x2100 mm door, hinge insertion at 0,0,0 and mandatory attributes Mark=D-SYN-01, Type=SYN-D900 and SourceRevision=R01; no duplicated model-space title text. Test allowed swing/width states and invalid negative/stretch cases on protected copies. Nested blocks must have documented transforms/ownership; no arbitrary explode/overwrite on live references.</w:t>
      </w:r>
    </w:p>
    <w:p>
      <w:pPr/>
      <w:r>
        <w:t>SYN-BLK66-DOOR permits width 900 or 1000 mm only, fixed height 2100 mm, Left/Right swing visibility with 90 degree opening and hinge fixed at 0,0,0. Stretch affects only the leaf/frame width, never hinge/location/height. Type attribute is SYN-D900 at 900 mm and SYN-D1000 at 1000 mm; Mark and SourceRevision stay unchanged. Reject width 0,-100,950 or any unrestricted/negative scale; verify attribute updates and mirrored swing geometry rather than exploding the block.</w:t>
      </w:r>
    </w:p>
    <w:p>
      <w:pPr/>
      <w:r>
        <w:t xml:space="preserve">DIMSTYLE BBM-DIM-MM-2.5 is a proposed annotative style: decimal millimetres, zero decimals, associative geometry, plotted text 2.5 mm and dimension tick 2.0 mm, no measured-value text override; DIMASSOC=2 is the qualification setting. MLEADERSTYLE BBM-LEAD-2.5 uses 2.5 mm plotted text and the Manual §2.0 mm filled leader arrow. TEXTSTYLE BBM-TEXT uses the approved project font; Arial is the synthetic Unicode test candidate, not proof of entitlement/installation. Register TTF/SHX type, version/hash and the licence entry ID (LIC-nnn) from </w:t>
      </w:r>
      <w:r>
        <w:rPr>
          <w:color w:val="9A7B45"/>
          <w:u w:val="single"/>
        </w:rPr>
        <w:t>BBM-STD-94</w:t>
      </w:r>
      <w:r>
        <w:t>, fallback and Unicode coverage; never package a restricted font without permission or accept a silent substitute. Test Ø,±,², numeric strings and project-required bilingual glyphs supplied by the reviewer at intended output size.</w:t>
      </w:r>
    </w:p>
    <w:p>
      <w:pPr/>
      <w:r>
        <w:t xml:space="preserve">Arabic text: use the approved Arabic-capable font (licence entry in </w:t>
      </w:r>
      <w:r>
        <w:rPr>
          <w:color w:val="9A7B45"/>
          <w:u w:val="single"/>
        </w:rPr>
        <w:t>BBM-STD-94</w:t>
      </w:r>
      <w:r>
        <w:t xml:space="preserve">, hash registered), an RTL test string and a shaping check in the PDF and the plot. Authority-specific Arabic requirements are not confirmed in this revision and are taken from BBM-STD-57 and </w:t>
      </w:r>
      <w:r>
        <w:rPr>
          <w:color w:val="9A7B45"/>
          <w:u w:val="single"/>
        </w:rPr>
        <w:t>BBM-STD-85</w:t>
      </w:r>
      <w:r>
        <w:t xml:space="preserve"> per project.</w:t>
      </w:r>
    </w:p>
    <w:p>
      <w:pPr/>
      <w:r>
        <w:t>PAT/LIN files need name, definition scale/origin, model/paper meaning, author/licence, dependency style/font and specimen. Drafting hatches convey paper appearance; material/module patterns preserve real-world size/orientation. Synthetic tile grid 300x300 mm must measure 3x3 mm on 1:100 output; section hatch spacing is specified separately as 2 mm on paper. No arbitrary hatch rescale to hide a wrong model. The observed LIN refers to a text style: qualify that dependency, encoding and output before adoption. Register fonts/PAT/LIN even when bundled; an installed path is not licence proof.</w:t>
      </w:r>
    </w:p>
    <w:p>
      <w:pPr/>
      <w:r>
        <w:t>SYN-LIN66-DASH specifies proposed definition A,6,-3 with expected 6 mm dash/3 mm gap on paper at both 1:50 and 1:100 after qualified profile scaling. SYN-LIN66-TEXT specifies A,7.5,[FENCE text using Standard TEXTSTYLE, y=-1.25, s=2.5],-11.524205; expected repeating FENCE text 2.5 mm high at y=-1.25 mm, preceding dash 7.5 mm and gap 11.524205 mm on paper. Standard is the observed source LIN's TEXTSTYLE dependency; its source font is not established. The fixture proposes Standard bound to the approved Arial candidate, exact font/version/hash/licence pending. This is a separate controlled derived-asset specification, not an edit/adoption of the observed source. No silent font/style substitution or clipped/overlapping complex text passes. Actual scaling and native output remain unexecuted.</w:t>
      </w:r>
    </w:p>
    <w:p>
      <w:pPr>
        <w:pStyle w:val="Heading1"/>
      </w:pPr>
      <w:r>
        <w:t>4 CTB plotting and scale control</w:t>
      </w:r>
    </w:p>
    <w:p>
      <w:pPr/>
      <w:r>
        <w:t>Select colour-dependent CTB as the default qualification route because the observed office candidates are CTB. STB is a separately approved appointment workflow requiring explicit profile/conversion and retest, not a mixed mode in the same drawing. No observed client-derived CTB is declared the office master. The fixed-weight SYN-PLOT66 mapping below is the office plot style; the office plot files (CTB and page setups) are rebuilt to it (</w:t>
      </w:r>
      <w:r>
        <w:rPr>
          <w:color w:val="9A7B45"/>
          <w:u w:val="single"/>
        </w:rPr>
        <w:t>O-DEC-148</w:t>
      </w:r>
      <w:r>
        <w:t xml:space="preserve">). SYN-PLOT66 R01 is a proposed neutral monochrome CTB specimen: ACI1=0.50 mm,2=0.35,3=0.25,4=0.18,5=0.13,6=0.18,7=0.25; all black 100% screening. A separate reference-halftone specimen ACI8=0.13 mm at 50% must prove sufficient contrast. Colours outside the governed mapping, true-colour objects, transparency and object overrides are rejection/qualification cases, not silent fallbacks. SYN-PLOT66 widths follow the ISO 128 line-width series (0.13, 0.18, 0.25, 0.35, 0.50, 0.70 mm); title-block attributes follow the ISO 7200 data fields (see BBM-STD-67). Revit pen numbers map to the same ISO 128 widths through the </w:t>
      </w:r>
      <w:r>
        <w:rPr>
          <w:color w:val="9A7B45"/>
          <w:u w:val="single"/>
        </w:rPr>
        <w:t>Manual V0.5</w:t>
      </w:r>
      <w:r>
        <w:t xml:space="preserve"> §4.1.1 table (</w:t>
      </w:r>
      <w:r>
        <w:rPr>
          <w:color w:val="9A7B45"/>
          <w:u w:val="single"/>
        </w:rPr>
        <w:t>O-DEC-122</w:t>
      </w:r>
      <w:r>
        <w:t>); confirm both by test print before adopting cross-tool mappings.</w:t>
      </w:r>
    </w:p>
    <w:p>
      <w:pPr/>
      <w:r>
        <w:t>Freeze CTB hash, selected PC3/driver/build, media definition/PMP hash if applicable, named page setup, sheet size/orientation, plot area, offset/origin, scale, lineweight and transparency switches and font route. SYN-A1-PDF R01 uses A1 landscape 841x594 mm, Layout area, paper plot 1:1, no Fit-to-paper and a locked 1:100 viewport. Initial qualification settings LTSCALE=1, PSLTSCALE=1, MSLTSCALE=1 are chosen fixture inputs; inspect actual dashes at 1:50 and 1:100 and change only through the tested profile. Annotative text/dimensions receive one intended annotation scale, avoiding duplicate scaling. Device printable margins must be measured and kept clear of title content.</w:t>
      </w:r>
    </w:p>
    <w:p>
      <w:pPr/>
      <w:r>
        <w:t>The plot specimen has a 6000x4000 mm model rectangle, dimensions, door block/tag, continuous/dashed line hierarchy swatches, eight ACI swatches, hatch/tile grids, Unicode text and a 100 mm paper calibration bar. Expected 1:100 rectangle is 60x40 mm; 100 mm bar is 100 mm in PDF and physical print. Proposed office test criterion is ±0.5 mm for the 100 mm printed bar, from SYN-REQ66 only, not an ISO tolerance; native geometry comparisons use ±0.1 mm for the synthetic lengths. Plotted text is at least 2.5 mm high on all sheets, measured at paper size and not scaled by view (O-DEC-118); arrows follow Manual §4.6. Legibility, line hierarchy, screening and critical details need visual approval; correct lengths alone do not pass.</w:t>
      </w:r>
    </w:p>
    <w:p>
      <w:pPr>
        <w:pStyle w:val="Heading1"/>
      </w:pPr>
      <w:r>
        <w:t>5 Audit exchange and recipient checks</w:t>
      </w:r>
    </w:p>
    <w:p>
      <w:pPr/>
      <w:r>
        <w:t>Audit a protected working copy, recording original hash. Check DWS layers/styles/units, unexpected overrides, object/proxy types, unsupported AEC objects, missing fonts/shapes/PAT/LIN, xrefs/images/underlays, blocks/attributes, dimensions, UCS/CRS and output settings. PURGE removes only verified unused/nonrequired definitions after a before/after comparison; AUDIT repairs require logged changes/review. Never purge required annotation scales, styles, embedded identity or references merely to reduce size. Required proxy objects need an approved object-enabler/native route or a reviewed export that preserves required geometry/data; proxy graphics alone cannot establish editability/semantic fidelity.</w:t>
      </w:r>
    </w:p>
    <w:p>
      <w:pPr/>
      <w:r>
        <w:t>DWG export/import mapping joins native Revit category/subcategory/phase/representation and property IDs to target layer/block/attribute/units. Synthetic wall cut -&gt;A-WALL-CUTT-N and door Mark -&gt;block attribute Mark are explicit examples; category/phase unknown holds mapping. Verify coordinates, 6000 mm length, door 900 mm width, attributes, hatch scale and paper-space geometry before and after receiving/reimport. Record exact authoring/export/receiver builds, DWG version/profile/preset and source/output hashes. Never measure DWG model geometry by PDF pixels or accept a tool's “audit clean” message as recipient proof.</w:t>
      </w:r>
    </w:p>
    <w:p>
      <w:pPr>
        <w:pStyle w:val="Heading1"/>
      </w:pPr>
      <w:r>
        <w:t>6 Specimens release and recovery</w:t>
      </w:r>
    </w:p>
    <w:p>
      <w:pPr/>
      <w:r>
        <w:t>The workbook provides Manifest, Layers, Mapping, Setup, Xrefs, Resources, Plot profile, Specimens, Tests and Acceptance, with editable blank forms. These define the native test-DWG/plot assets; no DWG/PDF/CTB/DWT/DWS is created by this writing scope. All actual results are Not executed. Independent review must verify each applicable layer/style/resource and specimen, recipient clean open without source-network access, correct mandatory attributes/units, PDF full-sheet/critical-detail quality and a physical plot. The producer/checker/authoriser/recipient record is distinct. Missing mandatory resources, unsafe disclosure, broken references, proxy loss or wrong scale holds affected release. Preserve approved originals and restore by verified baseline hashes if audit/export/conversion fails; propagate approved mapping/resource changes by one ChangeID through BEP/TIDP/MIDP before use.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Matrix SG-041..052; Manual §4/5/7; BBM-STD-51/63/65/72; observed read-only CAD index/hash above. Native asset testing/adoption pending.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5">
        <w:r>
          <w:rPr>
            <w:color w:val="9A7B45"/>
            <w:u w:val="single"/>
          </w:rPr>
          <w:t>ISO 13567-1:2017</w:t>
        </w:r>
      </w:hyperlink>
      <w:r>
        <w:t xml:space="preserve">, </w:t>
      </w:r>
      <w:hyperlink r:id="rId16">
        <w:r>
          <w:rPr>
            <w:color w:val="9A7B45"/>
            <w:u w:val="single"/>
          </w:rPr>
          <w:t>ISO 13567-2:2017</w:t>
        </w:r>
      </w:hyperlink>
      <w:r>
        <w:t xml:space="preserve">, </w:t>
      </w:r>
      <w:hyperlink r:id="rId17">
        <w:r>
          <w:rPr>
            <w:color w:val="9A7B45"/>
            <w:u w:val="single"/>
          </w:rPr>
          <w:t>NCSv7 public overview</w:t>
        </w:r>
      </w:hyperlink>
      <w:r>
        <w:t xml:space="preserve"> and </w:t>
      </w:r>
      <w:hyperlink r:id="rId18">
        <w:r>
          <w:rPr>
            <w:color w:val="9A7B45"/>
            <w:u w:val="single"/>
          </w:rPr>
          <w:t>AIA layer field sample</w:t>
        </w:r>
      </w:hyperlink>
      <w:r>
        <w:t>. Local grammar is an office selection; licensed normative conformity unassessed and paid catalogues not reproduced.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9">
        <w:r>
          <w:rPr>
            <w:color w:val="9A7B45"/>
            <w:u w:val="single"/>
          </w:rPr>
          <w:t>Autodesk plotter/plot-style concepts</w:t>
        </w:r>
      </w:hyperlink>
      <w:r>
        <w:t xml:space="preserve">, </w:t>
      </w:r>
      <w:hyperlink r:id="rId20">
        <w:r>
          <w:rPr>
            <w:color w:val="9A7B45"/>
            <w:u w:val="single"/>
          </w:rPr>
          <w:t>eTransmit</w:t>
        </w:r>
      </w:hyperlink>
      <w:r>
        <w:t xml:space="preserve">, </w:t>
      </w:r>
      <w:hyperlink r:id="rId21">
        <w:r>
          <w:rPr>
            <w:color w:val="9A7B45"/>
            <w:u w:val="single"/>
          </w:rPr>
          <w:t>CTB/STB conversion</w:t>
        </w:r>
      </w:hyperlink>
      <w:r>
        <w:t>, live checked 2026-10-16; qualify actual tool build.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2">
        <w:r>
          <w:rPr>
            <w:color w:val="9A7B45"/>
            <w:u w:val="single"/>
          </w:rPr>
          <w:t>ISO 19650-2:2018</w:t>
        </w:r>
      </w:hyperlink>
      <w:r>
        <w:t xml:space="preserve"> clauses 5.1.4/5.5.3/5.6 and </w:t>
      </w:r>
      <w:hyperlink r:id="rId23">
        <w:r>
          <w:rPr>
            <w:color w:val="9A7B45"/>
            <w:u w:val="single"/>
          </w:rPr>
          <w:t>IMI Framework (formerly UK BIM Framework, renamed May 2025) Guidance Part 2, archived edition 5, explanatory only</w:t>
        </w:r>
      </w:hyperlink>
      <w:r>
        <w:t xml:space="preserve">: production/mobilisation reading pointers, not a licensed audit. </w:t>
      </w:r>
      <w:hyperlink r:id="rId24">
        <w:r>
          <w:rPr>
            <w:color w:val="9A7B45"/>
            <w:u w:val="single"/>
          </w:rPr>
          <w:t>ISO 19650-1</w:t>
        </w:r>
      </w:hyperlink>
      <w:r>
        <w:t xml:space="preserve">, </w:t>
      </w:r>
      <w:hyperlink r:id="rId25">
        <w:r>
          <w:rPr>
            <w:color w:val="9A7B45"/>
            <w:u w:val="single"/>
          </w:rPr>
          <w:t>-3</w:t>
        </w:r>
      </w:hyperlink>
      <w:r>
        <w:t xml:space="preserve">, </w:t>
      </w:r>
      <w:hyperlink r:id="rId26">
        <w:r>
          <w:rPr>
            <w:color w:val="9A7B45"/>
            <w:u w:val="single"/>
          </w:rPr>
          <w:t>-5</w:t>
        </w:r>
      </w:hyperlink>
      <w:r>
        <w:t xml:space="preserve"> and </w:t>
      </w:r>
      <w:hyperlink r:id="rId27">
        <w:r>
          <w:rPr>
            <w:color w:val="9A7B45"/>
            <w:u w:val="single"/>
          </w:rPr>
          <w:t>ISO 7817-1:2024</w:t>
        </w:r>
      </w:hyperlink>
      <w:r>
        <w:t xml:space="preserve"> lifecycle/security/LOIN context; BS EN 17412-1:2020 is predecessor.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8">
        <w:r>
          <w:rPr>
            <w:color w:val="9A7B45"/>
            <w:u w:val="single"/>
          </w:rPr>
          <w:t>DDA Final Design Approval</w:t>
        </w:r>
      </w:hyperlink>
      <w:r>
        <w:t xml:space="preserve">, </w:t>
      </w:r>
      <w:hyperlink r:id="rId29">
        <w:r>
          <w:rPr>
            <w:color w:val="9A7B45"/>
            <w:u w:val="single"/>
          </w:rPr>
          <w:t>DM circular index</w:t>
        </w:r>
      </w:hyperlink>
      <w:r>
        <w:t xml:space="preserve"> and </w:t>
      </w:r>
      <w:hyperlink r:id="rId30">
        <w:r>
          <w:rPr>
            <w:color w:val="9A7B45"/>
            <w:u w:val="single"/>
          </w:rPr>
          <w:t>ADM Code of Practice</w:t>
        </w:r>
      </w:hyperlink>
      <w:r>
        <w:t>: authority-specific profile confirmation through BBM-STD-57; no universal UAE CAD mandate is inferred.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Current sources, checked 2026-11-04: </w:t>
      </w:r>
      <w:hyperlink r:id="rId31">
        <w:r>
          <w:rPr>
            <w:color w:val="9A7B45"/>
            <w:u w:val="single"/>
          </w:rPr>
          <w:t>ISO 128-1:2020</w:t>
        </w:r>
      </w:hyperlink>
      <w:r>
        <w:t xml:space="preserve">; </w:t>
      </w:r>
      <w:hyperlink r:id="rId32">
        <w:r>
          <w:rPr>
            <w:color w:val="9A7B45"/>
            <w:u w:val="single"/>
          </w:rPr>
          <w:t>ISO 7200:2004</w:t>
        </w:r>
      </w:hyperlink>
      <w:r>
        <w:t xml:space="preserve">; </w:t>
      </w:r>
      <w:hyperlink r:id="rId33">
        <w:r>
          <w:rPr>
            <w:color w:val="9A7B45"/>
            <w:u w:val="single"/>
          </w:rPr>
          <w:t>IMI Framework resources (formerly UK BIM Framework, renamed May 2025)</w:t>
        </w:r>
      </w:hyperlink>
      <w:r>
        <w:t xml:space="preserve">. Codes: </w:t>
      </w:r>
      <w:r>
        <w:rPr>
          <w:color w:val="9A7B45"/>
          <w:u w:val="single"/>
        </w:rPr>
        <w:t>BBM-STD-93</w:t>
      </w:r>
      <w:r>
        <w:t xml:space="preserve">; UAE requirement detail: </w:t>
      </w:r>
      <w:r>
        <w:rPr>
          <w:color w:val="9A7B45"/>
          <w:u w:val="single"/>
        </w:rPr>
        <w:t>BBM-STD-85</w:t>
      </w:r>
      <w:r>
        <w:t>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BBM-STD-66-CAD_STANDARD-V0.3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5cdee98f37a140778b8b30badb3c652c" TargetMode="External"/><Relationship Id="rId14" Type="http://schemas.openxmlformats.org/officeDocument/2006/relationships/hyperlink" Target="https://github.com/Fargaly/baboom-bim-standard/blob/main/04-DOCUMENTS/BBM-STD-66-CAD_STANDARD-V0.3.docx" TargetMode="External"/><Relationship Id="rId15" Type="http://schemas.openxmlformats.org/officeDocument/2006/relationships/hyperlink" Target="https://www.iso.org/standard/70181.html" TargetMode="External"/><Relationship Id="rId16" Type="http://schemas.openxmlformats.org/officeDocument/2006/relationships/hyperlink" Target="https://www.iso.org/standard/70182.html" TargetMode="External"/><Relationship Id="rId17" Type="http://schemas.openxmlformats.org/officeDocument/2006/relationships/hyperlink" Target="https://www.nationalcadstandard.org/ncs7/content.php" TargetMode="External"/><Relationship Id="rId18" Type="http://schemas.openxmlformats.org/officeDocument/2006/relationships/hyperlink" Target="https://www.nationalcadstandard.org/ncs6/pdfs/ncs6_clg_lnf.pdf" TargetMode="External"/><Relationship Id="rId19" Type="http://schemas.openxmlformats.org/officeDocument/2006/relationships/hyperlink" Target="https://help.autodesk.com/cloudhelp/2023/ENU/AutoCAD-Customization/files/GUID-1FB1C1F5-82CD-4912-8549-84FF7DD91EBB.htm" TargetMode="External"/><Relationship Id="rId20" Type="http://schemas.openxmlformats.org/officeDocument/2006/relationships/hyperlink" Target="https://help.autodesk.com/cloudhelp/2026/ENU/AutoCAD-LT-DidYouKnow/files/GUID-DD451786-5D5A-42A5-92D5-943CE9D66016.htm" TargetMode="External"/><Relationship Id="rId21" Type="http://schemas.openxmlformats.org/officeDocument/2006/relationships/hyperlink" Target="https://www.autodesk.com/support/technical/article/caas/sfdcarticles/sfdcarticles/How-to-convert-AutoCAD-drawing-from-CTB-to-STB-plot-style.html" TargetMode="External"/><Relationship Id="rId22" Type="http://schemas.openxmlformats.org/officeDocument/2006/relationships/hyperlink" Target="https://www.iso.org/standard/68080.html" TargetMode="External"/><Relationship Id="rId23" Type="http://schemas.openxmlformats.org/officeDocument/2006/relationships/hyperlink" Target="https://ukbimframework.org/wp-content/uploads/2020/09/Guidance-Part-2_Parties-teams-and-processes-for-the-delivery-phase-of-assets_Edition-5.pdf" TargetMode="External"/><Relationship Id="rId24" Type="http://schemas.openxmlformats.org/officeDocument/2006/relationships/hyperlink" Target="https://www.iso.org/standard/68078.html" TargetMode="External"/><Relationship Id="rId25" Type="http://schemas.openxmlformats.org/officeDocument/2006/relationships/hyperlink" Target="https://www.iso.org/standard/75109.html" TargetMode="External"/><Relationship Id="rId26" Type="http://schemas.openxmlformats.org/officeDocument/2006/relationships/hyperlink" Target="https://www.iso.org/standard/74206.html" TargetMode="External"/><Relationship Id="rId27" Type="http://schemas.openxmlformats.org/officeDocument/2006/relationships/hyperlink" Target="https://www.iso.org/standard/82914.html" TargetMode="External"/><Relationship Id="rId28" Type="http://schemas.openxmlformats.org/officeDocument/2006/relationships/hyperlink" Target="https://dda.gov.ae/en/planning-development/design/final-design-approval" TargetMode="External"/><Relationship Id="rId29" Type="http://schemas.openxmlformats.org/officeDocument/2006/relationships/hyperlink" Target="https://www.dm.gov.ae/building-planning-circulars-2/" TargetMode="External"/><Relationship Id="rId30" Type="http://schemas.openxmlformats.org/officeDocument/2006/relationships/hyperlink" Target="https://www.dmt.gov.ae/adm/-/media/Project/DMT/ADM/E-Library/0001-Jan-2022-Doc/ADM-BIM-005Code-of-Practice.pdf" TargetMode="External"/><Relationship Id="rId31" Type="http://schemas.openxmlformats.org/officeDocument/2006/relationships/hyperlink" Target="https://www.iso.org/standard/65296.html" TargetMode="External"/><Relationship Id="rId32" Type="http://schemas.openxmlformats.org/officeDocument/2006/relationships/hyperlink" Target="https://committee.iso.org/standard/35446.html" TargetMode="External"/><Relationship Id="rId33" Type="http://schemas.openxmlformats.org/officeDocument/2006/relationships/hyperlink" Target="https://ukbimframework.org/resources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