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spacing w:before="840"/>
      </w:pPr>
      <w:r>
        <w:t>Family authoring native library and release</w:t>
      </w:r>
    </w:p>
    <w:p>
      <w:pPr/>
      <w:r>
        <w:t xml:space="preserve">Linked copies: ID STD-69 · </w:t>
      </w:r>
      <w:hyperlink r:id="rId13">
        <w:r>
          <w:rPr>
            <w:color w:val="9A7B45"/>
            <w:u w:val="single"/>
          </w:rPr>
          <w:t>TBP page</w:t>
        </w:r>
      </w:hyperlink>
      <w:r>
        <w:t xml:space="preserve"> · </w:t>
      </w:r>
      <w:hyperlink r:id="rId14">
        <w:r>
          <w:rPr>
            <w:color w:val="9A7B45"/>
            <w:u w:val="single"/>
          </w:rPr>
          <w:t>BABOOM edition</w:t>
        </w:r>
      </w:hyperlink>
      <w:r>
        <w:t xml:space="preserve"> · ArchHub: BABOOM companion</w:t>
      </w:r>
    </w:p>
    <w:p>
      <w:pPr/>
      <w:r>
        <w:t>BBM-STD-69-FAMILY_STANDARD-V0.2 | Office standard | 4 November 2026 | V0.2 | Private controlled WIP draft for office review</w:t>
      </w:r>
    </w:p>
    <w:p>
      <w:pPr>
        <w:pStyle w:val="Heading1"/>
      </w:pPr>
      <w:r>
        <w:t>Revision history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817"/>
        <w:gridCol w:w="1547"/>
        <w:gridCol w:w="8102"/>
      </w:tblGrid>
      <w:tr>
        <w:trPr>
          <w:cantSplit/>
          <w:tblHeader/>
        </w:trPr>
        <w:tc>
          <w:tcPr>
            <w:tcW w:type="dxa" w:w="81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154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8102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Change</w:t>
            </w:r>
          </w:p>
        </w:tc>
      </w:tr>
      <w:tr>
        <w:trPr>
          <w:cantSplit/>
        </w:trPr>
        <w:tc>
          <w:tcPr>
            <w:tcW w:type="dxa" w:w="817"/>
          </w:tcPr>
          <w:p>
            <w:r>
              <w:rPr>
                <w:sz w:val="17"/>
              </w:rPr>
            </w:r>
            <w:r>
              <w:rPr>
                <w:sz w:val="17"/>
              </w:rPr>
              <w:t>V0.1</w:t>
            </w:r>
          </w:p>
        </w:tc>
        <w:tc>
          <w:tcPr>
            <w:tcW w:type="dxa" w:w="1547"/>
          </w:tcPr>
          <w:p>
            <w:r>
              <w:rPr>
                <w:sz w:val="17"/>
              </w:rPr>
            </w:r>
            <w:r>
              <w:rPr>
                <w:sz w:val="17"/>
              </w:rPr>
              <w:t>16 October 2026</w:t>
            </w:r>
          </w:p>
        </w:tc>
        <w:tc>
          <w:tcPr>
            <w:tcW w:type="dxa" w:w="8102"/>
          </w:tcPr>
          <w:p>
            <w:r>
              <w:rPr>
                <w:sz w:val="17"/>
              </w:rPr>
            </w:r>
            <w:r>
              <w:rPr>
                <w:sz w:val="17"/>
              </w:rPr>
              <w:t>First controlled draft.</w:t>
            </w:r>
          </w:p>
        </w:tc>
      </w:tr>
      <w:tr>
        <w:trPr>
          <w:cantSplit/>
        </w:trPr>
        <w:tc>
          <w:tcPr>
            <w:tcW w:type="dxa" w:w="817"/>
          </w:tcPr>
          <w:p>
            <w:r>
              <w:rPr>
                <w:sz w:val="17"/>
              </w:rPr>
            </w:r>
            <w:r>
              <w:rPr>
                <w:sz w:val="17"/>
              </w:rPr>
              <w:t>V0.2</w:t>
            </w:r>
          </w:p>
        </w:tc>
        <w:tc>
          <w:tcPr>
            <w:tcW w:type="dxa" w:w="1547"/>
          </w:tcPr>
          <w:p>
            <w:r>
              <w:rPr>
                <w:sz w:val="17"/>
              </w:rPr>
            </w:r>
            <w:r>
              <w:rPr>
                <w:sz w:val="17"/>
              </w:rPr>
              <w:t>4 November 2026</w:t>
            </w:r>
          </w:p>
        </w:tc>
        <w:tc>
          <w:tcPr>
            <w:tcW w:type="dxa" w:w="8102"/>
          </w:tcPr>
          <w:p>
            <w:r>
              <w:rPr>
                <w:sz w:val="17"/>
              </w:rPr>
            </w:r>
            <w:r>
              <w:rPr>
                <w:sz w:val="17"/>
              </w:rPr>
              <w:t xml:space="preserve">Audit res-026 closure: G226 cleaning-policy source restated in §4; G227 library save release tied to </w:t>
            </w:r>
            <w:r>
              <w:rPr>
                <w:color w:val="9A7B45"/>
                <w:sz w:val="17"/>
                <w:u w:val="single"/>
              </w:rPr>
              <w:t>BBM-STD-91</w:t>
            </w:r>
            <w:r>
              <w:rPr>
                <w:sz w:val="17"/>
              </w:rPr>
              <w:t xml:space="preserve"> (O-DEC-120); G228 W3-C01 sent to the Decisions Log; G229 ISO 23386/​23387 property mapping in §2; G230 references trimmed and re-checked; links moved to Manual V0.4/​BEP V0.5; number spacing fixed. + cross-doc pointer pass. + template alignment (O-DEC-142..148) + folder names without dots (O-DEC-149)</w:t>
            </w:r>
          </w:p>
        </w:tc>
      </w:tr>
    </w:tbl>
    <w:p/>
    <w:p>
      <w:pPr>
        <w:pStyle w:val="Heading1"/>
      </w:pPr>
      <w:r>
        <w:t>1 Scope source and family routes</w:t>
      </w:r>
    </w:p>
    <w:p>
      <w:pPr/>
      <w:r>
        <w:t xml:space="preserve">This standard consolidates Manual 6.1/8.2.2 and guides 26/27/35/37 for SG-061/063. Content curator owns admission/release and dependency history; category/discipline author produces native content; independent content and discipline reviewers check intended use; receiving team accepts the exact release. Follow </w:t>
      </w:r>
      <w:r>
        <w:rPr>
          <w:color w:val="9A7B45"/>
          <w:u w:val="single"/>
        </w:rPr>
        <w:t>Manual</w:t>
      </w:r>
      <w:r>
        <w:t xml:space="preserve">, </w:t>
      </w:r>
      <w:r>
        <w:rPr>
          <w:color w:val="9A7B45"/>
          <w:u w:val="single"/>
        </w:rPr>
        <w:t>BEP</w:t>
      </w:r>
      <w:r>
        <w:t xml:space="preserve">, </w:t>
      </w:r>
      <w:r>
        <w:rPr>
          <w:color w:val="9A7B45"/>
          <w:u w:val="single"/>
        </w:rPr>
        <w:t>EIR and LOIN</w:t>
      </w:r>
      <w:r>
        <w:t xml:space="preserve">, </w:t>
      </w:r>
      <w:r>
        <w:rPr>
          <w:color w:val="9A7B45"/>
          <w:u w:val="single"/>
        </w:rPr>
        <w:t>template release</w:t>
      </w:r>
      <w:r>
        <w:t xml:space="preserve"> and </w:t>
      </w:r>
      <w:r>
        <w:rPr>
          <w:color w:val="9A7B45"/>
          <w:u w:val="single"/>
        </w:rPr>
        <w:t>dictionary</w:t>
      </w:r>
      <w:r>
        <w:t xml:space="preserve">. Use the </w:t>
      </w:r>
      <w:r>
        <w:rPr>
          <w:color w:val="9A7B45"/>
          <w:u w:val="single"/>
        </w:rPr>
        <w:t>editable creation and release pack</w:t>
      </w:r>
      <w:r>
        <w:t>. Written manufacturer-family benchmarks are specification examples only, not a delivered native library or QA result.</w:t>
      </w:r>
    </w:p>
    <w:p>
      <w:pPr/>
      <w:r>
        <w:t xml:space="preserve">The existing published native library is </w:t>
      </w:r>
      <w:r>
        <w:rPr>
          <w:rFonts w:ascii="JetBrains Mono" w:hAnsi="JetBrains Mono"/>
        </w:rPr>
        <w:t>BABOOM-BIM-STANDARD/02-LIBRARIES/01-FAMILIES</w:t>
      </w:r>
      <w:r>
        <w:t xml:space="preserve">; </w:t>
      </w:r>
      <w:r>
        <w:rPr>
          <w:rFonts w:ascii="JetBrains Mono" w:hAnsi="JetBrains Mono"/>
        </w:rPr>
        <w:t>BBM-FAMILY-LIBRARY-INDEX.csv</w:t>
      </w:r>
      <w:r>
        <w:t xml:space="preserve"> and </w:t>
      </w:r>
      <w:r>
        <w:rPr>
          <w:rFonts w:ascii="JetBrains Mono" w:hAnsi="JetBrains Mono"/>
        </w:rPr>
        <w:t>CATALOGUE.html</w:t>
      </w:r>
      <w:r>
        <w:t xml:space="preserve"> are its existing index and user browser. Users consume read-only; curator changes pass through the existing library-production owner, never this writing lane. Read-only observation on 2026-10-16 found 878 index rows/878 distinct relative paths. Index 342182 bytes has SHA-256 </w:t>
      </w:r>
      <w:r>
        <w:rPr>
          <w:rFonts w:ascii="JetBrains Mono" w:hAnsi="JetBrains Mono"/>
        </w:rPr>
        <w:t>6d4ecac1310377706ce3937e98a64a5fc097f0d07784a617d450691cd5ae45a4</w:t>
      </w:r>
      <w:r>
        <w:t xml:space="preserve">; catalogue 526197 bytes has SHA-256 </w:t>
      </w:r>
      <w:r>
        <w:rPr>
          <w:rFonts w:ascii="JetBrains Mono" w:hAnsi="JetBrains Mono"/>
        </w:rPr>
        <w:t>0abe792428db237940692fdcc1d8f348fcc1f43eb59aa0ec8075282850081531</w:t>
      </w:r>
      <w:r>
        <w:t xml:space="preserve">. The index's sha256_16 is a 16-character prefix, not a full release digest. One sampled RFA prefix was independently verified by reading its bytes; that does not validate all 878 files, their save releases, rights, types, geometry or receiving behavior. Re-read on 2026-11-04 (read-only): the index has 889 rows, modified 2026-10-29, SHA-256 </w:t>
      </w:r>
      <w:r>
        <w:rPr>
          <w:rFonts w:ascii="JetBrains Mono" w:hAnsi="JetBrains Mono"/>
        </w:rPr>
        <w:t>5b586168d9ff202f747b85bf14d0caaacbee48485bf24529aa5712d6cb504aaa</w:t>
      </w:r>
      <w:r>
        <w:t>; every use quotes the snapshot it relied on (reconciled with BBM-STD-72 §2).</w:t>
      </w:r>
    </w:p>
    <w:p>
      <w:pPr/>
      <w:r>
        <w:t>Select route by function: system families use controlled RVT/RTE type-transfer specimens; loadable component/annotation families use RFA and their appropriate RFT; in-place content needs a project-specific justification and cannot become reusable simply by renaming. Use a category/hosting template suitable for wall, face, workplane, level-based, adaptive or annotation behavior. Saving an existing RFA under an RFT name does not change its hosting/category template. Rebuild only the approved required content with preserved property/function mapping and comparison evidence; keep original bytes.</w:t>
      </w:r>
    </w:p>
    <w:p>
      <w:pPr>
        <w:pStyle w:val="Heading1"/>
      </w:pPr>
      <w:r>
        <w:t>2 Category identity parameters and graphics</w:t>
      </w:r>
    </w:p>
    <w:p>
      <w:pPr/>
      <w:r>
        <w:t xml:space="preserve">New adopted content follows </w:t>
      </w:r>
      <w:r>
        <w:rPr>
          <w:rFonts w:ascii="JetBrains Mono" w:hAnsi="JetBrains Mono"/>
        </w:rPr>
        <w:t>ORG-DISC-CAT-TYPE-DESC-vNN</w:t>
      </w:r>
      <w:r>
        <w:t xml:space="preserve"> per Manual, with approved token lists, meaningful neutral description and lower-case vNN. Example </w:t>
      </w:r>
      <w:r>
        <w:rPr>
          <w:rFonts w:ascii="JetBrains Mono" w:hAnsi="JetBrains Mono"/>
        </w:rPr>
        <w:t>BBM-ARC-FRN-CAB-STORAGE-v01</w:t>
      </w:r>
      <w:r>
        <w:t xml:space="preserve"> is synthetic. Native type names are controlled size/option labels, e.g. W0600-D0400-H0800, separate from occurrence Asset_ID and external eight-token container grammar. Existing published identifiers are immutable references until an approved migration maps aliases, dependencies and recipients. A published abbreviated name or folder code is not permission to silently rename it. Title blocks keep the published series BBM-G-TTB-A0…A3 (ORG BABOOM, the library's published general token G, CAT TTB, size as DESC): BBM-G-TTB-A0 and BBM-G-TTB-A1 exist; BBM-G-TTB-A2 and BBM-G-TTB-A3 are created in the same series; G here is not the BBM-STD-93 Survey ROLE (</w:t>
      </w:r>
      <w:r>
        <w:rPr>
          <w:color w:val="9A7B45"/>
          <w:u w:val="single"/>
        </w:rPr>
        <w:t>O-DEC-144</w:t>
      </w:r>
      <w:r>
        <w:t xml:space="preserve">). Conflict W3-C01 records this distinction; it is registered in the </w:t>
      </w:r>
      <w:r>
        <w:rPr>
          <w:color w:val="9A7B45"/>
          <w:u w:val="single"/>
        </w:rPr>
        <w:t>Decisions Log</w:t>
      </w:r>
      <w:r>
        <w:t xml:space="preserve">, discipline/role tokens come from the one code dictionary </w:t>
      </w:r>
      <w:r>
        <w:rPr>
          <w:color w:val="9A7B45"/>
          <w:u w:val="single"/>
        </w:rPr>
        <w:t>BBM-STD-93</w:t>
      </w:r>
      <w:r>
        <w:t xml:space="preserve"> (O-DEC-103) and BBM-STD-51 owns the register.</w:t>
      </w:r>
    </w:p>
    <w:p>
      <w:pPr/>
      <w:r>
        <w:t>For each family record purpose/stage/LOIN, actual category/template ID/hash, host, origin/reference planes, insertion/rotation behavior, type list, parameter definitions/GUIDs, datatype/unit, type/instance binding, value domain, formula/association dependencies, material and nested-content links. Reuse BBM-STD-72 definitions; matching display names do not prove identity. Manufacturer/product properties are mapped to ISO 23387:2025 data templates where a template exists; each property definition follows ISO 23386:2020 through the BBM-STD-72 dictionary, and environmental (EPD) properties use ISO 22057:2022 via BBM-STD-81. Do not invent missing Asset_ID/shared GUIDs or replace a valued vendor property with an empty office alias. Type properties apply only when valid across every occurrence/type as defined; occurrence identifiers and host/system/location relations remain correctly scoped. Classification Pr/Ss and release/title relationships follow the controlled dictionary. Cleaning-policy D14 tables contain office proposals, not universal crosswalk equivalences or native per-type proof.</w:t>
      </w:r>
    </w:p>
    <w:p>
      <w:pPr/>
      <w:r>
        <w:t>Use native geometry and reference frameworks sufficient for the use; control cut/projection, subcategories, coarse/medium/fine, plan/elevation/3D visibility, symbolic lines and materials. Avoid detail too small for intended plotting/coordination unless required. Verify actual category-specific visibility behavior in recipient views; a plan mask cannot hide bad host cutting or geometry. Use Manual 4 and BBM-STD-67 for graphics; do not copy an external template's whole standards set without a reviewed need and duplicate-resolution plan.</w:t>
      </w:r>
    </w:p>
    <w:p>
      <w:pPr>
        <w:pStyle w:val="Heading1"/>
      </w:pPr>
      <w:r>
        <w:t>3 Constraints flexing connectors and catalogues</w:t>
      </w:r>
    </w:p>
    <w:p>
      <w:pPr/>
      <w:r>
        <w:t>Flex the reference skeleton before forms, then every type after geometry, voids, nested content, formulas and material associations. Record min/nominal/max and mixed extremes, expected dimensions/clearances/origin and invalid-input behavior. Test formulas for unit consistency, circular dependencies and boundary values; reject warnings rather than accepting dialogs. Check host thickness/orientation, flips/mirroring/rotation, placement and reloading with both type/instance value-preservation choices as supported. Named constraints and associations must survive reload; a screenshot at nominal size is insufficient.</w:t>
      </w:r>
    </w:p>
    <w:p>
      <w:pPr/>
      <w:r>
        <w:t>SYN-FAM69-CAB is an unhosted Furniture bounding-envelope specimen: minimum W/D/H 400/300/600 mm, nominal 600/400/800 mm, maximum 1000/600/1200 mm and mixed 400/600/1200 mm. Origin stays at base centre; overall envelope follows W/D/H without inverted solids or detached parts. This is a family-behavior test, not a cabinet design. Store source values separately from measured native/receiver results. Other representative fixtures are SYN-FAM69-DOR (wall-hosted door cutting two declared host thicknesses), SYN-FAM69-VLV (piping valve with two correctly associated typed connectors), SYN-FAM69-ANO (annotation/text/visibility at two intended scales), and SYN-FAM69-WAL (system-wall RVT transfer), each with its own purpose and accepted test criteria.</w:t>
      </w:r>
    </w:p>
    <w:p>
      <w:pPr/>
      <w:r>
        <w:t>For MEP, specify connector domain/classification/type, logical key, position/orientation, dimensions, flow direction/configuration, units and linked behavior. Test in a small connected system/schedule; graphical arrows alone do not prove propagation. Valve fixture uses logical IN/OUT on SYN-HS69 (Piping, HydronicSupply): connectors at local x=-50/+50 mm, flow fixture 1 L/s mapped to 0.001 m3/s in SYN-X69 R01, with declared reference supply/sink ports. This is a conversion/connectivity fixture, not valve sizing. The cabinet positive nested fixture has one unshared knob, one scheduled parent cabinet occurrence and no separately identified child asset; an added shared/independent child changes declared object count and must be reviewed. The door positive specimen is a 900x2100 mm test opening cut through each isolated 100/200 mm thick, 4000 mm long, 3000 mm high host, without joins; inspect both faces and compare the opening void. All these values are synthetic behavior inputs only. Valve fixture uses logical IN/OUT on one declared piping system; actual native category/enums and connected reference equipment are qualified in the chosen build. Material parameters reference approved library IDs; no image/material purge based solely on an empty current view. Nested shared status is deliberate: record parent/child IDs, dependency revision, visibility, tag/schedule and IFC counting expectations; verify no doubled independent assets or lost child IDs.</w:t>
      </w:r>
    </w:p>
    <w:p>
      <w:pPr/>
      <w:r>
        <w:t>Where many types need catalogues or lookup tables, preserve original type names/values unless an approved mapping exists. Register file encoding/delimiter, datatype/unit tokens, primary keys and family revision relationship. The synthetic cabinet catalogue specification has three exact type keys W0400-D0300-H0600, W0600-D0400-H0800 and W1000-D0600-H1200 with matching W/D/H mm values. Load one selected type and verify exact dimensions/properties/count; unknown/duplicate keys or mismatched units fail. No TXT catalogue or lookup file is delivered as native-tested by these forms.</w:t>
      </w:r>
    </w:p>
    <w:p>
      <w:pPr>
        <w:pStyle w:val="Heading1"/>
      </w:pPr>
      <w:r>
        <w:t>4 Intake rights cleaning and custody</w:t>
      </w:r>
    </w:p>
    <w:p>
      <w:pPr/>
      <w:r>
        <w:t xml:space="preserve">Intake records supplier/source, acquisition date, original hash, authorship/rights evidence, allowed modification/use/distribution, dependency rights, technical data revision and accountable reviewer. Unknown rights holds that use; a public download link or material texture availability is not permission. Preserve original quarantined bytes; approve a bounded change list and run isolation/trust checks before project loading. Curator controls supported Revit releases/full builds, save/upgrade route and exact native/template dependencies. Library master save release = the office template's authoring release, the oldest Revit release in office use (currently Revit 2023), as set in </w:t>
      </w:r>
      <w:r>
        <w:rPr>
          <w:color w:val="9A7B45"/>
          <w:u w:val="single"/>
        </w:rPr>
        <w:t>BBM-STD-91</w:t>
      </w:r>
      <w:r>
        <w:t xml:space="preserve"> §3 (</w:t>
      </w:r>
      <w:r>
        <w:rPr>
          <w:color w:val="9A7B45"/>
          <w:u w:val="single"/>
        </w:rPr>
        <w:t>O-DEC-139</w:t>
      </w:r>
      <w:r>
        <w:t xml:space="preserve"> as refined by </w:t>
      </w:r>
      <w:r>
        <w:rPr>
          <w:color w:val="9A7B45"/>
          <w:u w:val="single"/>
        </w:rPr>
        <w:t>O-DEC-142</w:t>
      </w:r>
      <w:r>
        <w:t>; supported majors 2024–2027, O-DEC-120), saved in the build recorded in BBM-STD-91. Revit 2023 is out of Autodesk support: it is the legacy authoring release, a recorded risk, never a project release. No upgrade inside the library and no save-back to an older release; newer projects upgrade a copy on load, and when the office stops using its oldest release the curator releases a tested upgraded copy per BBM-STD-91 §3. Review annually and whenever Autodesk changes its supported-version list. Do not infer a file's save release from path, filename or mtime. Upgrade only a protected copy and retest; unsupported save-back is not recovery.</w:t>
      </w:r>
    </w:p>
    <w:p>
      <w:pPr/>
      <w:r>
        <w:t xml:space="preserve">The binding cleaning policy is the rule set below. It was first recorded as D13 in a family decisions file (read 2026-10-16, SHA-256 </w:t>
      </w:r>
      <w:r>
        <w:rPr>
          <w:rFonts w:ascii="JetBrains Mono" w:hAnsi="JetBrains Mono"/>
        </w:rPr>
        <w:t>1bc4246c0139c6171a8380b2b7642ef7b58feeab32f54648fceb32b2b3d94445</w:t>
      </w:r>
      <w:r>
        <w:t xml:space="preserve">) that has since been retired; the current family decisions file </w:t>
      </w:r>
      <w:r>
        <w:rPr>
          <w:rFonts w:ascii="JetBrains Mono" w:hAnsi="JetBrains Mono"/>
        </w:rPr>
        <w:t>50.TOOLING/52.AEC-LIBRARIES/52.02-BBM-FAMILIES/FAMILIES-DECISIONS-2026-10-28.md</w:t>
      </w:r>
      <w:r>
        <w:t xml:space="preserve"> (ArchHub workspace path, outside this standard's folder tree) (SHA-256 </w:t>
      </w:r>
      <w:r>
        <w:rPr>
          <w:rFonts w:ascii="JetBrains Mono" w:hAnsi="JetBrains Mono"/>
        </w:rPr>
        <w:t>88ed062babcfc9f3b192e7378783125e00e1f21d5dabffa74b1c7e52edf3fa2c</w:t>
      </w:r>
      <w:r>
        <w:t xml:space="preserve">, read 2026-11-04) holds no cleaning rule, so this section is the one source and the rule is registered in the </w:t>
      </w:r>
      <w:r>
        <w:rPr>
          <w:color w:val="9A7B45"/>
          <w:u w:val="single"/>
        </w:rPr>
        <w:t>Decisions Log</w:t>
      </w:r>
      <w:r>
        <w:t>. KEEP built-ins, office shared definitions, every parameter valued in any type, and every formula/reference/association/dimension/array/visibility/material dependency. REMOVE only a parameter proven empty in every type and unused across the complete dependency/use scan. Incomplete downstream tag/schedule/exchange evidence means retain. Each removal is isolated and rolls back on any Revit warning/error; cancel unattended modal dialogs. Compare geometry before/after across all types; if geometry changes, do not save. Do not delete valued vendor warranty/product notes because they look unfamiliar. Folder deduplication or regex classification is not proof of native semantic equivalence.</w:t>
      </w:r>
    </w:p>
    <w:p>
      <w:pPr/>
      <w:r>
        <w:t>System-family routing references are not RFA support; conflicting type classifications require review/splitting rather than first-row precedence. No library cleaning, native save, placement or server write is performed by this standard-writing task.</w:t>
      </w:r>
    </w:p>
    <w:p>
      <w:pPr>
        <w:pStyle w:val="Heading1"/>
      </w:pPr>
      <w:r>
        <w:t>5 Native specimens and release qualification</w:t>
      </w:r>
    </w:p>
    <w:p>
      <w:pPr/>
      <w:r>
        <w:t>Use Fixtures, Flex, Properties, Cleaning, Checks, Tests and Release forms. Capture exact RFA/RVT/catalogue/lookup/material/dependency hashes; authoring/receiving/exporter full builds/presets and hardware/workload. Native checks cover category/host/origin, every type and prescribed extremes, stable values/GUID/bindings/formulas, native tags and itemised/grouped schedules, view/printed graphics and shared-nested counting. IFC check records agreed schema/entity/classification/property mappings, IDs, dimensions/materials/units and source/receiver counts. IDS/property passes supplement independent geometry/design/readability checks. Unsupported required fields hold release or require an authorised complementary profile, never silent omission.</w:t>
      </w:r>
    </w:p>
    <w:p>
      <w:pPr/>
      <w:r>
        <w:t>Measure load/place/regenerate/schedule/export behavior in representative sparse and dense contexts on recorded hardware, with approved purpose-specific limits and actual timings/file sizes. There is no invented universal family MB/time threshold. Qualify every advertised supported native release/receiver combination; a successful newer release does not prove older compatibility. Tests specify positive and independently reset adverse cases: invalid flex extent, GUID collision/lost value on reload, wrong connector units/system, duplicate catalogue key, nested double count, export property loss and unsafe cleaning of a valued/dependent parameter. Retain separate failed evidence, correction and competent independent retest.</w:t>
      </w:r>
    </w:p>
    <w:p>
      <w:pPr>
        <w:pStyle w:val="Heading1"/>
      </w:pPr>
      <w:r>
        <w:t>6 Release manifest change and recovery</w:t>
      </w:r>
    </w:p>
    <w:p>
      <w:pPr/>
      <w:r>
        <w:t>Manifest records immutable content ID, actual native family/type identities, revision, source and all dependency hashes, rights/use limits, supported builds, applicable uses/LOIN, author/checker/curator, test evidence, approval and publication/index/catalogue revision. New vNN follows approved geometry/schema changes; assess downstream tags/schedules/materials/exchange and existing instance values before replacing. Preserve earlier releases/history and notify affected recipients under one ChangeID. Retirement records replacement and old-to-new mapping, last supported use and withdrawal acknowledgment; no silent deletion or batch-renaming of published assets.</w:t>
      </w:r>
    </w:p>
    <w:p>
      <w:pPr/>
      <w:r>
        <w:t>Publish only through the established curator's release mechanism after all mandatory checks and rights/design approvals for the scoped uses. A real future release reconciles index paths/type list/classification and full hashes against actual native files and CATALOGUE targets, then tests read-only consumer access and load/receiver behavior. File presence, library folder counts, benchmark examples and filled synthetic reports never count as native acceptance. Rollback reopens the preserved compatible native release and restores its index/dependency mapping through the owner; do not overwrite a live library to experiment. Producer/content review, discipline engineering review, curator authorisation and recipient acceptance are separate records. All actual native tests, rights/adoption decisions and library changes remain Not executed here; the published library was only inspected read-only.</w:t>
      </w:r>
    </w:p>
    <w:p>
      <w:pPr>
        <w:pStyle w:val="Heading1"/>
      </w:pPr>
      <w:r>
        <w:t>References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Office Manual V0.5, BEP V0.5, glossary V0.3, BBM-STD-51/54/55/57/63/65/67/72, BoD BBM-STD-12 and MIDP/TIDP V0.3 are controlled prerequisite owners. Synthetic IDs in this standard create no office adoption, appointment or native acceptance.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15">
        <w:r>
          <w:rPr>
            <w:color w:val="9A7B45"/>
            <w:u w:val="single"/>
          </w:rPr>
          <w:t>ISO 19650-1:2018</w:t>
        </w:r>
      </w:hyperlink>
      <w:r>
        <w:t xml:space="preserve">, clauses 5/11; </w:t>
      </w:r>
      <w:hyperlink r:id="rId16">
        <w:r>
          <w:rPr>
            <w:color w:val="9A7B45"/>
            <w:u w:val="single"/>
          </w:rPr>
          <w:t>ISO 19650-2:2018</w:t>
        </w:r>
      </w:hyperlink>
      <w:r>
        <w:t xml:space="preserve">, clauses 5.1.4/5.6.3/5.6.4/5.7, are reading pointers for requirements, container checks, content review and exchange. </w:t>
      </w:r>
      <w:hyperlink r:id="rId17">
        <w:r>
          <w:rPr>
            <w:color w:val="9A7B45"/>
            <w:u w:val="single"/>
          </w:rPr>
          <w:t>ISO 19650-3:2020</w:t>
        </w:r>
      </w:hyperlink>
      <w:r>
        <w:t xml:space="preserve"> addresses operational update context; </w:t>
      </w:r>
      <w:hyperlink r:id="rId18">
        <w:r>
          <w:rPr>
            <w:color w:val="9A7B45"/>
            <w:u w:val="single"/>
          </w:rPr>
          <w:t>ISO 19650-5:2020</w:t>
        </w:r>
      </w:hyperlink>
      <w:r>
        <w:t xml:space="preserve"> security-minded lifecycle context. Public catalogues/guidance support scope and pointers, not a licensed clause conformity audit; no paid paragraphs copied.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19">
        <w:r>
          <w:rPr>
            <w:color w:val="9A7B45"/>
            <w:u w:val="single"/>
          </w:rPr>
          <w:t>IMI Framework (formerly UK BIM Framework, renamed May 2025) Part 2 ed5</w:t>
        </w:r>
      </w:hyperlink>
      <w:r>
        <w:t xml:space="preserve"> and </w:t>
      </w:r>
      <w:hyperlink r:id="rId20">
        <w:r>
          <w:rPr>
            <w:color w:val="9A7B45"/>
            <w:u w:val="single"/>
          </w:rPr>
          <w:t>Part D ed2</w:t>
        </w:r>
      </w:hyperlink>
      <w:r>
        <w:t xml:space="preserve"> inform purpose, responsibilities and review; both are archived guidance editions on </w:t>
      </w:r>
      <w:hyperlink r:id="rId21">
        <w:r>
          <w:rPr>
            <w:color w:val="9A7B45"/>
            <w:u w:val="single"/>
          </w:rPr>
          <w:t>ukbimframework.org/resources</w:t>
        </w:r>
      </w:hyperlink>
      <w:r>
        <w:t xml:space="preserve">, checked 2026-11-04. </w:t>
      </w:r>
      <w:hyperlink r:id="rId22">
        <w:r>
          <w:rPr>
            <w:color w:val="9A7B45"/>
            <w:u w:val="single"/>
          </w:rPr>
          <w:t>ISO 7817-1:2024</w:t>
        </w:r>
      </w:hyperlink>
      <w:r>
        <w:t xml:space="preserve"> is the current researched LOIN concepts reference; </w:t>
      </w:r>
      <w:hyperlink r:id="rId23">
        <w:r>
          <w:rPr>
            <w:color w:val="9A7B45"/>
            <w:u w:val="single"/>
          </w:rPr>
          <w:t>BS EN 17412-1:2020 BSI record</w:t>
        </w:r>
      </w:hyperlink>
      <w:r>
        <w:t xml:space="preserve"> is predecessor context. Preserve an adopted appointment edition until controlled change.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Authority requirements for family content (permit attributes, export setups) are not set here: they come from </w:t>
      </w:r>
      <w:r>
        <w:rPr>
          <w:color w:val="9A7B45"/>
          <w:u w:val="single"/>
        </w:rPr>
        <w:t>BBM-STD-57</w:t>
      </w:r>
      <w:r>
        <w:t xml:space="preserve"> and the UAE authority annex </w:t>
      </w:r>
      <w:r>
        <w:rPr>
          <w:color w:val="9A7B45"/>
          <w:u w:val="single"/>
        </w:rPr>
        <w:t>BBM-STD-85</w:t>
      </w:r>
      <w:r>
        <w:t>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24">
        <w:r>
          <w:rPr>
            <w:color w:val="9A7B45"/>
            <w:u w:val="single"/>
          </w:rPr>
          <w:t>ISO 23386:2020</w:t>
        </w:r>
      </w:hyperlink>
      <w:r>
        <w:t xml:space="preserve"> (property definition) and </w:t>
      </w:r>
      <w:hyperlink r:id="rId25">
        <w:r>
          <w:rPr>
            <w:color w:val="9A7B45"/>
            <w:u w:val="single"/>
          </w:rPr>
          <w:t>ISO 23387:2025</w:t>
        </w:r>
      </w:hyperlink>
      <w:r>
        <w:t xml:space="preserve"> (data templates), checked 2026-11-04; </w:t>
      </w:r>
      <w:hyperlink r:id="rId26">
        <w:r>
          <w:rPr>
            <w:color w:val="9A7B45"/>
            <w:u w:val="single"/>
          </w:rPr>
          <w:t>ISO 22057:2022</w:t>
        </w:r>
      </w:hyperlink>
      <w:r>
        <w:t xml:space="preserve"> (EPD data templates), checked 2026-11-04.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27">
        <w:r>
          <w:rPr>
            <w:color w:val="9A7B45"/>
            <w:u w:val="single"/>
          </w:rPr>
          <w:t>Autodesk previous versions list</w:t>
        </w:r>
      </w:hyperlink>
      <w:r>
        <w:t xml:space="preserve"> and </w:t>
      </w:r>
      <w:hyperlink r:id="rId28">
        <w:r>
          <w:rPr>
            <w:color w:val="9A7B45"/>
            <w:u w:val="single"/>
          </w:rPr>
          <w:t>support lifecycle</w:t>
        </w:r>
      </w:hyperlink>
      <w:r>
        <w:t>, checked 2026-11-04: supported Revit majors 2024–2027; Revit 2023 not listed. Matrix held in BBM-STD-91.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Guides 26/27/35/37; the §4 cleaning policy (formerly D13; D03/D14 proposals retired with the old decisions file) and read-only published index/catalogue fingerprints above. </w:t>
      </w:r>
      <w:hyperlink r:id="rId29">
        <w:r>
          <w:rPr>
            <w:color w:val="9A7B45"/>
            <w:u w:val="single"/>
          </w:rPr>
          <w:t>Autodesk family from template Revit 2026</w:t>
        </w:r>
      </w:hyperlink>
      <w:r>
        <w:t xml:space="preserve">, </w:t>
      </w:r>
      <w:hyperlink r:id="rId30">
        <w:r>
          <w:rPr>
            <w:color w:val="9A7B45"/>
            <w:u w:val="single"/>
          </w:rPr>
          <w:t>family templates Revit 2024</w:t>
        </w:r>
      </w:hyperlink>
      <w:r>
        <w:t xml:space="preserve">, </w:t>
      </w:r>
      <w:hyperlink r:id="rId31">
        <w:r>
          <w:rPr>
            <w:color w:val="9A7B45"/>
            <w:u w:val="single"/>
          </w:rPr>
          <w:t>flexing framework Revit 2024</w:t>
        </w:r>
      </w:hyperlink>
      <w:r>
        <w:t xml:space="preserve">, and </w:t>
      </w:r>
      <w:hyperlink r:id="rId32">
        <w:r>
          <w:rPr>
            <w:color w:val="9A7B45"/>
            <w:u w:val="single"/>
          </w:rPr>
          <w:t>family classes</w:t>
        </w:r>
      </w:hyperlink>
      <w:r>
        <w:t xml:space="preserve"> are versioned authoring guidance, not installed proof.</w:t>
      </w:r>
    </w:p>
    <w:sectPr w:rsidR="00922C46" w:rsidSect="00922C46">
      <w:headerReference w:type="default" r:id="rId8"/>
      <w:footerReference w:type="default" r:id="rId9"/>
      <w:headerReference w:type="first" r:id="rId10"/>
      <w:pgSz w:w="11906" w:h="16838"/>
      <w:pgMar w:top="1701" w:right="720" w:bottom="720" w:left="720" w:header="454" w:footer="20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3B23" w14:textId="77777777" w:rsidR="00721C27" w:rsidRDefault="00721C27" w:rsidP="00CB352A">
      <w:pPr>
        <w:spacing w:after="0" w:line="240" w:lineRule="auto"/>
      </w:pPr>
      <w:r>
        <w:separator/>
      </w:r>
    </w:p>
  </w:endnote>
  <w:endnote w:type="continuationSeparator" w:id="0">
    <w:p w14:paraId="311C7F5C" w14:textId="77777777" w:rsidR="00721C27" w:rsidRDefault="00721C27" w:rsidP="00CB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ter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0387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233345" w14:textId="16A281E0" w:rsidR="00F66F4B" w:rsidRDefault="00F66F4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B1D756A" w14:textId="666CA5D8" w:rsidR="00F66F4B" w:rsidRDefault="00F66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EE4E" w14:textId="77777777" w:rsidR="00721C27" w:rsidRDefault="00721C27" w:rsidP="00CB352A">
      <w:pPr>
        <w:spacing w:after="0" w:line="240" w:lineRule="auto"/>
      </w:pPr>
      <w:r>
        <w:separator/>
      </w:r>
    </w:p>
  </w:footnote>
  <w:footnote w:type="continuationSeparator" w:id="0">
    <w:p w14:paraId="12244030" w14:textId="77777777" w:rsidR="00721C27" w:rsidRDefault="00721C27" w:rsidP="00CB3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8C6C" w14:textId="515D1FCF" w:rsidR="00CB352A" w:rsidRDefault="009C7B28">
    <w:pPr>
      <w:pStyle w:val="Header"/>
      <w:rPr>
        <w:b/>
        <w:bCs/>
      </w:rPr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58240" behindDoc="0" locked="0" layoutInCell="1" allowOverlap="1" wp14:anchorId="0228A8AB" wp14:editId="336A9345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923870934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320F" w:rsidRPr="0089320F">
      <w:rPr>
        <w:b/>
        <w:bCs/>
      </w:rPr>
      <w:t>BBM-BIM | BBM-STD-69-FAMILY_STANDARD-V0.2</w:t>
    </w:r>
    <w:r w:rsidR="00A018A2">
      <w:rPr>
        <w:b/>
        <w:bCs/>
      </w:rPr>
    </w:r>
    <w:r w:rsidR="00050B13">
      <w:rPr>
        <w:b/>
        <w:bCs/>
      </w:rPr>
    </w:r>
  </w:p>
  <w:p w14:paraId="6DEDEFD4" w14:textId="77777777" w:rsidR="00F66F4B" w:rsidRDefault="00F66F4B">
    <w:pPr>
      <w:pStyle w:val="Header"/>
      <w:rPr>
        <w:b/>
        <w:bCs/>
      </w:rPr>
    </w:pPr>
  </w:p>
  <w:p w14:paraId="1F087E3B" w14:textId="77777777" w:rsidR="0089320F" w:rsidRPr="0089320F" w:rsidRDefault="0089320F">
    <w:pPr>
      <w:pStyle w:val="Head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3CAFC" w14:textId="11F1D81D" w:rsidR="0038312B" w:rsidRDefault="0038312B">
    <w:pPr>
      <w:pStyle w:val="Header"/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60288" behindDoc="0" locked="0" layoutInCell="1" allowOverlap="1" wp14:anchorId="05FC8F1B" wp14:editId="450AA59F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1296434436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CB5"/>
    <w:multiLevelType w:val="multilevel"/>
    <w:tmpl w:val="A9BE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E5580"/>
    <w:multiLevelType w:val="multilevel"/>
    <w:tmpl w:val="9F8C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10C3F"/>
    <w:multiLevelType w:val="multilevel"/>
    <w:tmpl w:val="FDB4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F5278"/>
    <w:multiLevelType w:val="multilevel"/>
    <w:tmpl w:val="D27A30C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E607D4"/>
    <w:multiLevelType w:val="multilevel"/>
    <w:tmpl w:val="0F5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22449"/>
    <w:multiLevelType w:val="multilevel"/>
    <w:tmpl w:val="7FDA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91BE1"/>
    <w:multiLevelType w:val="multilevel"/>
    <w:tmpl w:val="9A9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16DFE"/>
    <w:multiLevelType w:val="multilevel"/>
    <w:tmpl w:val="10F8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480DBE"/>
    <w:multiLevelType w:val="multilevel"/>
    <w:tmpl w:val="C850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E3636F"/>
    <w:multiLevelType w:val="multilevel"/>
    <w:tmpl w:val="DA9E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1543BB"/>
    <w:multiLevelType w:val="multilevel"/>
    <w:tmpl w:val="19F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B2324D"/>
    <w:multiLevelType w:val="multilevel"/>
    <w:tmpl w:val="F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3A2E07"/>
    <w:multiLevelType w:val="multilevel"/>
    <w:tmpl w:val="E240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BD2A97"/>
    <w:multiLevelType w:val="multilevel"/>
    <w:tmpl w:val="43A2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C43213"/>
    <w:multiLevelType w:val="multilevel"/>
    <w:tmpl w:val="848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B110E8"/>
    <w:multiLevelType w:val="multilevel"/>
    <w:tmpl w:val="8052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C465B0"/>
    <w:multiLevelType w:val="multilevel"/>
    <w:tmpl w:val="C050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9A7D33"/>
    <w:multiLevelType w:val="hybridMultilevel"/>
    <w:tmpl w:val="ACE66CBA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187B4E90"/>
    <w:multiLevelType w:val="multilevel"/>
    <w:tmpl w:val="5EAA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F47AEF"/>
    <w:multiLevelType w:val="multilevel"/>
    <w:tmpl w:val="0CD4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651B91"/>
    <w:multiLevelType w:val="multilevel"/>
    <w:tmpl w:val="999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8076E0"/>
    <w:multiLevelType w:val="multilevel"/>
    <w:tmpl w:val="9A4E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916E4C"/>
    <w:multiLevelType w:val="multilevel"/>
    <w:tmpl w:val="730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983E25"/>
    <w:multiLevelType w:val="multilevel"/>
    <w:tmpl w:val="9FD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F27FC"/>
    <w:multiLevelType w:val="multilevel"/>
    <w:tmpl w:val="4310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CE0CD0"/>
    <w:multiLevelType w:val="hybridMultilevel"/>
    <w:tmpl w:val="877C0468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25E45045"/>
    <w:multiLevelType w:val="multilevel"/>
    <w:tmpl w:val="6D22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BD15BC"/>
    <w:multiLevelType w:val="multilevel"/>
    <w:tmpl w:val="E4B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054ACD"/>
    <w:multiLevelType w:val="multilevel"/>
    <w:tmpl w:val="A5BE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BE48F0"/>
    <w:multiLevelType w:val="multilevel"/>
    <w:tmpl w:val="A14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DA1723"/>
    <w:multiLevelType w:val="hybridMultilevel"/>
    <w:tmpl w:val="1AD011EC"/>
    <w:lvl w:ilvl="0" w:tplc="498CDA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B418A3"/>
    <w:multiLevelType w:val="multilevel"/>
    <w:tmpl w:val="9328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3038C1"/>
    <w:multiLevelType w:val="multilevel"/>
    <w:tmpl w:val="252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D27B7E"/>
    <w:multiLevelType w:val="multilevel"/>
    <w:tmpl w:val="BB3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3824DB"/>
    <w:multiLevelType w:val="hybridMultilevel"/>
    <w:tmpl w:val="BD40DAA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AC3C79"/>
    <w:multiLevelType w:val="hybridMultilevel"/>
    <w:tmpl w:val="743EF4B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E442A6"/>
    <w:multiLevelType w:val="hybridMultilevel"/>
    <w:tmpl w:val="25DCC4C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03C6B"/>
    <w:multiLevelType w:val="multilevel"/>
    <w:tmpl w:val="482E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80033A"/>
    <w:multiLevelType w:val="multilevel"/>
    <w:tmpl w:val="F54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90FD6"/>
    <w:multiLevelType w:val="multilevel"/>
    <w:tmpl w:val="5DB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5B207C1"/>
    <w:multiLevelType w:val="multilevel"/>
    <w:tmpl w:val="3F58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4743A6"/>
    <w:multiLevelType w:val="multilevel"/>
    <w:tmpl w:val="0464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9D6270"/>
    <w:multiLevelType w:val="multilevel"/>
    <w:tmpl w:val="493859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B37442B"/>
    <w:multiLevelType w:val="multilevel"/>
    <w:tmpl w:val="DCC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4D4C7F"/>
    <w:multiLevelType w:val="multilevel"/>
    <w:tmpl w:val="F8B8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6C620A"/>
    <w:multiLevelType w:val="multilevel"/>
    <w:tmpl w:val="D01A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A02F28"/>
    <w:multiLevelType w:val="hybridMultilevel"/>
    <w:tmpl w:val="89589A5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0A30BE"/>
    <w:multiLevelType w:val="multilevel"/>
    <w:tmpl w:val="387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D07053"/>
    <w:multiLevelType w:val="hybridMultilevel"/>
    <w:tmpl w:val="753CE6EA"/>
    <w:lvl w:ilvl="0" w:tplc="137A815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F9764D"/>
    <w:multiLevelType w:val="hybridMultilevel"/>
    <w:tmpl w:val="6D90A5F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257493"/>
    <w:multiLevelType w:val="multilevel"/>
    <w:tmpl w:val="1862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55033D6"/>
    <w:multiLevelType w:val="multilevel"/>
    <w:tmpl w:val="C024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DF1E1A"/>
    <w:multiLevelType w:val="multilevel"/>
    <w:tmpl w:val="EA0A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897B19"/>
    <w:multiLevelType w:val="hybridMultilevel"/>
    <w:tmpl w:val="C5142CA6"/>
    <w:lvl w:ilvl="0" w:tplc="D1F2EE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87667"/>
    <w:multiLevelType w:val="multilevel"/>
    <w:tmpl w:val="4428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4841AC"/>
    <w:multiLevelType w:val="multilevel"/>
    <w:tmpl w:val="65D4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154B9E"/>
    <w:multiLevelType w:val="multilevel"/>
    <w:tmpl w:val="3EDC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CF446D6"/>
    <w:multiLevelType w:val="multilevel"/>
    <w:tmpl w:val="9AE8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A12C63"/>
    <w:multiLevelType w:val="multilevel"/>
    <w:tmpl w:val="19BA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A64FFB"/>
    <w:multiLevelType w:val="multilevel"/>
    <w:tmpl w:val="4BEC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26775D"/>
    <w:multiLevelType w:val="multilevel"/>
    <w:tmpl w:val="0DC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F4C2599"/>
    <w:multiLevelType w:val="multilevel"/>
    <w:tmpl w:val="13B8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07C44F1"/>
    <w:multiLevelType w:val="multilevel"/>
    <w:tmpl w:val="3CC6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3467FE"/>
    <w:multiLevelType w:val="multilevel"/>
    <w:tmpl w:val="9522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B57CDF"/>
    <w:multiLevelType w:val="multilevel"/>
    <w:tmpl w:val="72E6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964972"/>
    <w:multiLevelType w:val="multilevel"/>
    <w:tmpl w:val="C3AC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511F6D"/>
    <w:multiLevelType w:val="multilevel"/>
    <w:tmpl w:val="9BE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23172F"/>
    <w:multiLevelType w:val="multilevel"/>
    <w:tmpl w:val="12B6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BE5B37"/>
    <w:multiLevelType w:val="multilevel"/>
    <w:tmpl w:val="27C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180DFE"/>
    <w:multiLevelType w:val="multilevel"/>
    <w:tmpl w:val="176C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83555A3"/>
    <w:multiLevelType w:val="multilevel"/>
    <w:tmpl w:val="1EF2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CD7C91"/>
    <w:multiLevelType w:val="multilevel"/>
    <w:tmpl w:val="0FC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D12550"/>
    <w:multiLevelType w:val="multilevel"/>
    <w:tmpl w:val="5F0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FC1C66"/>
    <w:multiLevelType w:val="hybridMultilevel"/>
    <w:tmpl w:val="6246873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BAE16B6"/>
    <w:multiLevelType w:val="hybridMultilevel"/>
    <w:tmpl w:val="E8164416"/>
    <w:lvl w:ilvl="0" w:tplc="D52ED5B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3F25B3"/>
    <w:multiLevelType w:val="multilevel"/>
    <w:tmpl w:val="EA4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C23B7E"/>
    <w:multiLevelType w:val="multilevel"/>
    <w:tmpl w:val="416C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F26A17"/>
    <w:multiLevelType w:val="hybridMultilevel"/>
    <w:tmpl w:val="E7F42ABC"/>
    <w:lvl w:ilvl="0" w:tplc="51D0EC10">
      <w:start w:val="2"/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FD14F4"/>
    <w:multiLevelType w:val="hybridMultilevel"/>
    <w:tmpl w:val="1E98011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F303287"/>
    <w:multiLevelType w:val="multilevel"/>
    <w:tmpl w:val="2EBA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837531">
    <w:abstractNumId w:val="11"/>
  </w:num>
  <w:num w:numId="2" w16cid:durableId="1351297986">
    <w:abstractNumId w:val="53"/>
  </w:num>
  <w:num w:numId="3" w16cid:durableId="1365397943">
    <w:abstractNumId w:val="56"/>
  </w:num>
  <w:num w:numId="4" w16cid:durableId="2071027318">
    <w:abstractNumId w:val="75"/>
  </w:num>
  <w:num w:numId="5" w16cid:durableId="210533793">
    <w:abstractNumId w:val="32"/>
  </w:num>
  <w:num w:numId="6" w16cid:durableId="445732298">
    <w:abstractNumId w:val="61"/>
  </w:num>
  <w:num w:numId="7" w16cid:durableId="133573405">
    <w:abstractNumId w:val="30"/>
  </w:num>
  <w:num w:numId="8" w16cid:durableId="574585613">
    <w:abstractNumId w:val="74"/>
  </w:num>
  <w:num w:numId="9" w16cid:durableId="1349478103">
    <w:abstractNumId w:val="59"/>
  </w:num>
  <w:num w:numId="10" w16cid:durableId="2110003057">
    <w:abstractNumId w:val="45"/>
  </w:num>
  <w:num w:numId="11" w16cid:durableId="1874147494">
    <w:abstractNumId w:val="28"/>
  </w:num>
  <w:num w:numId="12" w16cid:durableId="2079087691">
    <w:abstractNumId w:val="3"/>
  </w:num>
  <w:num w:numId="13" w16cid:durableId="1823153762">
    <w:abstractNumId w:val="36"/>
  </w:num>
  <w:num w:numId="14" w16cid:durableId="1909921589">
    <w:abstractNumId w:val="12"/>
  </w:num>
  <w:num w:numId="15" w16cid:durableId="641083692">
    <w:abstractNumId w:val="77"/>
  </w:num>
  <w:num w:numId="16" w16cid:durableId="1245065181">
    <w:abstractNumId w:val="21"/>
  </w:num>
  <w:num w:numId="17" w16cid:durableId="398945280">
    <w:abstractNumId w:val="14"/>
  </w:num>
  <w:num w:numId="18" w16cid:durableId="16122890">
    <w:abstractNumId w:val="42"/>
  </w:num>
  <w:num w:numId="19" w16cid:durableId="1635210469">
    <w:abstractNumId w:val="25"/>
  </w:num>
  <w:num w:numId="20" w16cid:durableId="218126872">
    <w:abstractNumId w:val="17"/>
  </w:num>
  <w:num w:numId="21" w16cid:durableId="1801800760">
    <w:abstractNumId w:val="34"/>
  </w:num>
  <w:num w:numId="22" w16cid:durableId="1988775808">
    <w:abstractNumId w:val="47"/>
  </w:num>
  <w:num w:numId="23" w16cid:durableId="471681732">
    <w:abstractNumId w:val="27"/>
  </w:num>
  <w:num w:numId="24" w16cid:durableId="1064639593">
    <w:abstractNumId w:val="72"/>
  </w:num>
  <w:num w:numId="25" w16cid:durableId="2090497845">
    <w:abstractNumId w:val="23"/>
  </w:num>
  <w:num w:numId="26" w16cid:durableId="1181160950">
    <w:abstractNumId w:val="66"/>
  </w:num>
  <w:num w:numId="27" w16cid:durableId="1095247099">
    <w:abstractNumId w:val="26"/>
  </w:num>
  <w:num w:numId="28" w16cid:durableId="1520775121">
    <w:abstractNumId w:val="55"/>
  </w:num>
  <w:num w:numId="29" w16cid:durableId="600991068">
    <w:abstractNumId w:val="29"/>
  </w:num>
  <w:num w:numId="30" w16cid:durableId="1683556577">
    <w:abstractNumId w:val="51"/>
  </w:num>
  <w:num w:numId="31" w16cid:durableId="974061579">
    <w:abstractNumId w:val="43"/>
  </w:num>
  <w:num w:numId="32" w16cid:durableId="1131433968">
    <w:abstractNumId w:val="50"/>
  </w:num>
  <w:num w:numId="33" w16cid:durableId="512912934">
    <w:abstractNumId w:val="58"/>
  </w:num>
  <w:num w:numId="34" w16cid:durableId="1647661682">
    <w:abstractNumId w:val="5"/>
  </w:num>
  <w:num w:numId="35" w16cid:durableId="973022565">
    <w:abstractNumId w:val="24"/>
  </w:num>
  <w:num w:numId="36" w16cid:durableId="2025981299">
    <w:abstractNumId w:val="37"/>
  </w:num>
  <w:num w:numId="37" w16cid:durableId="60642266">
    <w:abstractNumId w:val="31"/>
  </w:num>
  <w:num w:numId="38" w16cid:durableId="2132359830">
    <w:abstractNumId w:val="9"/>
  </w:num>
  <w:num w:numId="39" w16cid:durableId="313875134">
    <w:abstractNumId w:val="38"/>
  </w:num>
  <w:num w:numId="40" w16cid:durableId="1400589230">
    <w:abstractNumId w:val="1"/>
  </w:num>
  <w:num w:numId="41" w16cid:durableId="2120292575">
    <w:abstractNumId w:val="22"/>
  </w:num>
  <w:num w:numId="42" w16cid:durableId="1371876170">
    <w:abstractNumId w:val="57"/>
  </w:num>
  <w:num w:numId="43" w16cid:durableId="1466267942">
    <w:abstractNumId w:val="62"/>
  </w:num>
  <w:num w:numId="44" w16cid:durableId="3631326">
    <w:abstractNumId w:val="4"/>
  </w:num>
  <w:num w:numId="45" w16cid:durableId="1991057930">
    <w:abstractNumId w:val="41"/>
  </w:num>
  <w:num w:numId="46" w16cid:durableId="664094968">
    <w:abstractNumId w:val="76"/>
  </w:num>
  <w:num w:numId="47" w16cid:durableId="1739940048">
    <w:abstractNumId w:val="49"/>
  </w:num>
  <w:num w:numId="48" w16cid:durableId="286551571">
    <w:abstractNumId w:val="16"/>
  </w:num>
  <w:num w:numId="49" w16cid:durableId="846596105">
    <w:abstractNumId w:val="40"/>
  </w:num>
  <w:num w:numId="50" w16cid:durableId="510607186">
    <w:abstractNumId w:val="63"/>
  </w:num>
  <w:num w:numId="51" w16cid:durableId="12155379">
    <w:abstractNumId w:val="2"/>
  </w:num>
  <w:num w:numId="52" w16cid:durableId="1045834822">
    <w:abstractNumId w:val="54"/>
  </w:num>
  <w:num w:numId="53" w16cid:durableId="804196552">
    <w:abstractNumId w:val="73"/>
  </w:num>
  <w:num w:numId="54" w16cid:durableId="178736295">
    <w:abstractNumId w:val="10"/>
  </w:num>
  <w:num w:numId="55" w16cid:durableId="1877966397">
    <w:abstractNumId w:val="46"/>
  </w:num>
  <w:num w:numId="56" w16cid:durableId="1944485735">
    <w:abstractNumId w:val="8"/>
  </w:num>
  <w:num w:numId="57" w16cid:durableId="1237714374">
    <w:abstractNumId w:val="35"/>
  </w:num>
  <w:num w:numId="58" w16cid:durableId="165638271">
    <w:abstractNumId w:val="78"/>
  </w:num>
  <w:num w:numId="59" w16cid:durableId="881479234">
    <w:abstractNumId w:val="48"/>
  </w:num>
  <w:num w:numId="60" w16cid:durableId="861405408">
    <w:abstractNumId w:val="18"/>
  </w:num>
  <w:num w:numId="61" w16cid:durableId="1968507311">
    <w:abstractNumId w:val="52"/>
  </w:num>
  <w:num w:numId="62" w16cid:durableId="726805067">
    <w:abstractNumId w:val="7"/>
  </w:num>
  <w:num w:numId="63" w16cid:durableId="694841789">
    <w:abstractNumId w:val="19"/>
  </w:num>
  <w:num w:numId="64" w16cid:durableId="628516054">
    <w:abstractNumId w:val="69"/>
  </w:num>
  <w:num w:numId="65" w16cid:durableId="1222668138">
    <w:abstractNumId w:val="65"/>
  </w:num>
  <w:num w:numId="66" w16cid:durableId="1019281562">
    <w:abstractNumId w:val="70"/>
  </w:num>
  <w:num w:numId="67" w16cid:durableId="1271547946">
    <w:abstractNumId w:val="20"/>
  </w:num>
  <w:num w:numId="68" w16cid:durableId="726295327">
    <w:abstractNumId w:val="64"/>
  </w:num>
  <w:num w:numId="69" w16cid:durableId="831221370">
    <w:abstractNumId w:val="68"/>
  </w:num>
  <w:num w:numId="70" w16cid:durableId="137649203">
    <w:abstractNumId w:val="44"/>
  </w:num>
  <w:num w:numId="71" w16cid:durableId="1085299768">
    <w:abstractNumId w:val="71"/>
  </w:num>
  <w:num w:numId="72" w16cid:durableId="1020814749">
    <w:abstractNumId w:val="79"/>
  </w:num>
  <w:num w:numId="73" w16cid:durableId="1082262486">
    <w:abstractNumId w:val="33"/>
  </w:num>
  <w:num w:numId="74" w16cid:durableId="1776947863">
    <w:abstractNumId w:val="67"/>
  </w:num>
  <w:num w:numId="75" w16cid:durableId="115297018">
    <w:abstractNumId w:val="60"/>
  </w:num>
  <w:num w:numId="76" w16cid:durableId="23871195">
    <w:abstractNumId w:val="39"/>
  </w:num>
  <w:num w:numId="77" w16cid:durableId="2099859680">
    <w:abstractNumId w:val="13"/>
  </w:num>
  <w:num w:numId="78" w16cid:durableId="900794897">
    <w:abstractNumId w:val="0"/>
  </w:num>
  <w:num w:numId="79" w16cid:durableId="2037386573">
    <w:abstractNumId w:val="15"/>
  </w:num>
  <w:num w:numId="80" w16cid:durableId="11658962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A1"/>
    <w:rsid w:val="00011DE7"/>
    <w:rsid w:val="00014181"/>
    <w:rsid w:val="00015002"/>
    <w:rsid w:val="00031E93"/>
    <w:rsid w:val="00050B13"/>
    <w:rsid w:val="00071679"/>
    <w:rsid w:val="000B77CC"/>
    <w:rsid w:val="000D2CAD"/>
    <w:rsid w:val="000D3F31"/>
    <w:rsid w:val="000E40BB"/>
    <w:rsid w:val="00106139"/>
    <w:rsid w:val="001344DE"/>
    <w:rsid w:val="00135631"/>
    <w:rsid w:val="001455B9"/>
    <w:rsid w:val="00166022"/>
    <w:rsid w:val="001921A6"/>
    <w:rsid w:val="001C3FBF"/>
    <w:rsid w:val="001E35E1"/>
    <w:rsid w:val="0024151C"/>
    <w:rsid w:val="00244E2A"/>
    <w:rsid w:val="002B62CB"/>
    <w:rsid w:val="002B72A5"/>
    <w:rsid w:val="002E22B1"/>
    <w:rsid w:val="002E26B1"/>
    <w:rsid w:val="002E7B1C"/>
    <w:rsid w:val="003465B5"/>
    <w:rsid w:val="00381C02"/>
    <w:rsid w:val="0038312B"/>
    <w:rsid w:val="00384EA1"/>
    <w:rsid w:val="00386C78"/>
    <w:rsid w:val="003E3D4A"/>
    <w:rsid w:val="003F0FED"/>
    <w:rsid w:val="0044196E"/>
    <w:rsid w:val="0046252B"/>
    <w:rsid w:val="004A6153"/>
    <w:rsid w:val="004B0410"/>
    <w:rsid w:val="004C5116"/>
    <w:rsid w:val="004F0F2D"/>
    <w:rsid w:val="00584E33"/>
    <w:rsid w:val="005C3D0B"/>
    <w:rsid w:val="005C6025"/>
    <w:rsid w:val="00603D1F"/>
    <w:rsid w:val="00606DB4"/>
    <w:rsid w:val="00670C60"/>
    <w:rsid w:val="00675752"/>
    <w:rsid w:val="006A3C85"/>
    <w:rsid w:val="006F2333"/>
    <w:rsid w:val="00721C27"/>
    <w:rsid w:val="0072403D"/>
    <w:rsid w:val="00811E67"/>
    <w:rsid w:val="0081580C"/>
    <w:rsid w:val="008246ED"/>
    <w:rsid w:val="00832F4E"/>
    <w:rsid w:val="00836FBF"/>
    <w:rsid w:val="008449E9"/>
    <w:rsid w:val="00872D61"/>
    <w:rsid w:val="00884127"/>
    <w:rsid w:val="0089320F"/>
    <w:rsid w:val="00922C46"/>
    <w:rsid w:val="009C7B28"/>
    <w:rsid w:val="009E6369"/>
    <w:rsid w:val="009F2E66"/>
    <w:rsid w:val="009F657F"/>
    <w:rsid w:val="00A018A2"/>
    <w:rsid w:val="00A11121"/>
    <w:rsid w:val="00A267E2"/>
    <w:rsid w:val="00A8584F"/>
    <w:rsid w:val="00AA67BF"/>
    <w:rsid w:val="00AA7E9A"/>
    <w:rsid w:val="00AB36A2"/>
    <w:rsid w:val="00AD592D"/>
    <w:rsid w:val="00B26407"/>
    <w:rsid w:val="00B82C0A"/>
    <w:rsid w:val="00BA4935"/>
    <w:rsid w:val="00BB2E0C"/>
    <w:rsid w:val="00BF5F8A"/>
    <w:rsid w:val="00BF6C96"/>
    <w:rsid w:val="00C10D76"/>
    <w:rsid w:val="00C128AF"/>
    <w:rsid w:val="00C47258"/>
    <w:rsid w:val="00C62CFE"/>
    <w:rsid w:val="00C90F45"/>
    <w:rsid w:val="00CB352A"/>
    <w:rsid w:val="00CC064F"/>
    <w:rsid w:val="00CF67A1"/>
    <w:rsid w:val="00D04E04"/>
    <w:rsid w:val="00D50B5A"/>
    <w:rsid w:val="00D676C0"/>
    <w:rsid w:val="00D76C48"/>
    <w:rsid w:val="00DD0AC6"/>
    <w:rsid w:val="00DE2E50"/>
    <w:rsid w:val="00E070CA"/>
    <w:rsid w:val="00E07122"/>
    <w:rsid w:val="00E61CAC"/>
    <w:rsid w:val="00E74AA0"/>
    <w:rsid w:val="00E86154"/>
    <w:rsid w:val="00E868BF"/>
    <w:rsid w:val="00E94A0E"/>
    <w:rsid w:val="00EA0679"/>
    <w:rsid w:val="00EA3575"/>
    <w:rsid w:val="00EC0C97"/>
    <w:rsid w:val="00ED53F1"/>
    <w:rsid w:val="00F3602F"/>
    <w:rsid w:val="00F66F4B"/>
    <w:rsid w:val="00F861B0"/>
    <w:rsid w:val="00F93E7C"/>
    <w:rsid w:val="00FA2C09"/>
    <w:rsid w:val="00FA42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9A19"/>
  <w15:chartTrackingRefBased/>
  <w15:docId w15:val="{97BBD25F-B166-4413-9BF0-9496AD41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C78"/>
    <w:rPr>
      <w:rFonts w:ascii="Inter" w:hAnsi="Inter" w:eastAsia="Inter" w:cs="Inter"/>
      <w:color w:val="14130F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7B28"/>
    <w:pPr>
      <w:keepNext/>
      <w:keepLines/>
      <w:spacing w:before="360" w:after="80"/>
      <w:outlineLvl w:val="0"/>
    </w:pPr>
    <w:rPr>
      <w:rFonts w:ascii="Inter" w:eastAsiaTheme="majorEastAsia" w:hAnsi="Inter" w:cstheme="majorBidi" w:eastAsia="Inter" w:cs="Inter"/>
      <w:b/>
      <w:color w:val="9A7B45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86C78"/>
    <w:pPr>
      <w:keepNext/>
      <w:keepLines/>
      <w:tabs>
        <w:tab w:val="left" w:pos="1080"/>
      </w:tabs>
      <w:spacing w:before="280" w:after="200"/>
      <w:outlineLvl w:val="1"/>
    </w:pPr>
    <w:rPr>
      <w:rFonts w:ascii="Inter" w:eastAsiaTheme="majorEastAsia" w:hAnsi="Inter" w:cstheme="majorBidi" w:eastAsia="Inter" w:cs="Inter"/>
      <w:b/>
      <w:color w:val="14130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6B1"/>
    <w:pPr>
      <w:keepNext/>
      <w:keepLines/>
      <w:spacing w:before="160" w:after="80"/>
      <w:outlineLvl w:val="2"/>
    </w:pPr>
    <w:rPr>
      <w:rFonts w:eastAsiaTheme="majorEastAsia" w:cstheme="majorBidi" w:ascii="Inter" w:hAnsi="Inter" w:eastAsia="Inter" w:cs="Inter"/>
      <w:b/>
      <w:color w:val="111113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28"/>
    <w:rPr>
      <w:rFonts w:ascii="Verdana" w:eastAsiaTheme="majorEastAsia" w:hAnsi="Verdana" w:cstheme="majorBidi"/>
      <w:b/>
      <w:color w:val="FF330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151C"/>
    <w:rPr>
      <w:rFonts w:ascii="Verdana" w:eastAsiaTheme="majorEastAsia" w:hAnsi="Verdana" w:cstheme="majorBidi"/>
      <w:b/>
      <w:color w:val="1C1C1C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26B1"/>
    <w:rPr>
      <w:rFonts w:eastAsiaTheme="majorEastAsia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7B28"/>
    <w:pPr>
      <w:spacing w:after="80" w:line="240" w:lineRule="auto"/>
      <w:contextualSpacing/>
      <w:jc w:val="center"/>
    </w:pPr>
    <w:rPr>
      <w:rFonts w:ascii="Inter" w:eastAsiaTheme="majorEastAsia" w:hAnsi="Inter" w:cstheme="majorBidi" w:eastAsia="Inter" w:cs="Inter"/>
      <w:b/>
      <w:color w:val="9A7B45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28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A1"/>
    <w:pPr>
      <w:ind w:left="720"/>
      <w:contextualSpacing/>
    </w:pPr>
    <w:rPr>
      <w:rFonts w:ascii="Inter" w:hAnsi="Inter" w:eastAsia="Inter" w:cs="Inter"/>
    </w:rPr>
  </w:style>
  <w:style w:type="character" w:styleId="IntenseEmphasis">
    <w:name w:val="Intense Emphasis"/>
    <w:basedOn w:val="DefaultParagraphFont"/>
    <w:uiPriority w:val="21"/>
    <w:qFormat/>
    <w:rsid w:val="00CF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CB352A"/>
  </w:style>
  <w:style w:type="paragraph" w:styleId="Footer">
    <w:name w:val="footer"/>
    <w:basedOn w:val="Normal"/>
    <w:link w:val="Foot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B352A"/>
  </w:style>
  <w:style w:type="character" w:styleId="Strong">
    <w:name w:val="Strong"/>
    <w:basedOn w:val="DefaultParagraphFont"/>
    <w:uiPriority w:val="22"/>
    <w:qFormat/>
    <w:rsid w:val="009C7B28"/>
    <w:rPr>
      <w:rFonts w:ascii="Verdana" w:hAnsi="Verdana"/>
      <w:b/>
      <w:bCs/>
      <w:sz w:val="20"/>
    </w:rPr>
  </w:style>
  <w:style w:type="table" w:styleId="TableGrid">
    <w:name w:val="Table Grid"/>
    <w:basedOn w:val="TableNormal"/>
    <w:uiPriority w:val="39"/>
    <w:rsid w:val="00AD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22C4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22C46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63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www.notion.so/5cdee98f37a140778b8b30badb3c652c" TargetMode="External"/><Relationship Id="rId14" Type="http://schemas.openxmlformats.org/officeDocument/2006/relationships/hyperlink" Target="https://github.com/Fargaly/baboom-bim-standard/blob/main/04-DOCUMENTS/BBM-STD-69-FAMILY_STANDARD-V0.2.docx" TargetMode="External"/><Relationship Id="rId15" Type="http://schemas.openxmlformats.org/officeDocument/2006/relationships/hyperlink" Target="https://www.iso.org/standard/68078.html" TargetMode="External"/><Relationship Id="rId16" Type="http://schemas.openxmlformats.org/officeDocument/2006/relationships/hyperlink" Target="https://www.iso.org/standard/68080.html" TargetMode="External"/><Relationship Id="rId17" Type="http://schemas.openxmlformats.org/officeDocument/2006/relationships/hyperlink" Target="https://www.iso.org/standard/75109.html" TargetMode="External"/><Relationship Id="rId18" Type="http://schemas.openxmlformats.org/officeDocument/2006/relationships/hyperlink" Target="https://www.iso.org/standard/74206.html" TargetMode="External"/><Relationship Id="rId19" Type="http://schemas.openxmlformats.org/officeDocument/2006/relationships/hyperlink" Target="https://ukbimframework.org/wp-content/uploads/2020/09/Guidance-Part-2_Parties-teams-and-processes-for-the-delivery-phase-of-assets_Edition-5.pdf" TargetMode="External"/><Relationship Id="rId20" Type="http://schemas.openxmlformats.org/officeDocument/2006/relationships/hyperlink" Target="https://www.ukbimframework.org/wp-content/uploads/2021/02/Guidance-Part-D_Developing-information-requirements_Edition-2.pdf" TargetMode="External"/><Relationship Id="rId21" Type="http://schemas.openxmlformats.org/officeDocument/2006/relationships/hyperlink" Target="https://ukbimframework.org/resources/" TargetMode="External"/><Relationship Id="rId22" Type="http://schemas.openxmlformats.org/officeDocument/2006/relationships/hyperlink" Target="https://www.iso.org/standard/82914.html" TargetMode="External"/><Relationship Id="rId23" Type="http://schemas.openxmlformats.org/officeDocument/2006/relationships/hyperlink" Target="https://knowledge.bsigroup.com/products/building-information-modelling-level-of-information-need-concepts-and-principles-1" TargetMode="External"/><Relationship Id="rId24" Type="http://schemas.openxmlformats.org/officeDocument/2006/relationships/hyperlink" Target="https://www.iso.org/standard/75401.html" TargetMode="External"/><Relationship Id="rId25" Type="http://schemas.openxmlformats.org/officeDocument/2006/relationships/hyperlink" Target="https://www.iso.org/standard/85391.html" TargetMode="External"/><Relationship Id="rId26" Type="http://schemas.openxmlformats.org/officeDocument/2006/relationships/hyperlink" Target="https://www.iso.org/standard/72463.html" TargetMode="External"/><Relationship Id="rId27" Type="http://schemas.openxmlformats.org/officeDocument/2006/relationships/hyperlink" Target="https://www.autodesk.com/support/account/manage/versions/previous-versions" TargetMode="External"/><Relationship Id="rId28" Type="http://schemas.openxmlformats.org/officeDocument/2006/relationships/hyperlink" Target="https://www.autodesk.com/support/account/manage/versions/support-lifecycle" TargetMode="External"/><Relationship Id="rId29" Type="http://schemas.openxmlformats.org/officeDocument/2006/relationships/hyperlink" Target="https://help.autodesk.com/cloudhelp/2026/ENU/Revit-Customize/files/GUID-228D213B-9497-48A6-AAE1-4E54F7834931.htm" TargetMode="External"/><Relationship Id="rId30" Type="http://schemas.openxmlformats.org/officeDocument/2006/relationships/hyperlink" Target="https://help.autodesk.com/cloudhelp/2024/ENU/Revit-Customize/files/GUID-E36987A9-A68F-4121-A391-907306BAA60A.htm" TargetMode="External"/><Relationship Id="rId31" Type="http://schemas.openxmlformats.org/officeDocument/2006/relationships/hyperlink" Target="https://help.autodesk.com/view/RVT/2024/ENU/?caas=caas%2FCloudHelp%2Fcloudhelp%2F2024%2FENU%2FRevit-Customize%2Ffiles%2FGUID-18097131-E15B-4AAD-9414-505656EF8D7C-htm.html" TargetMode="External"/><Relationship Id="rId32" Type="http://schemas.openxmlformats.org/officeDocument/2006/relationships/hyperlink" Target="https://help.autodesk.com/cloudhelp/2026/ENU/Revit-Model/files/GUID-4EBB97AD-C7B6-4828-91EB-BC0E99B81E43.ht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4872</Words>
  <Characters>27773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GLOSSARY</vt:lpstr>
    </vt:vector>
  </TitlesOfParts>
  <Company/>
  <LinksUpToDate>false</LinksUpToDate>
  <CharactersWithSpaces>32580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GLOSSARY</dc:title>
  <dc:subject>Bep</dc:subject>
  <dc:creator>Fargaly</dc:creator>
  <cp:keywords/>
  <dc:description/>
  <cp:lastModifiedBy>Fargaly</cp:lastModifiedBy>
  <cp:revision>20</cp:revision>
  <dcterms:created xsi:type="dcterms:W3CDTF">2024-11-06T10:52:00Z</dcterms:created>
  <dcterms:modified xsi:type="dcterms:W3CDTF">2025-10-21T13:40:00Z</dcterms:modified>
</cp:coreProperties>
</file>