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Material definitions and native library control</w:t>
      </w:r>
    </w:p>
    <w:p>
      <w:pPr/>
      <w:r>
        <w:t xml:space="preserve">Linked copies: ID STD-71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BBM-STD-71-MATERIALS-V0.2 | Office standard | 4 November 2026 | V0.2 | Private controlled WIP draft for office review</w:t>
      </w:r>
    </w:p>
    <w:p>
      <w:pPr>
        <w:pStyle w:val="Heading1"/>
      </w:pPr>
      <w:r>
        <w:t>Revision history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816"/>
        <w:gridCol w:w="1537"/>
        <w:gridCol w:w="8113"/>
      </w:tblGrid>
      <w:tr>
        <w:trPr>
          <w:cantSplit/>
          <w:tblHeader/>
        </w:trPr>
        <w:tc>
          <w:tcPr>
            <w:tcW w:type="dxa" w:w="816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53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811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Change</w:t>
            </w:r>
          </w:p>
        </w:tc>
      </w:tr>
      <w:tr>
        <w:trPr>
          <w:cantSplit/>
        </w:trPr>
        <w:tc>
          <w:tcPr>
            <w:tcW w:type="dxa" w:w="816"/>
          </w:tcPr>
          <w:p>
            <w:r>
              <w:rPr>
                <w:sz w:val="17"/>
              </w:rPr>
            </w:r>
            <w:r>
              <w:rPr>
                <w:sz w:val="17"/>
              </w:rPr>
              <w:t>V0.1</w:t>
            </w:r>
          </w:p>
        </w:tc>
        <w:tc>
          <w:tcPr>
            <w:tcW w:type="dxa" w:w="1537"/>
          </w:tcPr>
          <w:p>
            <w:r>
              <w:rPr>
                <w:sz w:val="17"/>
              </w:rPr>
            </w:r>
            <w:r>
              <w:rPr>
                <w:sz w:val="17"/>
              </w:rPr>
              <w:t>16 October 2026</w:t>
            </w:r>
          </w:p>
        </w:tc>
        <w:tc>
          <w:tcPr>
            <w:tcW w:type="dxa" w:w="8113"/>
          </w:tcPr>
          <w:p>
            <w:r>
              <w:rPr>
                <w:sz w:val="17"/>
              </w:rPr>
            </w:r>
            <w:r>
              <w:rPr>
                <w:sz w:val="17"/>
              </w:rPr>
              <w:t>First controlled draft.</w:t>
            </w:r>
          </w:p>
        </w:tc>
      </w:tr>
      <w:tr>
        <w:trPr>
          <w:cantSplit/>
        </w:trPr>
        <w:tc>
          <w:tcPr>
            <w:tcW w:type="dxa" w:w="816"/>
          </w:tcPr>
          <w:p>
            <w:r>
              <w:rPr>
                <w:sz w:val="17"/>
              </w:rPr>
            </w:r>
            <w:r>
              <w:rPr>
                <w:sz w:val="17"/>
              </w:rPr>
              <w:t>V0.2</w:t>
            </w:r>
          </w:p>
        </w:tc>
        <w:tc>
          <w:tcPr>
            <w:tcW w:type="dxa" w:w="1537"/>
          </w:tcPr>
          <w:p>
            <w:r>
              <w:rPr>
                <w:sz w:val="17"/>
              </w:rPr>
            </w:r>
            <w:r>
              <w:rPr>
                <w:sz w:val="17"/>
              </w:rPr>
              <w:t>4 November 2026</w:t>
            </w:r>
          </w:p>
        </w:tc>
        <w:tc>
          <w:tcPr>
            <w:tcW w:type="dxa" w:w="8113"/>
          </w:tcPr>
          <w:p>
            <w:r>
              <w:rPr>
                <w:sz w:val="17"/>
              </w:rPr>
            </w:r>
            <w:r>
              <w:rPr>
                <w:sz w:val="17"/>
              </w:rPr>
              <w:t>Audit res-026 closure: G235 ISO 23387/​ISO 22057 property templates in §2; G236 UAE evidence fields (Al Sa'fat, Estidama, UAE FLS, Civil Defence) in §4; G237 Autodesk help re-pointed to Revit 2025; G230 references trimmed; links to Manual V0.4/​BEP V0.5; spacing fixed. + cross-doc pointer pass. + folder names without dots (O-DEC-149)</w:t>
            </w:r>
          </w:p>
        </w:tc>
      </w:tr>
    </w:tbl>
    <w:p/>
    <w:p>
      <w:pPr>
        <w:pStyle w:val="Heading1"/>
      </w:pPr>
      <w:r>
        <w:t>1 Scope identity and approval states</w:t>
      </w:r>
    </w:p>
    <w:p>
      <w:pPr/>
      <w:r>
        <w:t xml:space="preserve">This standard covers SG-065/066. Material curator controls the reusable definitions and release manifest; specification lead owns product/performance selection; competent structural/thermal/design leads approve analytical uses; independent reviewers verify the actual source, native and receiving evidence. Follow </w:t>
      </w:r>
      <w:r>
        <w:rPr>
          <w:color w:val="9A7B45"/>
          <w:u w:val="single"/>
        </w:rPr>
        <w:t>BoD</w:t>
      </w:r>
      <w:r>
        <w:t xml:space="preserve">, </w:t>
      </w:r>
      <w:r>
        <w:rPr>
          <w:color w:val="9A7B45"/>
          <w:u w:val="single"/>
        </w:rPr>
        <w:t>templates</w:t>
      </w:r>
      <w:r>
        <w:t xml:space="preserve">, </w:t>
      </w:r>
      <w:r>
        <w:rPr>
          <w:color w:val="9A7B45"/>
          <w:u w:val="single"/>
        </w:rPr>
        <w:t>drawing outputs</w:t>
      </w:r>
      <w:r>
        <w:t xml:space="preserve">, </w:t>
      </w:r>
      <w:r>
        <w:rPr>
          <w:color w:val="9A7B45"/>
          <w:u w:val="single"/>
        </w:rPr>
        <w:t>dictionary</w:t>
      </w:r>
      <w:r>
        <w:t xml:space="preserve"> and </w:t>
      </w:r>
      <w:r>
        <w:rPr>
          <w:color w:val="9A7B45"/>
          <w:u w:val="single"/>
        </w:rPr>
        <w:t>Manual</w:t>
      </w:r>
      <w:r>
        <w:t xml:space="preserve">. Use the </w:t>
      </w:r>
      <w:r>
        <w:rPr>
          <w:color w:val="9A7B45"/>
          <w:u w:val="single"/>
        </w:rPr>
        <w:t>editable material register and release pack</w:t>
      </w:r>
      <w:r>
        <w:t>.</w:t>
      </w:r>
    </w:p>
    <w:p>
      <w:pPr/>
      <w:r>
        <w:t xml:space="preserve">The existing server route </w:t>
      </w:r>
      <w:r>
        <w:rPr>
          <w:rFonts w:ascii="JetBrains Mono" w:hAnsi="JetBrains Mono"/>
        </w:rPr>
        <w:t>BABOOM-BIM-STANDARD/02-LIBRARIES/02-MATERIALS</w:t>
      </w:r>
      <w:r>
        <w:t xml:space="preserve"> was read-only enumerated 2026-10-16 and contained zero entries; on 2026-11-04 it holds only an intake folder </w:t>
      </w:r>
      <w:r>
        <w:rPr>
          <w:rFonts w:ascii="JetBrains Mono" w:hAnsi="JetBrains Mono"/>
        </w:rPr>
        <w:t>99-INTAKE</w:t>
      </w:r>
      <w:r>
        <w:t>, which is quarantine, not released content. There is no approved native material/texture collection established by that empty folder. This standard defines candidate records, native asset/test specifications and release controls; it neither fills the share nor claims an installed library. Use the existing library owner and template-release process, not a parallel store. Candidate, technically reviewed, curator-approved and retired content remain distinct from CDE WIP/Shared/Published/Archive and project material approval.</w:t>
      </w:r>
    </w:p>
    <w:p>
      <w:pPr/>
      <w:r>
        <w:t>Allocate a stable MaterialID and unique controlled native name, revision, material family/category, source/specification/classification references, manufacturer/product where relevant, permitted use, restrictions and curator. The synthetic SYN-MAT71-A / BBM-MAT-SYN-001-NEUTRAL is an abstract data/appearance fixture, not an actual manufacturer product. ClassificationTable/Code/Title/Release are separate controlled BBM-STD-72 fields; this fixture claims no invented publisher code. Identity changes and property changes need lineage and an explicit old-to-new mapping, not same-name silent replacement.</w:t>
      </w:r>
    </w:p>
    <w:p>
      <w:pPr>
        <w:pStyle w:val="Heading1"/>
      </w:pPr>
      <w:r>
        <w:t>2 Property meanings source and analytical uses</w:t>
      </w:r>
    </w:p>
    <w:p>
      <w:pPr/>
      <w:r>
        <w:t>Separate identity/graphics, physical, thermal and appearance asset responsibilities. Analytical-use mappings identify the geometry/assembly/calculation input and receiving field; they are not an additional universal Revit asset type. Do not assume AutoCAD, Revit LT or another receiver supports full Revit physical/thermal semantics. Record the exact application/version-specific native asset type and parameter mapping before qualification.</w:t>
      </w:r>
    </w:p>
    <w:p>
      <w:pPr/>
      <w:r>
        <w:t>Technical property sets follow ISO 23387:2025 data templates (property definitions per ISO 23386:2020 through BBM-STD-72); environmental and carbon data follow the ISO 22057:2022 EPD data templates via BBM-STD-81. Every applicable property record needs MaterialID/revision, PropertyID/definition, datatype, unit, value/domain, test/declaration method, source document/edition/page/revision, applicability/temperature/moisture/orientation conditions where relevant, uncertainty/status, approving specialist and target mapping. Density, modulus, strength, conductivity, heat capacity and fire/acoustic evidence have different meanings and cannot be inferred from colour, texture or a material name. A material conductivity does not by itself establish an assembly U-value; retain thicknesses, layers, bridges and calculation assumptions. Structural strength is not elastic modulus. An image with concrete-like texture is no evidence of concrete grade.</w:t>
      </w:r>
    </w:p>
    <w:p>
      <w:pPr/>
      <w:r>
        <w:t>Unknown, not supplied, not applicable and withheld are explicit states with reasons. Do not put 0 into a mandatory physical property because no source exists; a missing required property holds that analytical use. N/A is allowed only when the declared use does not require the property and the responsible owner confirms the rule. Preserve source values/units and approved converted values; record conversion, precision and receiver units. Never overwrite a source declaration with a rounded schedule value.</w:t>
      </w:r>
    </w:p>
    <w:p>
      <w:pPr/>
      <w:r>
        <w:t>SYN-DATA71 R01 is the complete fictional input vector for SYN-MAT71-A: density 1000 kg/m3, conductivity 0.2 W/(m K), test slab volume 0.125 m3 and thickness 0.1 m; appearance RGB 128/128/128 and checker repeat 600 mm. These are explicitly invented test data for transformation checks, not technical product properties or code requirements. Expected mass 125 kg; for the deliberately simplified homogeneous layer only, thermal resistance 0.1/0.2=0.5 m2 K/W, excluding surface films, joints, bridges and all real-design adequacy. Receiving density expressed in kg/L is 1.0. All actual model/analysis results remain Not executed. Real library approval requires genuine controlled product/test/design evidence in place of this fictional vector for each technical use.</w:t>
      </w:r>
    </w:p>
    <w:p>
      <w:pPr>
        <w:pStyle w:val="Heading1"/>
      </w:pPr>
      <w:r>
        <w:t>3 Images appearance scale and portability</w:t>
      </w:r>
    </w:p>
    <w:p>
      <w:pPr/>
      <w:r>
        <w:t>No third-party images, unlicensed textures or downloaded product photographs may enter this pack or its proposed texture fixtures. Use office-original geometric/procedural assets or newly authored original bitmap fixtures with recorded author, creation method/date, rights and permitted distribution; unknown origin holds intake. No external images are downloaded here. Technical manufacturer documents may be referenced as property evidence without copying their images into the appearance library. A copyright-free-looking image or public URL is not sufficient provenance.</w:t>
      </w:r>
    </w:p>
    <w:p>
      <w:pPr/>
      <w:r>
        <w:t>Register each appearance asset separately from technical MaterialID: native asset ID/name/revision, parent relationships/shared use, colour-space/colour interpretation, maps/channels, image pixel dimensions where applicable, repeat size in model units, offsets/rotation, bump/normal/transparency meaning, real-world sample and permitted rendering uses. Editing an appearance asset shared by several materials can change all of them; inspect its consumers and duplicate only for an approved independent variant. Sharing appearance does not merge two different physical/thermal materials.</w:t>
      </w:r>
    </w:p>
    <w:p>
      <w:pPr/>
      <w:r>
        <w:t xml:space="preserve">The synthetic texture test specification SYN-TEX71-CHECKER defines an original two-tone geometric repeat, 600x600 mm sample size, on an orthographic 1200 mm-wide panel with exactly two horizontal repeats and a model-scale reference. Source generation, colour space and all byte hashes must be recorded when the original asset is actually produced. A proposed original PNG would live at bundle-relative </w:t>
      </w:r>
      <w:r>
        <w:rPr>
          <w:rFonts w:ascii="JetBrains Mono" w:hAnsi="JetBrains Mono"/>
        </w:rPr>
        <w:t>Textures/SYN-TEX71-CHECKER.png</w:t>
      </w:r>
      <w:r>
        <w:t>; it is not supplied by this editorial task. Native procedural realization may instead use an explicitly qualified mathematical checker with no bitmap dependency. Do not invent a bitmap hash or claim the proposed path exists.</w:t>
      </w:r>
    </w:p>
    <w:p>
      <w:pPr/>
      <w:r>
        <w:t>No absolute user-machine paths, cache directories or unmanaged network texture links are accepted in a portable release. The manifest records bundle root, relative path/native procedural dependency, exact hash and rights. Test a clean relocated bundle/receiver with original search paths unavailable: all required images/maps/parameters must resolve without fallback. Inspect colour, orientation, repeat scale, seams and missing-image warnings in fixed camera/light/exposure/render settings and compare the declared model dimension. Visual realism review concerns the intended appearance only; it does not certify physical, thermal, fire or acoustic properties.</w:t>
      </w:r>
    </w:p>
    <w:p>
      <w:pPr>
        <w:pStyle w:val="Heading1"/>
      </w:pPr>
      <w:r>
        <w:t>4 Library variants substitutions and retirement</w:t>
      </w:r>
    </w:p>
    <w:p>
      <w:pPr/>
      <w:r>
        <w:t>Use existing governed categories and one curator-controlled native material source, e.g. a qualified material RVT/RTE transfer specimen and optional supported material-library container under BBM-STD-65. Determine actual supported formats/builds; an .adsklib name is not proof that every asset/property/map is carried. No ASSET/RVT/ADSKLIB/bitmap or live server release is delivered here. Register dependency hashes and source/destination native names; inspect collisions before transferring selected definitions into an isolated project copy.</w:t>
      </w:r>
    </w:p>
    <w:p>
      <w:pPr/>
      <w:r>
        <w:t xml:space="preserve">Technical variants receive controlled identity/revision and a documented reason: different grade, thermal property, finish, manufacturer, environment or approved project substitution is not just a colour rename. Project substitutions retain original MaterialID/spec criterion, proposed replacement, affected elements/assemblies, code/product evidence, independent design/specification decision, authorisation and notified recipients. Appearance changes alone cannot approve a technical substitution. Each material record and substitution also carries local evidence fields: Al Sa'fat credit reference (Dubai, 2nd edition January 2023; Silver Sa'fa is the statutory minimum for new buildings) or Estidama credit reference (Abu Dhabi; 1 Pearl minimum private, 2 Pearl government-funded), VOC and recycled-content evidence, UAE Fire &amp; Life Safety Code of Practice (September 2018 edition plus emirate amendments current at project start) reaction-to-fire / facade test certificate reference, and Civil Defence approval or listing reference. For interior finishes the record carries the same field names BBM-STD-62 §2 uses: Reaction_To_Fire_Class with its test standard, and Rating_Material_Credit; the definitions live in the BBM-STD-72 dictionary. Clause numbers are taken from the edition recorded in BBM-STD-51 §3 and </w:t>
      </w:r>
      <w:r>
        <w:rPr>
          <w:color w:val="9A7B45"/>
          <w:u w:val="single"/>
        </w:rPr>
        <w:t>BBM-STD-85</w:t>
      </w:r>
      <w:r>
        <w:t>, not from this standard; a blank required evidence field holds the affected use. Any shared-asset edit triggers consumer review of families, templates, details, specifications, quantities and downstream analysis/exports. Retirement records reason, replacement/use restrictions and acknowledgment, retaining issued history and a compatible rollback baseline.</w:t>
      </w:r>
    </w:p>
    <w:p>
      <w:pPr>
        <w:pStyle w:val="Heading1"/>
      </w:pPr>
      <w:r>
        <w:t>5 Native asset and output test specifications</w:t>
      </w:r>
    </w:p>
    <w:p>
      <w:pPr/>
      <w:r>
        <w:t>Construct future isolated specimens from the approved source vector and qualified native assets: material applied to one plain slab/cube for quantity/property mapping, a repeated-texture panel, a second material sharing then independently duplicating appearance, a schedule/tag specimen where supported and a selected IFC/analysis/receiver profile. Record exact source/asset/dependency hashes, authoring/export/render/analysis/receiving full builds, presets, hardware and source revision. Link geometry volumes and layer thickness to the same revision as the property vector.</w:t>
      </w:r>
    </w:p>
    <w:p>
      <w:pPr/>
      <w:r>
        <w:t>Positive expected values are the density/mass/resistance and two-repeat fixture results in sections 2/3. Independently mutate density units without conversion, remove a required property, assign the wrong MaterialID, share-edit an unrelated appearance, change 600 mm repeat to 600 m, break the relative texture path and strip a required exported property. Each must produce its declared failure/hold rather than a healthy-looking fallback render or zero schedule. Reset from the baseline for every case. Record actual source/receiver values/units and counts, warnings, failed evidence, approved correction and independent retest. The synthetic technical vector cannot be promoted to real technical approval even when its arithmetic passes.</w:t>
      </w:r>
    </w:p>
    <w:p>
      <w:pPr/>
      <w:r>
        <w:t>Compare every applicable mandatory material property, exact specification/classification and object-to-material identity, itemised schedule quantity/unit, IFC material/property mappings and recipient analytical interpretation. Exact IFC schema/entity/property and native field paths remain to be selected and tested under the exchange owner; no custom fixture field is represented as a standard IFC property. Keep quantity testing distinct from construction measurement conventions and approved design performance. Render tests include verified portability, scale and realistic appearance under recorded settings. Actual native/schedule/IFC/render/receiver test results are Not executed here.</w:t>
      </w:r>
    </w:p>
    <w:p>
      <w:pPr>
        <w:pStyle w:val="Heading1"/>
      </w:pPr>
      <w:r>
        <w:t>6 Registers release and acceptance</w:t>
      </w:r>
    </w:p>
    <w:p>
      <w:pPr/>
      <w:r>
        <w:t>The workbook Register, Properties, Appearance, Native assets, Schedule, Checks, Tests and Release sheets supply a populated synthetic slice and genuinely blank reusable forms. Property values cite SYN-DATA71 R01 in this standard; unknown real source/approval fields remain held. Release requires a complete source-backed property register for the declared use, technical review by competent owners, independent source/native/schedule/exchange/output evidence, original-image rights/provenance and portable correctly scaled appearance tests. Do not accept a percentage average that hides a mandatory blank, wrong unit or unresolved dependency.</w:t>
      </w:r>
    </w:p>
    <w:p>
      <w:pPr/>
      <w:r>
        <w:t>Record MaterialID/native asset/type identity, revision/hash/dependency list, technical/appearance use limits, supported releases/profiles, source/specification/BoD links, author, independent reviewers, curator authorisation and recipient scoped acceptance. Append confirmed changes to the existing standards/library index and notify affected consumers through its owner; this task edits no share. Rollback reopens the preserved compatible native/texture source and rechecks dependent properties/outputs. Editorial approval of this pack is distinct from native library release, project material selection, manufacturer certification and authority approval; all such actual decisions and native execution remain Not executed or Hold as stated.</w:t>
      </w:r>
    </w:p>
    <w:p>
      <w:pPr>
        <w:pStyle w:val="Heading1"/>
      </w:pPr>
      <w:r>
        <w:t>References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Office Manual V0.5, BEP V0.5, glossary V0.3, BBM-STD-51/54/55/57/63/65/67/72, BoD BBM-STD-12 and MIDP/TIDP V0.3 are controlled prerequisite owners. Synthetic IDs in this standard create no office adoption, appointment or native acceptance.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5">
        <w:r>
          <w:rPr>
            <w:color w:val="9A7B45"/>
            <w:u w:val="single"/>
          </w:rPr>
          <w:t>ISO 19650-1:2018</w:t>
        </w:r>
      </w:hyperlink>
      <w:r>
        <w:t xml:space="preserve">, clauses 5/11; </w:t>
      </w:r>
      <w:hyperlink r:id="rId16">
        <w:r>
          <w:rPr>
            <w:color w:val="9A7B45"/>
            <w:u w:val="single"/>
          </w:rPr>
          <w:t>ISO 19650-2:2018</w:t>
        </w:r>
      </w:hyperlink>
      <w:r>
        <w:t xml:space="preserve">, clauses 5.1.4/5.6.3/5.6.4/5.7, are reading pointers for requirements, container checks, content review and exchange. </w:t>
      </w:r>
      <w:hyperlink r:id="rId17">
        <w:r>
          <w:rPr>
            <w:color w:val="9A7B45"/>
            <w:u w:val="single"/>
          </w:rPr>
          <w:t>ISO 19650-3:2020</w:t>
        </w:r>
      </w:hyperlink>
      <w:r>
        <w:t xml:space="preserve"> addresses operational update context; </w:t>
      </w:r>
      <w:hyperlink r:id="rId18">
        <w:r>
          <w:rPr>
            <w:color w:val="9A7B45"/>
            <w:u w:val="single"/>
          </w:rPr>
          <w:t>ISO 19650-5:2020</w:t>
        </w:r>
      </w:hyperlink>
      <w:r>
        <w:t xml:space="preserve"> security-minded lifecycle context. Public catalogues/guidance support scope and pointers, not a licensed clause conformity audit; no paid paragraphs copied.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19">
        <w:r>
          <w:rPr>
            <w:color w:val="9A7B45"/>
            <w:u w:val="single"/>
          </w:rPr>
          <w:t>IMI Framework (formerly UK BIM Framework, renamed May 2025) Part 2 ed5</w:t>
        </w:r>
      </w:hyperlink>
      <w:r>
        <w:t xml:space="preserve"> and </w:t>
      </w:r>
      <w:hyperlink r:id="rId20">
        <w:r>
          <w:rPr>
            <w:color w:val="9A7B45"/>
            <w:u w:val="single"/>
          </w:rPr>
          <w:t>Part D ed2</w:t>
        </w:r>
      </w:hyperlink>
      <w:r>
        <w:t xml:space="preserve"> inform purpose, responsibilities and review; both are archived guidance editions on </w:t>
      </w:r>
      <w:hyperlink r:id="rId21">
        <w:r>
          <w:rPr>
            <w:color w:val="9A7B45"/>
            <w:u w:val="single"/>
          </w:rPr>
          <w:t>ukbimframework.org/resources</w:t>
        </w:r>
      </w:hyperlink>
      <w:r>
        <w:t xml:space="preserve">, checked 2026-11-04. </w:t>
      </w:r>
      <w:hyperlink r:id="rId22">
        <w:r>
          <w:rPr>
            <w:color w:val="9A7B45"/>
            <w:u w:val="single"/>
          </w:rPr>
          <w:t>ISO 7817-1:2024</w:t>
        </w:r>
      </w:hyperlink>
      <w:r>
        <w:t xml:space="preserve"> is the current researched LOIN concepts reference; </w:t>
      </w:r>
      <w:hyperlink r:id="rId23">
        <w:r>
          <w:rPr>
            <w:color w:val="9A7B45"/>
            <w:u w:val="single"/>
          </w:rPr>
          <w:t>BS EN 17412-1:2020 BSI record</w:t>
        </w:r>
      </w:hyperlink>
      <w:r>
        <w:t xml:space="preserve"> is predecessor context. Preserve an adopted appointment edition until controlled change.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Local evidence sources, checked 2026-11-04: </w:t>
      </w:r>
      <w:hyperlink r:id="rId24">
        <w:r>
          <w:rPr>
            <w:color w:val="9A7B45"/>
            <w:u w:val="single"/>
          </w:rPr>
          <w:t>Al Sa'fat Dubai green building system (DM)</w:t>
        </w:r>
      </w:hyperlink>
      <w:r>
        <w:t xml:space="preserve">; </w:t>
      </w:r>
      <w:hyperlink r:id="rId25">
        <w:r>
          <w:rPr>
            <w:color w:val="9A7B45"/>
            <w:u w:val="single"/>
          </w:rPr>
          <w:t>Estidama Pearl minimums (DMT news, 8 Jan 2025)</w:t>
        </w:r>
      </w:hyperlink>
      <w:r>
        <w:t xml:space="preserve">; </w:t>
      </w:r>
      <w:hyperlink r:id="rId26">
        <w:r>
          <w:rPr>
            <w:color w:val="9A7B45"/>
            <w:u w:val="single"/>
          </w:rPr>
          <w:t>UAE Fire &amp; Life Safety Code of Practice, September 2018 (DCD)</w:t>
        </w:r>
      </w:hyperlink>
      <w:r>
        <w:t>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27">
        <w:r>
          <w:rPr>
            <w:color w:val="9A7B45"/>
            <w:u w:val="single"/>
          </w:rPr>
          <w:t>ISO 23387:2025</w:t>
        </w:r>
      </w:hyperlink>
      <w:r>
        <w:t xml:space="preserve">, </w:t>
      </w:r>
      <w:hyperlink r:id="rId28">
        <w:r>
          <w:rPr>
            <w:color w:val="9A7B45"/>
            <w:u w:val="single"/>
          </w:rPr>
          <w:t>ISO 23386:2020</w:t>
        </w:r>
      </w:hyperlink>
      <w:r>
        <w:t xml:space="preserve"> and </w:t>
      </w:r>
      <w:hyperlink r:id="rId29">
        <w:r>
          <w:rPr>
            <w:color w:val="9A7B45"/>
            <w:u w:val="single"/>
          </w:rPr>
          <w:t>ISO 22057:2022</w:t>
        </w:r>
      </w:hyperlink>
      <w:r>
        <w:t>, checked 2026-11-04.</w:t>
      </w:r>
    </w:p>
    <w:p>
      <w:pPr>
        <w:pStyle w:val="ListParagraph"/>
        <w:spacing w:after="40"/>
        <w:ind w:left="360" w:hanging="240"/>
      </w:pPr>
      <w:r>
        <w:t xml:space="preserve">•  </w:t>
      </w:r>
      <w:hyperlink r:id="rId30">
        <w:r>
          <w:rPr>
            <w:color w:val="9A7B45"/>
            <w:u w:val="single"/>
          </w:rPr>
          <w:t>Autodesk About Material Properties and Assets, Revit 2025</w:t>
        </w:r>
      </w:hyperlink>
      <w:r>
        <w:t xml:space="preserve"> (checked 2026-11-04; Revit 2023 is out of support, O-DEC-120) and </w:t>
      </w:r>
      <w:hyperlink r:id="rId31">
        <w:r>
          <w:rPr>
            <w:color w:val="9A7B45"/>
            <w:u w:val="single"/>
          </w:rPr>
          <w:t>appearance/map scale RevitLT 2026</w:t>
        </w:r>
      </w:hyperlink>
      <w:r>
        <w:t xml:space="preserve">, checked 2026-10-16: versioned asset/appearance concepts, not proof of installed physical/thermal support. Library save version and Revit support per </w:t>
      </w:r>
      <w:r>
        <w:rPr>
          <w:color w:val="9A7B45"/>
          <w:u w:val="single"/>
        </w:rPr>
        <w:t>BBM-STD-91</w:t>
      </w:r>
      <w:r>
        <w:t xml:space="preserve"> §2–§3. Read-only server material-folder enumeration: zero entries (2026-10-16); no imagery or property data taken from third parties.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BBM-STD-71-MATERIALS-V0.2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5cdee98f37a140778b8b30badb3c652c" TargetMode="External"/><Relationship Id="rId14" Type="http://schemas.openxmlformats.org/officeDocument/2006/relationships/hyperlink" Target="https://github.com/Fargaly/baboom-bim-standard/blob/main/04-DOCUMENTS/BBM-STD-71-MATERIALS-V0.2.docx" TargetMode="External"/><Relationship Id="rId15" Type="http://schemas.openxmlformats.org/officeDocument/2006/relationships/hyperlink" Target="https://www.iso.org/standard/68078.html" TargetMode="External"/><Relationship Id="rId16" Type="http://schemas.openxmlformats.org/officeDocument/2006/relationships/hyperlink" Target="https://www.iso.org/standard/68080.html" TargetMode="External"/><Relationship Id="rId17" Type="http://schemas.openxmlformats.org/officeDocument/2006/relationships/hyperlink" Target="https://www.iso.org/standard/75109.html" TargetMode="External"/><Relationship Id="rId18" Type="http://schemas.openxmlformats.org/officeDocument/2006/relationships/hyperlink" Target="https://www.iso.org/standard/74206.html" TargetMode="External"/><Relationship Id="rId19" Type="http://schemas.openxmlformats.org/officeDocument/2006/relationships/hyperlink" Target="https://ukbimframework.org/wp-content/uploads/2020/09/Guidance-Part-2_Parties-teams-and-processes-for-the-delivery-phase-of-assets_Edition-5.pdf" TargetMode="External"/><Relationship Id="rId20" Type="http://schemas.openxmlformats.org/officeDocument/2006/relationships/hyperlink" Target="https://www.ukbimframework.org/wp-content/uploads/2021/02/Guidance-Part-D_Developing-information-requirements_Edition-2.pdf" TargetMode="External"/><Relationship Id="rId21" Type="http://schemas.openxmlformats.org/officeDocument/2006/relationships/hyperlink" Target="https://ukbimframework.org/resources/" TargetMode="External"/><Relationship Id="rId22" Type="http://schemas.openxmlformats.org/officeDocument/2006/relationships/hyperlink" Target="https://www.iso.org/standard/82914.html" TargetMode="External"/><Relationship Id="rId23" Type="http://schemas.openxmlformats.org/officeDocument/2006/relationships/hyperlink" Target="https://knowledge.bsigroup.com/products/building-information-modelling-level-of-information-need-concepts-and-principles-1" TargetMode="External"/><Relationship Id="rId24" Type="http://schemas.openxmlformats.org/officeDocument/2006/relationships/hyperlink" Target="https://www.dm.gov.ae/municipality-business/al-safat-dubai-green-building-system/" TargetMode="External"/><Relationship Id="rId25" Type="http://schemas.openxmlformats.org/officeDocument/2006/relationships/hyperlink" Target="https://www.dmt.gov.ae/en/adm/Media-Centre/News/08Jan2025" TargetMode="External"/><Relationship Id="rId26" Type="http://schemas.openxmlformats.org/officeDocument/2006/relationships/hyperlink" Target="https://www.dcd.gov.ae/portal/preventive-safety/uae-fire-and-life-safety-code-of-practice.jsp" TargetMode="External"/><Relationship Id="rId27" Type="http://schemas.openxmlformats.org/officeDocument/2006/relationships/hyperlink" Target="https://www.iso.org/standard/85391.html" TargetMode="External"/><Relationship Id="rId28" Type="http://schemas.openxmlformats.org/officeDocument/2006/relationships/hyperlink" Target="https://www.iso.org/standard/75401.html" TargetMode="External"/><Relationship Id="rId29" Type="http://schemas.openxmlformats.org/officeDocument/2006/relationships/hyperlink" Target="https://www.iso.org/standard/72463.html" TargetMode="External"/><Relationship Id="rId30" Type="http://schemas.openxmlformats.org/officeDocument/2006/relationships/hyperlink" Target="https://help.autodesk.com/cloudhelp/2025/ENU/Revit-Customize/files/GUID-8D1A49AB-849C-49DF-A7B9-34C596E0C6F2.htm" TargetMode="External"/><Relationship Id="rId31" Type="http://schemas.openxmlformats.org/officeDocument/2006/relationships/hyperlink" Target="https://help.autodesk.com/cloudhelp/2026/ENU/RevitLT-Customize/files/GUID-03A2730E-AAEE-42F6-88BC-3C9718B9F5DD.ht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