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spacing w:before="840"/>
      </w:pPr>
      <w:r>
        <w:t>Properties shared parameters and classification</w:t>
      </w:r>
    </w:p>
    <w:p>
      <w:pPr/>
      <w:r>
        <w:t xml:space="preserve">Linked copies: ID STD-72 · </w:t>
      </w:r>
      <w:hyperlink r:id="rId13">
        <w:r>
          <w:rPr>
            <w:color w:val="9A7B45"/>
            <w:u w:val="single"/>
          </w:rPr>
          <w:t>TBP page</w:t>
        </w:r>
      </w:hyperlink>
      <w:r>
        <w:t xml:space="preserve"> · </w:t>
      </w:r>
      <w:hyperlink r:id="rId14">
        <w:r>
          <w:rPr>
            <w:color w:val="9A7B45"/>
            <w:u w:val="single"/>
          </w:rPr>
          <w:t>BABOOM edition</w:t>
        </w:r>
      </w:hyperlink>
      <w:r>
        <w:t xml:space="preserve"> · ArchHub: BABOOM companion</w:t>
      </w:r>
    </w:p>
    <w:p>
      <w:pPr/>
      <w:r>
        <w:t>BBM-STD-72-PARAMETERS_AND_CLASSIFICATION-V0.3 | Office standard | 5 November 2026 | V0.3 | Private controlled WIP draft</w:t>
      </w:r>
    </w:p>
    <w:p>
      <w:pPr>
        <w:pStyle w:val="Heading1"/>
      </w:pPr>
      <w:r>
        <w:t>Revision history</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816"/>
        <w:gridCol w:w="1404"/>
        <w:gridCol w:w="8246"/>
      </w:tblGrid>
      <w:tr>
        <w:trPr>
          <w:cantSplit/>
          <w:tblHeader/>
        </w:trPr>
        <w:tc>
          <w:tcPr>
            <w:tcW w:type="dxa" w:w="816"/>
            <w:shd w:val="clear" w:color="auto" w:fill="111113"/>
          </w:tcPr>
          <w:p>
            <w:r>
              <w:rPr>
                <w:b/>
                <w:color w:val="FFFFFF"/>
                <w:sz w:val="17"/>
              </w:rPr>
            </w:r>
            <w:r>
              <w:rPr>
                <w:b/>
                <w:color w:val="FFFFFF"/>
                <w:sz w:val="17"/>
              </w:rPr>
              <w:t>Version</w:t>
            </w:r>
          </w:p>
        </w:tc>
        <w:tc>
          <w:tcPr>
            <w:tcW w:type="dxa" w:w="1404"/>
            <w:shd w:val="clear" w:color="auto" w:fill="111113"/>
          </w:tcPr>
          <w:p>
            <w:r>
              <w:rPr>
                <w:b/>
                <w:color w:val="FFFFFF"/>
                <w:sz w:val="17"/>
              </w:rPr>
            </w:r>
            <w:r>
              <w:rPr>
                <w:b/>
                <w:color w:val="FFFFFF"/>
                <w:sz w:val="17"/>
              </w:rPr>
              <w:t>Date</w:t>
            </w:r>
          </w:p>
        </w:tc>
        <w:tc>
          <w:tcPr>
            <w:tcW w:type="dxa" w:w="8246"/>
            <w:shd w:val="clear" w:color="auto" w:fill="111113"/>
          </w:tcPr>
          <w:p>
            <w:r>
              <w:rPr>
                <w:b/>
                <w:color w:val="FFFFFF"/>
                <w:sz w:val="17"/>
              </w:rPr>
            </w:r>
            <w:r>
              <w:rPr>
                <w:b/>
                <w:color w:val="FFFFFF"/>
                <w:sz w:val="17"/>
              </w:rPr>
              <w:t>Change</w:t>
            </w:r>
          </w:p>
        </w:tc>
      </w:tr>
      <w:tr>
        <w:trPr>
          <w:cantSplit/>
        </w:trPr>
        <w:tc>
          <w:tcPr>
            <w:tcW w:type="dxa" w:w="816"/>
          </w:tcPr>
          <w:p>
            <w:r>
              <w:rPr>
                <w:sz w:val="17"/>
              </w:rPr>
            </w:r>
            <w:r>
              <w:rPr>
                <w:sz w:val="17"/>
              </w:rPr>
              <w:t>V0.1</w:t>
            </w:r>
          </w:p>
        </w:tc>
        <w:tc>
          <w:tcPr>
            <w:tcW w:type="dxa" w:w="1404"/>
          </w:tcPr>
          <w:p>
            <w:r>
              <w:rPr>
                <w:sz w:val="17"/>
              </w:rPr>
            </w:r>
            <w:r>
              <w:rPr>
                <w:sz w:val="17"/>
              </w:rPr>
              <w:t>16 October 2026</w:t>
            </w:r>
          </w:p>
        </w:tc>
        <w:tc>
          <w:tcPr>
            <w:tcW w:type="dxa" w:w="8246"/>
          </w:tcPr>
          <w:p>
            <w:r>
              <w:rPr>
                <w:sz w:val="17"/>
              </w:rPr>
            </w:r>
            <w:r>
              <w:rPr>
                <w:sz w:val="17"/>
              </w:rPr>
              <w:t>First controlled draft.</w:t>
            </w:r>
          </w:p>
        </w:tc>
      </w:tr>
      <w:tr>
        <w:trPr/>
        <w:tc>
          <w:tcPr>
            <w:tcW w:type="dxa" w:w="816"/>
          </w:tcPr>
          <w:p>
            <w:r>
              <w:rPr>
                <w:sz w:val="17"/>
              </w:rPr>
            </w:r>
            <w:r>
              <w:rPr>
                <w:sz w:val="17"/>
              </w:rPr>
              <w:t>V0.2</w:t>
            </w:r>
          </w:p>
        </w:tc>
        <w:tc>
          <w:tcPr>
            <w:tcW w:type="dxa" w:w="1404"/>
          </w:tcPr>
          <w:p>
            <w:r>
              <w:rPr>
                <w:sz w:val="17"/>
              </w:rPr>
            </w:r>
            <w:r>
              <w:rPr>
                <w:sz w:val="17"/>
              </w:rPr>
              <w:t>4 November 2026</w:t>
            </w:r>
          </w:p>
        </w:tc>
        <w:tc>
          <w:tcPr>
            <w:tcW w:type="dxa" w:w="8246"/>
          </w:tcPr>
          <w:p>
            <w:r>
              <w:rPr>
                <w:sz w:val="17"/>
              </w:rPr>
            </w:r>
            <w:r>
              <w:rPr>
                <w:sz w:val="17"/>
              </w:rPr>
              <w:t>Audit res-026 closure: G238 DM-PERMIT mapping profile in §5; G239 links to Manual V0.4 §3.2 and BEP V0.5 §8.6/​8.11; G240 family index named and the 568/​878/​889-row snapshots reconciled in §2; G241 ISO 12006-3:2022 and bSDD in §3; G242 Uniclass SL/​Ac tables in §3; MasterFormat library-only exception for the detail library (from BBM-STD-70 G232); O-DEC-116/​121 applied; IMI Framework naming. + cross-doc pointer pass. + template alignment (O-DEC-142..148) + folder names without dots (O-DEC-149)</w:t>
            </w:r>
          </w:p>
        </w:tc>
      </w:tr>
      <w:tr>
        <w:trPr>
          <w:cantSplit/>
        </w:trPr>
        <w:tc>
          <w:tcPr>
            <w:tcW w:type="dxa" w:w="816"/>
          </w:tcPr>
          <w:p>
            <w:r>
              <w:rPr>
                <w:sz w:val="17"/>
              </w:rPr>
            </w:r>
            <w:r>
              <w:rPr>
                <w:sz w:val="17"/>
              </w:rPr>
              <w:t>V0.3</w:t>
            </w:r>
          </w:p>
        </w:tc>
        <w:tc>
          <w:tcPr>
            <w:tcW w:type="dxa" w:w="1404"/>
          </w:tcPr>
          <w:p>
            <w:r>
              <w:rPr>
                <w:sz w:val="17"/>
              </w:rPr>
            </w:r>
            <w:r>
              <w:rPr>
                <w:sz w:val="17"/>
              </w:rPr>
              <w:t>5 November 2026</w:t>
            </w:r>
          </w:p>
        </w:tc>
        <w:tc>
          <w:tcPr>
            <w:tcW w:type="dxa" w:w="8246"/>
          </w:tcPr>
          <w:p>
            <w:r>
              <w:rPr>
                <w:sz w:val="17"/>
              </w:rPr>
            </w:r>
            <w:r>
              <w:rPr>
                <w:sz w:val="17"/>
              </w:rPr>
              <w:t>Standard watch no. 1 (RES-017): ISO 12006-2:2015 status corrected to last confirmed 2020, to be revised (ISO/​DIS 12006-2.2 under development)</w:t>
            </w:r>
          </w:p>
        </w:tc>
      </w:tr>
    </w:tbl>
    <w:p/>
    <w:p>
      <w:pPr>
        <w:pStyle w:val="Heading1"/>
      </w:pPr>
      <w:r>
        <w:t>1 Purpose identity and control</w:t>
      </w:r>
    </w:p>
    <w:p>
      <w:pPr/>
      <w:r>
        <w:t xml:space="preserve">Maintain one property dictionary connecting requirements, native bindings, tag/schedule presentation and receiving schemas. This standard covers SG-067, SG-068 and SG-069. The Information Manager owns dictionary revisions; the content curator maintains controlled definitions; discipline designers own value sources; an independent checker verifies the scoped result. Office adoption and actual holder/delegation remain pending under </w:t>
      </w:r>
      <w:r>
        <w:rPr>
          <w:color w:val="9A7B45"/>
          <w:u w:val="single"/>
        </w:rPr>
        <w:t>BBM-STD-51</w:t>
      </w:r>
      <w:r>
        <w:t xml:space="preserve"> and </w:t>
      </w:r>
      <w:r>
        <w:rPr>
          <w:color w:val="9A7B45"/>
          <w:u w:val="single"/>
        </w:rPr>
        <w:t>BBM-STD-55</w:t>
      </w:r>
      <w:r>
        <w:t>.</w:t>
      </w:r>
    </w:p>
    <w:p>
      <w:pPr/>
      <w:r>
        <w:t xml:space="preserve">Use </w:t>
      </w:r>
      <w:r>
        <w:rPr>
          <w:color w:val="9A7B45"/>
          <w:u w:val="single"/>
        </w:rPr>
        <w:t>Manual V0.5 section 3.2</w:t>
      </w:r>
      <w:r>
        <w:t xml:space="preserve">, </w:t>
      </w:r>
      <w:r>
        <w:rPr>
          <w:color w:val="9A7B45"/>
          <w:u w:val="single"/>
        </w:rPr>
        <w:t>BEP V0.5 sections 8.6 and 8.11</w:t>
      </w:r>
      <w:r>
        <w:t xml:space="preserve">, </w:t>
      </w:r>
      <w:r>
        <w:rPr>
          <w:color w:val="9A7B45"/>
          <w:u w:val="single"/>
        </w:rPr>
        <w:t>AIR</w:t>
      </w:r>
      <w:r>
        <w:t xml:space="preserve"> and </w:t>
      </w:r>
      <w:r>
        <w:rPr>
          <w:color w:val="9A7B45"/>
          <w:u w:val="single"/>
        </w:rPr>
        <w:t>EIR and LOIN</w:t>
      </w:r>
      <w:r>
        <w:t xml:space="preserve">. The </w:t>
      </w:r>
      <w:r>
        <w:rPr>
          <w:color w:val="9A7B45"/>
          <w:u w:val="single"/>
        </w:rPr>
        <w:t>editable dictionary and tests</w:t>
      </w:r>
      <w:r>
        <w:t xml:space="preserve"> are the maintainable drafting records, not a newly approved native definition file. ISO 19650-1:2018 clauses 5 and 11 and ISO 19650-2:2018 clauses 5.1.4 and 5.6 are reading pointers for requirement-led information and production controls; verify licensed text before formal compliance claims.</w:t>
      </w:r>
    </w:p>
    <w:p>
      <w:pPr/>
      <w:r>
        <w:t>Each Dictionary row has stable PropertyID, canonical key, explicit meaning, datatype/unit, allowed values, applicability/source and accountable owner. Bindings and Mappings join that ID, never the visible label. Add semantic revision, actual approver/effective date and exact dictionary hash to the project control record. Missing these fields holds production adoption. Alias records may translate names but cannot collapse different meanings or conflicting values. Asset_ID is the office key (O-DEC-121); generic D13 AssetIdentifier and AssetTag are mapped aliases, not a second office identity. Financial-register identifiers and physical tags remain separate unless a relationship is authorised. Never invent an existing GUID.</w:t>
      </w:r>
    </w:p>
    <w:p>
      <w:pPr/>
      <w:r>
        <w:t xml:space="preserve">Dictionary entries requested by other standards (each gets a PropertyID, datatype, unit and owner from the curator before use; held until then, no GUID invented): Fire_Rating as integer minutes plus Fire_Rating_Standard and Fire_Rating_Source (O-DEC-119, Manual V0.5 §3.2); date fields as text </w:t>
      </w:r>
      <w:r>
        <w:rPr>
          <w:rFonts w:ascii="JetBrains Mono" w:hAnsi="JetBrains Mono"/>
        </w:rPr>
        <w:t>YYYY-MM-DD</w:t>
      </w:r>
      <w:r>
        <w:t xml:space="preserve"> checked by rule VAL-DATE-01 (BEP V0.5 §8.6.1); room fields OccupancyClass, OccupantLoadFactor_Source and AccessibilityRequirement (</w:t>
      </w:r>
      <w:r>
        <w:rPr>
          <w:color w:val="9A7B45"/>
          <w:u w:val="single"/>
        </w:rPr>
        <w:t>BBM-STD-58</w:t>
      </w:r>
      <w:r>
        <w:t xml:space="preserve"> §2); plant fields Native_Adaptive, Irrigation_Demand_Basis and Rating_Credit_Ref (</w:t>
      </w:r>
      <w:r>
        <w:rPr>
          <w:color w:val="9A7B45"/>
          <w:u w:val="single"/>
        </w:rPr>
        <w:t>BBM-STD-61</w:t>
      </w:r>
      <w:r>
        <w:t xml:space="preserve"> §2); finish fields Reaction_To_Fire_Class (with test standard) and Rating_Material_Credit (</w:t>
      </w:r>
      <w:r>
        <w:rPr>
          <w:color w:val="9A7B45"/>
          <w:u w:val="single"/>
        </w:rPr>
        <w:t>BBM-STD-62</w:t>
      </w:r>
      <w:r>
        <w:t xml:space="preserve"> §2, BBM-STD-71 §4); element and space classification Classification_Code with the pinned Uniclass release, IfcSpace rooms classified with SL (</w:t>
      </w:r>
      <w:r>
        <w:rPr>
          <w:color w:val="9A7B45"/>
          <w:u w:val="single"/>
        </w:rPr>
        <w:t>BBM-STD-58</w:t>
      </w:r>
      <w:r>
        <w:t xml:space="preserve"> §1).</w:t>
      </w:r>
    </w:p>
    <w:p>
      <w:pPr>
        <w:pStyle w:val="Heading1"/>
      </w:pPr>
      <w:r>
        <w:t>2 Observed source and proposed native bindings</w:t>
      </w:r>
    </w:p>
    <w:p>
      <w:pPr/>
      <w:r>
        <w:t xml:space="preserve">Read-only inspection on 2026-10-16 found 120 PARAM definitions in </w:t>
      </w:r>
      <w:r>
        <w:rPr>
          <w:rFonts w:ascii="JetBrains Mono" w:hAnsi="JetBrains Mono"/>
        </w:rPr>
        <w:t>BABOOM-BIM-STANDARD/02-LIBRARIES/05-PARAMETERS/BBM-SHARED_PARAMETERS.txt</w:t>
      </w:r>
      <w:r>
        <w:t xml:space="preserve">; SHA-256 </w:t>
      </w:r>
      <w:r>
        <w:rPr>
          <w:rFonts w:ascii="JetBrains Mono" w:hAnsi="JetBrains Mono"/>
        </w:rPr>
        <w:t>e85adf1e1a505f31737f9aeaa06bdaee6967f3b4a12758e40e1d0228ce962950</w:t>
      </w:r>
      <w:r>
        <w:t xml:space="preserve">. The family CSV has 568 rows; SHA-256 </w:t>
      </w:r>
      <w:r>
        <w:rPr>
          <w:rFonts w:ascii="JetBrains Mono" w:hAnsi="JetBrains Mono"/>
        </w:rPr>
        <w:t>ccb2ced96efd2e3b91cfaf70a5279dcd9800ca5a583ba3d6d94f9bbef9ceb38b</w:t>
      </w:r>
      <w:r>
        <w:t>. It indexes content and classification labels; its short hashes and populated codes do not prove RFA contents, actual bindings, native release or current code validity. Only the reviewed subset below is proposed for reconciliation; the remaining definitions stay unadopted pending the curator's full applicability assessment. No share file was edited or copied as a competing master.</w:t>
      </w:r>
    </w:p>
    <w:p>
      <w:pPr/>
      <w:r>
        <w:t xml:space="preserve">Re-read on 2026-11-04 (read-only): the TXT now holds 122 PARAM definitions, modified 2026-10-30, SHA-256 </w:t>
      </w:r>
      <w:r>
        <w:rPr>
          <w:rFonts w:ascii="JetBrains Mono" w:hAnsi="JetBrains Mono"/>
        </w:rPr>
        <w:t>f62febe1d1692e05f426b87f453fa613b33368cf7bbefa9c5b4d0d9ae6cc8a60</w:t>
      </w:r>
      <w:r>
        <w:t>; the reviewed subset below must be re-confirmed against this revision before adoption. BBM-SHARED_PARAMETERS.txt must carry every Manual V0.5 §3.2 core parameter under its canonical name — Classification_Code (with ClassificationTable, ClassificationTitle, ClassificationRelease), System, Fire_Rating (with Fire_Rating_Standard, Fire_Rating_Source), Asset_ID, Export Exclude and Model Origin OK? — plus the COBie parameters of the EIR's COBie version (default COBie 2.4, O-DEC-114); the file is updated in the next template pass, with GUIDs assigned once by the curator and never invented (</w:t>
      </w:r>
      <w:r>
        <w:rPr>
          <w:color w:val="9A7B45"/>
          <w:u w:val="single"/>
        </w:rPr>
        <w:t>O-DEC-146</w:t>
      </w:r>
      <w:r>
        <w:t xml:space="preserve">). The family index is </w:t>
      </w:r>
      <w:r>
        <w:rPr>
          <w:rFonts w:ascii="JetBrains Mono" w:hAnsi="JetBrains Mono"/>
        </w:rPr>
        <w:t>BABOOM-BIM-STANDARD/02-LIBRARIES/01-FAMILIES/BBM-FAMILY-LIBRARY-INDEX.csv</w:t>
      </w:r>
      <w:r>
        <w:t xml:space="preserve">: BBM-STD-69 read it with 878 rows (SHA-256 </w:t>
      </w:r>
      <w:r>
        <w:rPr>
          <w:rFonts w:ascii="JetBrains Mono" w:hAnsi="JetBrains Mono"/>
        </w:rPr>
        <w:t>6d4ecac1...</w:t>
      </w:r>
      <w:r>
        <w:t xml:space="preserve">) on 2026-10-16 and on 2026-11-04 it has 889 rows, modified 2026-10-29, SHA-256 </w:t>
      </w:r>
      <w:r>
        <w:rPr>
          <w:rFonts w:ascii="JetBrains Mono" w:hAnsi="JetBrains Mono"/>
        </w:rPr>
        <w:t>5b586168d9ff202f747b85bf14d0caaacbee48485bf24529aa5712d6cb504aaa</w:t>
      </w:r>
      <w:r>
        <w:t>. The 568-row file (</w:t>
      </w:r>
      <w:r>
        <w:rPr>
          <w:rFonts w:ascii="JetBrains Mono" w:hAnsi="JetBrains Mono"/>
        </w:rPr>
        <w:t>ccb2ced9...</w:t>
      </w:r>
      <w:r>
        <w:t>) quoted above is an earlier snapshot whose filename was not recorded and which is no longer on the share; it is kept only as history. The index grows between reads, so every use quotes filename, row count, date and full hash, and all three snapshots are recorded in the BBM-STD-51 register.</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461"/>
        <w:gridCol w:w="3797"/>
        <w:gridCol w:w="4208"/>
      </w:tblGrid>
      <w:tr>
        <w:trPr>
          <w:cantSplit/>
          <w:tblHeader/>
        </w:trPr>
        <w:tc>
          <w:tcPr>
            <w:tcW w:type="dxa" w:w="2461"/>
            <w:shd w:val="clear" w:color="auto" w:fill="111113"/>
          </w:tcPr>
          <w:p>
            <w:r>
              <w:rPr>
                <w:b/>
                <w:color w:val="FFFFFF"/>
                <w:sz w:val="17"/>
              </w:rPr>
            </w:r>
            <w:r>
              <w:rPr>
                <w:b/>
                <w:color w:val="FFFFFF"/>
                <w:sz w:val="17"/>
              </w:rPr>
              <w:t>Property</w:t>
            </w:r>
          </w:p>
        </w:tc>
        <w:tc>
          <w:tcPr>
            <w:tcW w:type="dxa" w:w="3797"/>
            <w:shd w:val="clear" w:color="auto" w:fill="111113"/>
          </w:tcPr>
          <w:p>
            <w:r>
              <w:rPr>
                <w:b/>
                <w:color w:val="FFFFFF"/>
                <w:sz w:val="17"/>
              </w:rPr>
            </w:r>
            <w:r>
              <w:rPr>
                <w:b/>
                <w:color w:val="FFFFFF"/>
                <w:sz w:val="17"/>
              </w:rPr>
              <w:t>Observed definition and GUID</w:t>
            </w:r>
          </w:p>
        </w:tc>
        <w:tc>
          <w:tcPr>
            <w:tcW w:type="dxa" w:w="4208"/>
            <w:shd w:val="clear" w:color="auto" w:fill="111113"/>
          </w:tcPr>
          <w:p>
            <w:r>
              <w:rPr>
                <w:b/>
                <w:color w:val="FFFFFF"/>
                <w:sz w:val="17"/>
              </w:rPr>
            </w:r>
            <w:r>
              <w:rPr>
                <w:b/>
                <w:color w:val="FFFFFF"/>
                <w:sz w:val="17"/>
              </w:rPr>
              <w:t>Proposed use and qualification</w:t>
            </w:r>
          </w:p>
        </w:tc>
      </w:tr>
      <w:tr>
        <w:trPr>
          <w:cantSplit/>
        </w:trPr>
        <w:tc>
          <w:tcPr>
            <w:tcW w:type="dxa" w:w="2461"/>
          </w:tcPr>
          <w:p>
            <w:r>
              <w:rPr>
                <w:sz w:val="17"/>
              </w:rPr>
            </w:r>
            <w:r>
              <w:rPr>
                <w:sz w:val="17"/>
              </w:rPr>
              <w:t>P72-002 Classification_Code</w:t>
            </w:r>
          </w:p>
        </w:tc>
        <w:tc>
          <w:tcPr>
            <w:tcW w:type="dxa" w:w="3797"/>
          </w:tcPr>
          <w:p>
            <w:r>
              <w:rPr>
                <w:sz w:val="17"/>
              </w:rPr>
            </w:r>
            <w:r>
              <w:rPr>
                <w:sz w:val="17"/>
              </w:rPr>
              <w:t>Classification.Uniclass.Pr.Number; 8212e2e8-d020-4127-bada-a9cc7f5f4dcc; TEXT</w:t>
            </w:r>
          </w:p>
        </w:tc>
        <w:tc>
          <w:tcPr>
            <w:tcW w:type="dxa" w:w="4208"/>
          </w:tcPr>
          <w:p>
            <w:r>
              <w:rPr>
                <w:sz w:val="17"/>
              </w:rPr>
            </w:r>
            <w:r>
              <w:rPr>
                <w:sz w:val="17"/>
              </w:rPr>
              <w:t>Type when every occurrence shares the product code; exact Pr table/​release</w:t>
            </w:r>
          </w:p>
        </w:tc>
      </w:tr>
      <w:tr>
        <w:trPr>
          <w:cantSplit/>
        </w:trPr>
        <w:tc>
          <w:tcPr>
            <w:tcW w:type="dxa" w:w="2461"/>
          </w:tcPr>
          <w:p>
            <w:r>
              <w:rPr>
                <w:sz w:val="17"/>
              </w:rPr>
            </w:r>
            <w:r>
              <w:rPr>
                <w:sz w:val="17"/>
              </w:rPr>
              <w:t>P72-004 SystemClassification_Code</w:t>
            </w:r>
          </w:p>
        </w:tc>
        <w:tc>
          <w:tcPr>
            <w:tcW w:type="dxa" w:w="3797"/>
          </w:tcPr>
          <w:p>
            <w:r>
              <w:rPr>
                <w:sz w:val="17"/>
              </w:rPr>
            </w:r>
            <w:r>
              <w:rPr>
                <w:sz w:val="17"/>
              </w:rPr>
              <w:t>Classification.Uniclass.Ss.Number; f16eb500-0976-4c80-b5d1-082470821ef8; TEXT</w:t>
            </w:r>
          </w:p>
        </w:tc>
        <w:tc>
          <w:tcPr>
            <w:tcW w:type="dxa" w:w="4208"/>
          </w:tcPr>
          <w:p>
            <w:r>
              <w:rPr>
                <w:sz w:val="17"/>
              </w:rPr>
            </w:r>
            <w:r>
              <w:rPr>
                <w:sz w:val="17"/>
              </w:rPr>
              <w:t>Separate Systems meaning; never overwrite Products code</w:t>
            </w:r>
          </w:p>
        </w:tc>
      </w:tr>
      <w:tr>
        <w:trPr>
          <w:cantSplit/>
        </w:trPr>
        <w:tc>
          <w:tcPr>
            <w:tcW w:type="dxa" w:w="2461"/>
          </w:tcPr>
          <w:p>
            <w:r>
              <w:rPr>
                <w:sz w:val="17"/>
              </w:rPr>
            </w:r>
            <w:r>
              <w:rPr>
                <w:sz w:val="17"/>
              </w:rPr>
              <w:t>P72-006 Zone_ID</w:t>
            </w:r>
          </w:p>
        </w:tc>
        <w:tc>
          <w:tcPr>
            <w:tcW w:type="dxa" w:w="3797"/>
          </w:tcPr>
          <w:p>
            <w:r>
              <w:rPr>
                <w:sz w:val="17"/>
              </w:rPr>
            </w:r>
            <w:r>
              <w:rPr>
                <w:sz w:val="17"/>
              </w:rPr>
              <w:t>ZONE; b74c1318-b14e-496c-b132-cef36e96a24e; TEXT</w:t>
            </w:r>
          </w:p>
        </w:tc>
        <w:tc>
          <w:tcPr>
            <w:tcW w:type="dxa" w:w="4208"/>
          </w:tcPr>
          <w:p>
            <w:r>
              <w:rPr>
                <w:sz w:val="17"/>
              </w:rPr>
            </w:r>
            <w:r>
              <w:rPr>
                <w:sz w:val="17"/>
              </w:rPr>
              <w:t>Instance only where applicable; join controlled zone register</w:t>
            </w:r>
          </w:p>
        </w:tc>
      </w:tr>
      <w:tr>
        <w:trPr>
          <w:cantSplit/>
        </w:trPr>
        <w:tc>
          <w:tcPr>
            <w:tcW w:type="dxa" w:w="2461"/>
          </w:tcPr>
          <w:p>
            <w:r>
              <w:rPr>
                <w:sz w:val="17"/>
              </w:rPr>
            </w:r>
            <w:r>
              <w:rPr>
                <w:sz w:val="17"/>
              </w:rPr>
              <w:t>P72-008 DesignFlow_m3_s</w:t>
            </w:r>
          </w:p>
        </w:tc>
        <w:tc>
          <w:tcPr>
            <w:tcW w:type="dxa" w:w="3797"/>
          </w:tcPr>
          <w:p>
            <w:r>
              <w:rPr>
                <w:sz w:val="17"/>
              </w:rPr>
            </w:r>
            <w:r>
              <w:rPr>
                <w:sz w:val="17"/>
              </w:rPr>
              <w:t>AIR-FLOW; fe7d605e-a591-46a0-8078-2906c565f42b; TEXT</w:t>
            </w:r>
          </w:p>
        </w:tc>
        <w:tc>
          <w:tcPr>
            <w:tcW w:type="dxa" w:w="4208"/>
          </w:tcPr>
          <w:p>
            <w:r>
              <w:rPr>
                <w:sz w:val="17"/>
              </w:rPr>
            </w:r>
            <w:r>
              <w:rPr>
                <w:sz w:val="17"/>
              </w:rPr>
              <w:t>Legacy source is text, not a native flow spec. Parse only an approved unit-bearing source; do not change its datatype in place</w:t>
            </w:r>
          </w:p>
        </w:tc>
      </w:tr>
      <w:tr>
        <w:trPr>
          <w:cantSplit/>
        </w:trPr>
        <w:tc>
          <w:tcPr>
            <w:tcW w:type="dxa" w:w="2461"/>
          </w:tcPr>
          <w:p>
            <w:r>
              <w:rPr>
                <w:sz w:val="17"/>
              </w:rPr>
            </w:r>
            <w:r>
              <w:rPr>
                <w:sz w:val="17"/>
              </w:rPr>
              <w:t>P72-001 Asset_ID</w:t>
            </w:r>
          </w:p>
        </w:tc>
        <w:tc>
          <w:tcPr>
            <w:tcW w:type="dxa" w:w="3797"/>
          </w:tcPr>
          <w:p>
            <w:r>
              <w:rPr>
                <w:sz w:val="17"/>
              </w:rPr>
            </w:r>
            <w:r>
              <w:rPr>
                <w:sz w:val="17"/>
              </w:rPr>
              <w:t>No unambiguous canonical shared definition established</w:t>
            </w:r>
          </w:p>
        </w:tc>
        <w:tc>
          <w:tcPr>
            <w:tcW w:type="dxa" w:w="4208"/>
          </w:tcPr>
          <w:p>
            <w:r>
              <w:rPr>
                <w:sz w:val="17"/>
              </w:rPr>
            </w:r>
            <w:r>
              <w:rPr>
                <w:sz w:val="17"/>
              </w:rPr>
              <w:t>Reconcile existing model/​family definitions and identity meanings before allocating; native tag/​export activation held</w:t>
            </w:r>
          </w:p>
        </w:tc>
      </w:tr>
    </w:tbl>
    <w:p/>
    <w:p>
      <w:pPr/>
      <w:r>
        <w:t>The TXT describes definitions and groups, not actual project category bindings or whether a parameter is instance/type. Every binding above is proposed until a protected project/family inspection records categories, scope, spec/group, shared GUID, tag label and schedule field identity. Use the same definition GUID in the element and compatible tag. A parameter recreated with the same name is a different definition. Retain existing values, export a before snapshot, approve migration, reload only an isolated specimen, and compare after values and identities before rollout.</w:t>
      </w:r>
    </w:p>
    <w:p>
      <w:pPr/>
      <w:r>
        <w:t xml:space="preserve">For AIR-FLOW, the fixture </w:t>
      </w:r>
      <w:r>
        <w:rPr>
          <w:rFonts w:ascii="JetBrains Mono" w:hAnsi="JetBrains Mono"/>
        </w:rPr>
        <w:t>1200 L/s</w:t>
      </w:r>
      <w:r>
        <w:t xml:space="preserve"> converts to </w:t>
      </w:r>
      <w:r>
        <w:rPr>
          <w:rFonts w:ascii="JetBrains Mono" w:hAnsi="JetBrains Mono"/>
        </w:rPr>
        <w:t>1.2 m3/s</w:t>
      </w:r>
      <w:r>
        <w:t xml:space="preserve"> by dividing by 1000. Bare </w:t>
      </w:r>
      <w:r>
        <w:rPr>
          <w:rFonts w:ascii="JetBrains Mono" w:hAnsi="JetBrains Mono"/>
        </w:rPr>
        <w:t>1200</w:t>
      </w:r>
      <w:r>
        <w:t>, a mixed decimal separator or an unknown unit is rejected. Preserve the legacy text/GUID and record the approved output conversion. If a native measurable-flow parameter is required, the curator must govern a new compatible identity/migration and prove tags, formulas and exports; it is not allocated by this pack. No formula may silently substitute zero for missing/inapplicable information.</w:t>
      </w:r>
    </w:p>
    <w:p>
      <w:pPr>
        <w:pStyle w:val="Heading1"/>
      </w:pPr>
      <w:r>
        <w:t>3 Classification and managed mappings</w:t>
      </w:r>
    </w:p>
    <w:p>
      <w:pPr/>
      <w:r>
        <w:t xml:space="preserve">Retain Uniclass 2015 as the office default; the canonical fields are Classification_Code plus ClassificationTable/Title/Release (O-DEC-116), and "Assembly Code" or "Classification Code (Uniclass)" are mapped aliases. For this draft fixture freeze the July 2026 release: Products Pr v1.43 and Systems Ss v1.43 for objects, Spaces/locations SL v1.36 for rooms, areas and zones, and Activities Ac v1.27 where activities are classified; NBS's live download page showed these releases on 2026-10-16 and again on 2026-11-04. The same release-pinning rule applies to every table. NBS tables use CC BY-ND 4.0: retain attribution, release and unmodified table identity; keep office mappings separately and do not add local codes to an NBS table. Actual adopted table files/hashes and licence review are required before activation; the Uniclass licence is held once as a LicenceID (LIC-nnn) entry in </w:t>
      </w:r>
      <w:r>
        <w:rPr>
          <w:color w:val="9A7B45"/>
          <w:u w:val="single"/>
        </w:rPr>
        <w:t>BBM-STD-94</w:t>
      </w:r>
      <w:r>
        <w:t xml:space="preserve"> and each pinned table file records that ID. Classification is purpose-led under </w:t>
      </w:r>
      <w:r>
        <w:rPr>
          <w:color w:val="9A7B45"/>
          <w:u w:val="single"/>
        </w:rPr>
        <w:t>BBM-STD-54</w:t>
      </w:r>
      <w:r>
        <w:t>, not a universal requirement for every object.</w:t>
      </w:r>
    </w:p>
    <w:p>
      <w:pPr/>
      <w:r>
        <w:t xml:space="preserve">Dictionary concepts follow ISO 12006-3:2022 (the object-oriented framework behind the buildingSMART Data Dictionary, bSDD) together with ISO 23386:2020 and ISO 23387:2025. Each Dictionary row carries an optional </w:t>
      </w:r>
      <w:r>
        <w:rPr>
          <w:rFonts w:ascii="JetBrains Mono" w:hAnsi="JetBrains Mono"/>
        </w:rPr>
        <w:t>bSDD_URI</w:t>
      </w:r>
      <w:r>
        <w:t>: where an office property matches a published bSDD property, record its URI and dictionary version; where none matches, the row stays office-only and is not published to bSDD by this standard.</w:t>
      </w:r>
    </w:p>
    <w:p>
      <w:pPr/>
      <w:r>
        <w:t>Library-only exception: the detail library (BBM-STD-70) keeps its pinned MasterFormat section/folder classification because its published IDs depend on it. MasterFormat is not an office classification; each detail carries a Uniclass Pr/Ss mapping with the pinned release, and the curator records the MasterFormat edition actually used.</w:t>
      </w:r>
    </w:p>
    <w:p>
      <w:pPr/>
      <w:r>
        <w:t>The observed library storage-unit example uses Pr_40_30_87 and Ss_40_15_35_80. NBS's live taxon pages confirm their titles, but do not validate all 568 library rows. In the synthetic SYN-CAB01 fixture the product code describes the cabinet and the Ss code describes its system context. The native library row remains source evidence, not the synthetic project itself. An IFC class is not a Uniclass code.</w:t>
      </w:r>
    </w:p>
    <w:p>
      <w:pPr/>
      <w:r>
        <w:t>For client/authority/cost mappings record FromSystem/Table/Release/Code, ToSystem/Table/Release/Code, relationship (exact/broader/narrower/none), purpose, evidence, reviewer and effective ChangeID. No one-to-one mapping is presumed. ADM's October 2020 Code of Practice section 4.2 refers to Uniformat II; that is an appointment-specific interface requiring its exact adopted issue and scope, not authority to replace the office Pr/Ss fields. Unknown target codes hold affected exchanges. On any classification update, compare adds/retirements/renames, affected type/instance counts, requirements, schedules, exports and recipients; approve/retest before making it effective. Preserve old received classifications and the historical crosswalk.</w:t>
      </w:r>
    </w:p>
    <w:p>
      <w:pPr>
        <w:pStyle w:val="Heading1"/>
      </w:pPr>
      <w:r>
        <w:t>4 Controlled definition file formulas and lookup assets</w:t>
      </w:r>
    </w:p>
    <w:p>
      <w:pPr/>
      <w:r>
        <w:t>The server TXT stays the observed master candidate until its owner adopts a named revision/hash. Only the curator may release changes through the supported Revit UI/API; authors do not hand-edit shared definitions or switch to an uncontrolled personal file. Register dictionary revision, TXT URI/hash/encoding, binding-table revision, lookup assets, authoring full build, change owner and approval as one release dependency set. A model already containing definitions must be reconciled; pointing at a TXT does not update stored model values.</w:t>
      </w:r>
    </w:p>
    <w:p>
      <w:pPr/>
      <w:r>
        <w:t xml:space="preserve">Lookup specification SYN-LK72 R01 has CSV header </w:t>
      </w:r>
      <w:r>
        <w:rPr>
          <w:rFonts w:ascii="JetBrains Mono" w:hAnsi="JetBrains Mono"/>
        </w:rPr>
        <w:t>TypeKey,NominalDiameter##length##millimeters</w:t>
      </w:r>
      <w:r>
        <w:t>, unique keys SYN-V50 and SYN-V80 and values 50 and 80. This is a fixture specification; no lookup asset is loaded. Qualify exact Revit size-lookup syntax/encoding/build and missing-key behavior in isolation. Fail on duplicate keys or unsupported units. Derived test property Flow_L_s = DesignFlow_m3_s * 1000 is a schedule/export calculation with m3/s-to-L/s provenance; it is not an additional independently editable source. Native category/spec/formula restrictions must be tested. Record tag family/revision/GUID, schedule field, itemisation, sorting/filtering, totals and display precision; a grouped count cannot prove per-instance uniqueness.</w:t>
      </w:r>
    </w:p>
    <w:p>
      <w:pPr>
        <w:pStyle w:val="Heading1"/>
      </w:pPr>
      <w:r>
        <w:t>5 IFC IDS COBie cost and asset destinations</w:t>
      </w:r>
    </w:p>
    <w:p>
      <w:pPr/>
      <w:r>
        <w:t xml:space="preserve">The Mappings tab defines candidate paths by PropertyID with schema/profile revision, applicability, units, conversion and null handling. Use separate IFC classification associations for Pr and Ss under the agreed exchange profile. Asset_ID maps to the explicitly agreed BBM_Exchange.Asset_ID custom-property route and proposed COBie Component.Name; native UniqueId/IFC GlobalId remain distinct identifiers in the crosswalk. These are office profile proposals, not standard IFC/COBie property claims. Define the exact IFC schema/entity/property set (default IFC 4.0.2.1 Reference View, O-DEC-105), IDS 1.0 requirement/checker per </w:t>
      </w:r>
      <w:r>
        <w:rPr>
          <w:color w:val="9A7B45"/>
          <w:u w:val="single"/>
        </w:rPr>
        <w:t>BBM-STD-89</w:t>
      </w:r>
      <w:r>
        <w:t xml:space="preserve"> and COBie edition/import fields (version as specified in the EIR; default COBie 2.4, NBIMS-US V3, unless the EIR names COBie v3, O-DEC-114) before use. No schema name proves exporter/receiver capability.</w:t>
      </w:r>
    </w:p>
    <w:p>
      <w:pPr/>
      <w:r>
        <w:t xml:space="preserve">Mappings profile DM-PERMIT: for a Dubai Municipality BIM permit submission (circular 9-1-2 of 13 Oct 2023; circular 9-1-3 of 15 Jan 2026, effective 1 Apr 2026) the Mappings tab maps PropertyIDs to the Model Attribute Matrix issued with the current Dubai BIM Standard (buildindubai.gov.ae/bim), downloaded at project start and recorded in the BEP information-requirements section with its file hash. The profile stays on Hold until that matrix is downloaded; no attribute name is invented from secondary sources. Triggers and the submission route are owned by </w:t>
      </w:r>
      <w:r>
        <w:rPr>
          <w:color w:val="9A7B45"/>
          <w:u w:val="single"/>
        </w:rPr>
        <w:t>BBM-STD-85</w:t>
      </w:r>
      <w:r>
        <w:t xml:space="preserve"> and BBM-STD-57.</w:t>
      </w:r>
    </w:p>
    <w:p>
      <w:pPr/>
      <w:r>
        <w:t>Where native scope is Type and destination is occurrence, retain occurrence-to-type joins and test every relevant occurrence. Do not apply one type's value indiscriminately to mixed classifications. Cost/asset systems receive quantities/units and stable foreign keys under their selected dictionary; no prices are included here. Keep missing, unknown, withheld and not applicable distinct. A mandatory applicable blank fails; an inapplicable valve airflow can be N/A with its rule. IDS checks agreed information requirements; geometry, conversion correctness, source truth, safety and full application acceptance require separate checks.</w:t>
      </w:r>
    </w:p>
    <w:p>
      <w:pPr>
        <w:pStyle w:val="Heading1"/>
      </w:pPr>
      <w:r>
        <w:t>6 Filled examples tests and release</w:t>
      </w:r>
    </w:p>
    <w:p>
      <w:pPr/>
      <w:r>
        <w:t>The workbook contains a synthetic cabinet classification example and the three AIR/EIR asset records AHU-001, VLV-001 and VLV-002; source revisions are R01. Dictionary, Binding, Mapping and Alias joins are explicit. The Examples tab is a test specification, not an exported native payload. Classification for the mechanical fixture remains not required by its narrow EIR; do not invent a code merely to fill a cell. Independent adverse tests reset from the positive fixture: missing Asset_ID, duplicate asset key, same-name/different-GUID tag, wrong flow unit, Pr/Ss confusion, lost export value and incompatible lookup key.</w:t>
      </w:r>
    </w:p>
    <w:p>
      <w:pPr/>
      <w:r>
        <w:t>Before use, record exact input/output hashes, authoring/export/receiving full builds and presets, operator/date and evidence for native category binding, itemised schedule, tag identity, lookup/formula behavior, IFC/classification and recipient reimport. Compare every mandatory applicable field and identifier/value/unit against the approved snapshot. Producer check, independent technical review, submission authorisation and recipient scoped acceptance are separate records. Unresolved mandatory failures hold affected release regardless of an overall coverage percentage. All actual tests here remain Not executed; no RFA/RVT/IFC/IDS/COBie native asset is delivered or claimed ready.</w:t>
      </w:r>
    </w:p>
    <w:p>
      <w:pPr>
        <w:pStyle w:val="Heading1"/>
      </w:pPr>
      <w:r>
        <w:t>References</w:t>
      </w:r>
    </w:p>
    <w:p>
      <w:pPr>
        <w:pStyle w:val="ListParagraph"/>
        <w:spacing w:after="40"/>
        <w:ind w:left="360" w:hanging="240"/>
      </w:pPr>
      <w:r>
        <w:t xml:space="preserve">•  </w:t>
      </w:r>
      <w:r>
        <w:t xml:space="preserve">Office baseline: Manual V0.5 §3.2, BEP V0.5 §8.6/8.11, BBM-STD-51/54/55, </w:t>
      </w:r>
      <w:r>
        <w:rPr>
          <w:color w:val="9A7B45"/>
          <w:u w:val="single"/>
        </w:rPr>
        <w:t>code dictionary BBM-STD-93</w:t>
      </w:r>
      <w:r>
        <w:t xml:space="preserve"> and matrix SG-067..069. Read-only source paths/hashes above.</w:t>
      </w:r>
    </w:p>
    <w:p>
      <w:pPr>
        <w:pStyle w:val="ListParagraph"/>
        <w:spacing w:after="40"/>
        <w:ind w:left="360" w:hanging="240"/>
      </w:pPr>
      <w:r>
        <w:t xml:space="preserve">•  </w:t>
      </w:r>
      <w:r>
        <w:t xml:space="preserve">ISO 19650-1:2018 clauses 5/11 and ISO 19650-2:2018 clauses 5.1.4/5.6 reading pointers, </w:t>
      </w:r>
      <w:hyperlink r:id="rId15">
        <w:r>
          <w:rPr>
            <w:color w:val="9A7B45"/>
            <w:u w:val="single"/>
          </w:rPr>
          <w:t>ISO catalogue</w:t>
        </w:r>
      </w:hyperlink>
      <w:r>
        <w:t xml:space="preserve">, </w:t>
      </w:r>
      <w:hyperlink r:id="rId16">
        <w:r>
          <w:rPr>
            <w:color w:val="9A7B45"/>
            <w:u w:val="single"/>
          </w:rPr>
          <w:t>delivery catalogue</w:t>
        </w:r>
      </w:hyperlink>
      <w:r>
        <w:t xml:space="preserve">. Clause context also </w:t>
      </w:r>
      <w:hyperlink r:id="rId17">
        <w:r>
          <w:rPr>
            <w:color w:val="9A7B45"/>
            <w:u w:val="single"/>
          </w:rPr>
          <w:t>IMI Framework (formerly UK BIM Framework, renamed May 2025) archived Guidance Part 2 ed.5</w:t>
        </w:r>
      </w:hyperlink>
      <w:r>
        <w:t>. Catalogue/public guidance is not licensed conformity audit.</w:t>
      </w:r>
    </w:p>
    <w:p>
      <w:pPr>
        <w:pStyle w:val="ListParagraph"/>
        <w:spacing w:after="40"/>
        <w:ind w:left="360" w:hanging="240"/>
      </w:pPr>
      <w:r>
        <w:t xml:space="preserve">•  </w:t>
      </w:r>
      <w:hyperlink r:id="rId18">
        <w:r>
          <w:rPr>
            <w:color w:val="9A7B45"/>
            <w:u w:val="single"/>
          </w:rPr>
          <w:t>ISO 23386:2020</w:t>
        </w:r>
      </w:hyperlink>
      <w:r>
        <w:t xml:space="preserve">, </w:t>
      </w:r>
      <w:hyperlink r:id="rId19">
        <w:r>
          <w:rPr>
            <w:color w:val="9A7B45"/>
            <w:u w:val="single"/>
          </w:rPr>
          <w:t>ISO 23387:2025</w:t>
        </w:r>
      </w:hyperlink>
      <w:r>
        <w:t xml:space="preserve">, </w:t>
      </w:r>
      <w:hyperlink r:id="rId20">
        <w:r>
          <w:rPr>
            <w:color w:val="9A7B45"/>
            <w:u w:val="single"/>
          </w:rPr>
          <w:t>ISO 12006-2:2015</w:t>
        </w:r>
      </w:hyperlink>
      <w:r>
        <w:t xml:space="preserve"> (last confirmed 2020; to be revised, checked 2026-11-05), </w:t>
      </w:r>
      <w:hyperlink r:id="rId21">
        <w:r>
          <w:rPr>
            <w:color w:val="9A7B45"/>
            <w:u w:val="single"/>
          </w:rPr>
          <w:t>ISO 12006-3:2022</w:t>
        </w:r>
      </w:hyperlink>
      <w:r>
        <w:t xml:space="preserve">: property/template/classification governance, checked 2026-11-04; detailed licensed clauses require confirmation. </w:t>
      </w:r>
      <w:hyperlink r:id="rId22">
        <w:r>
          <w:rPr>
            <w:color w:val="9A7B45"/>
            <w:u w:val="single"/>
          </w:rPr>
          <w:t>bSDD search</w:t>
        </w:r>
      </w:hyperlink>
      <w:r>
        <w:t xml:space="preserve"> for URIs, checked 2026-11-04.</w:t>
      </w:r>
    </w:p>
    <w:p>
      <w:pPr>
        <w:pStyle w:val="ListParagraph"/>
        <w:spacing w:after="40"/>
        <w:ind w:left="360" w:hanging="240"/>
      </w:pPr>
      <w:r>
        <w:t xml:space="preserve">•  </w:t>
      </w:r>
      <w:hyperlink r:id="rId23">
        <w:r>
          <w:rPr>
            <w:color w:val="9A7B45"/>
            <w:u w:val="single"/>
          </w:rPr>
          <w:t>NBS downloads and licence</w:t>
        </w:r>
      </w:hyperlink>
      <w:r>
        <w:t xml:space="preserve">, </w:t>
      </w:r>
      <w:hyperlink r:id="rId24">
        <w:r>
          <w:rPr>
            <w:color w:val="9A7B45"/>
            <w:u w:val="single"/>
          </w:rPr>
          <w:t>Products example</w:t>
        </w:r>
      </w:hyperlink>
      <w:r>
        <w:t xml:space="preserve">, </w:t>
      </w:r>
      <w:hyperlink r:id="rId25">
        <w:r>
          <w:rPr>
            <w:color w:val="9A7B45"/>
            <w:u w:val="single"/>
          </w:rPr>
          <w:t>Systems example</w:t>
        </w:r>
      </w:hyperlink>
      <w:r>
        <w:t>, live checked 2026-10-16; July 2026 release (Pr v1.43, Ss v1.43, SL v1.36, Ac v1.27) checked 2026-11-04.</w:t>
      </w:r>
    </w:p>
    <w:p>
      <w:pPr>
        <w:pStyle w:val="ListParagraph"/>
        <w:spacing w:after="40"/>
        <w:ind w:left="360" w:hanging="240"/>
      </w:pPr>
      <w:r>
        <w:t xml:space="preserve">•  </w:t>
      </w:r>
      <w:hyperlink r:id="rId26">
        <w:r>
          <w:rPr>
            <w:color w:val="9A7B45"/>
            <w:u w:val="single"/>
          </w:rPr>
          <w:t>Autodesk shared files</w:t>
        </w:r>
      </w:hyperlink>
      <w:r>
        <w:t xml:space="preserve">, </w:t>
      </w:r>
      <w:hyperlink r:id="rId27">
        <w:r>
          <w:rPr>
            <w:color w:val="9A7B45"/>
            <w:u w:val="single"/>
          </w:rPr>
          <w:t>shared project binding</w:t>
        </w:r>
      </w:hyperlink>
      <w:r>
        <w:t xml:space="preserve">, </w:t>
      </w:r>
      <w:hyperlink r:id="rId28">
        <w:r>
          <w:rPr>
            <w:color w:val="9A7B45"/>
            <w:u w:val="single"/>
          </w:rPr>
          <w:t>definition identity</w:t>
        </w:r>
      </w:hyperlink>
      <w:r>
        <w:t>: concepts, not installed-build proof.</w:t>
      </w:r>
    </w:p>
    <w:p>
      <w:pPr>
        <w:pStyle w:val="ListParagraph"/>
        <w:spacing w:after="40"/>
        <w:ind w:left="360" w:hanging="240"/>
      </w:pPr>
      <w:r>
        <w:t xml:space="preserve">•  </w:t>
      </w:r>
      <w:hyperlink r:id="rId29">
        <w:r>
          <w:rPr>
            <w:color w:val="9A7B45"/>
            <w:u w:val="single"/>
          </w:rPr>
          <w:t>buildingSMART IFC</w:t>
        </w:r>
      </w:hyperlink>
      <w:r>
        <w:t xml:space="preserve"> and </w:t>
      </w:r>
      <w:hyperlink r:id="rId30">
        <w:r>
          <w:rPr>
            <w:color w:val="9A7B45"/>
            <w:u w:val="single"/>
          </w:rPr>
          <w:t>IDS</w:t>
        </w:r>
      </w:hyperlink>
      <w:r>
        <w:t>: schema and requirement checking context; IDS 1.0 final, June 2024 (</w:t>
      </w:r>
      <w:hyperlink r:id="rId31">
        <w:r>
          <w:rPr>
            <w:color w:val="9A7B45"/>
            <w:u w:val="single"/>
          </w:rPr>
          <w:t>releases</w:t>
        </w:r>
      </w:hyperlink>
      <w:r>
        <w:t>, checked 2026-11-04).</w:t>
      </w:r>
    </w:p>
    <w:p>
      <w:pPr>
        <w:pStyle w:val="ListParagraph"/>
        <w:spacing w:after="40"/>
        <w:ind w:left="360" w:hanging="240"/>
      </w:pPr>
      <w:r>
        <w:t xml:space="preserve">•  </w:t>
      </w:r>
      <w:r>
        <w:t xml:space="preserve">Dubai BIM permit circulars, checked 2026-11-04: </w:t>
      </w:r>
      <w:hyperlink r:id="rId32">
        <w:r>
          <w:rPr>
            <w:color w:val="9A7B45"/>
            <w:u w:val="single"/>
          </w:rPr>
          <w:t>DM circular 9-1-2 (13 Oct 2023)</w:t>
        </w:r>
      </w:hyperlink>
      <w:r>
        <w:t xml:space="preserve">; </w:t>
      </w:r>
      <w:hyperlink r:id="rId33">
        <w:r>
          <w:rPr>
            <w:color w:val="9A7B45"/>
            <w:u w:val="single"/>
          </w:rPr>
          <w:t>DM circular 9-1-3 (15 Jan 2026)</w:t>
        </w:r>
      </w:hyperlink>
      <w:r>
        <w:t>. Neither circular states an IFC version or attribute list; both come from the current Dubai BIM Standard.</w:t>
      </w:r>
    </w:p>
    <w:p>
      <w:pPr>
        <w:pStyle w:val="ListParagraph"/>
        <w:spacing w:after="40"/>
        <w:ind w:left="360" w:hanging="240"/>
      </w:pPr>
      <w:r>
        <w:t xml:space="preserve">•  </w:t>
      </w:r>
      <w:hyperlink r:id="rId34">
        <w:r>
          <w:rPr>
            <w:color w:val="9A7B45"/>
            <w:u w:val="single"/>
          </w:rPr>
          <w:t>ISO 7817-1:2024</w:t>
        </w:r>
      </w:hyperlink>
      <w:r>
        <w:t xml:space="preserve">, current researched LOIN basis; BS EN 17412-1:2020 is the legacy predecessor. Preserve any appointment edition pending controlled change; </w:t>
      </w:r>
      <w:hyperlink r:id="rId35">
        <w:r>
          <w:rPr>
            <w:color w:val="9A7B45"/>
            <w:u w:val="single"/>
          </w:rPr>
          <w:t>BSI predecessor record</w:t>
        </w:r>
      </w:hyperlink>
      <w:r>
        <w:t>.</w:t>
      </w:r>
    </w:p>
    <w:p>
      <w:pPr>
        <w:pStyle w:val="ListParagraph"/>
        <w:spacing w:after="40"/>
        <w:ind w:left="360" w:hanging="240"/>
      </w:pPr>
      <w:r>
        <w:t xml:space="preserve">•  </w:t>
      </w:r>
      <w:hyperlink r:id="rId36">
        <w:r>
          <w:rPr>
            <w:color w:val="9A7B45"/>
            <w:u w:val="single"/>
          </w:rPr>
          <w:t>ADM Code of Practice October 2020</w:t>
        </w:r>
      </w:hyperlink>
      <w:r>
        <w:t>, sections 3.3 and 4.2; confirm cover/header version discrepancy and applicability with BBM-STD-57.</w:t>
      </w:r>
    </w:p>
    <w:sectPr w:rsidR="00922C46" w:rsidSect="00922C46">
      <w:headerReference w:type="default" r:id="rId8"/>
      <w:footerReference w:type="default" r:id="rId9"/>
      <w:headerReference w:type="first" r:id="rId10"/>
      <w:pgSz w:w="11906" w:h="16838"/>
      <w:pgMar w:top="1701" w:right="720" w:bottom="720" w:left="720" w:header="454" w:footer="20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C3B23" w14:textId="77777777" w:rsidR="00721C27" w:rsidRDefault="00721C27" w:rsidP="00CB352A">
      <w:pPr>
        <w:spacing w:after="0" w:line="240" w:lineRule="auto"/>
      </w:pPr>
      <w:r>
        <w:separator/>
      </w:r>
    </w:p>
  </w:endnote>
  <w:endnote w:type="continuationSeparator" w:id="0">
    <w:p w14:paraId="311C7F5C" w14:textId="77777777" w:rsidR="00721C27" w:rsidRDefault="00721C27" w:rsidP="00CB3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Inter">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038748"/>
      <w:docPartObj>
        <w:docPartGallery w:val="Page Numbers (Bottom of Page)"/>
        <w:docPartUnique/>
      </w:docPartObj>
    </w:sdtPr>
    <w:sdtEndPr>
      <w:rPr>
        <w:color w:val="7F7F7F" w:themeColor="background1" w:themeShade="7F"/>
        <w:spacing w:val="60"/>
      </w:rPr>
    </w:sdtEndPr>
    <w:sdtContent>
      <w:p w14:paraId="71233345" w14:textId="16A281E0" w:rsidR="00F66F4B" w:rsidRDefault="00F66F4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B1D756A" w14:textId="666CA5D8" w:rsidR="00F66F4B" w:rsidRDefault="00F66F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9EE4E" w14:textId="77777777" w:rsidR="00721C27" w:rsidRDefault="00721C27" w:rsidP="00CB352A">
      <w:pPr>
        <w:spacing w:after="0" w:line="240" w:lineRule="auto"/>
      </w:pPr>
      <w:r>
        <w:separator/>
      </w:r>
    </w:p>
  </w:footnote>
  <w:footnote w:type="continuationSeparator" w:id="0">
    <w:p w14:paraId="12244030" w14:textId="77777777" w:rsidR="00721C27" w:rsidRDefault="00721C27" w:rsidP="00CB35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28C6C" w14:textId="515D1FCF" w:rsidR="00CB352A" w:rsidRDefault="009C7B28">
    <w:pPr>
      <w:pStyle w:val="Header"/>
      <w:rPr>
        <w:b/>
        <w:bCs/>
      </w:rP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58240" behindDoc="0" locked="0" layoutInCell="1" allowOverlap="1" wp14:anchorId="0228A8AB" wp14:editId="336A9345">
          <wp:simplePos x="0" y="0"/>
          <wp:positionH relativeFrom="margin">
            <wp:align>right</wp:align>
          </wp:positionH>
          <wp:positionV relativeFrom="page">
            <wp:posOffset>288000</wp:posOffset>
          </wp:positionV>
          <wp:extent cx="900000" cy="282750"/>
          <wp:effectExtent l="0" t="0" r="0" b="9525"/>
          <wp:wrapNone/>
          <wp:docPr id="923870934"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r w:rsidR="0089320F" w:rsidRPr="0089320F">
      <w:rPr>
        <w:b/>
        <w:bCs/>
      </w:rPr>
      <w:t>BBM-BIM | BBM-STD-72-PARAMETERS_AND_CLASSIFICATION-V0.3</w:t>
    </w:r>
    <w:r w:rsidR="00A018A2">
      <w:rPr>
        <w:b/>
        <w:bCs/>
      </w:rPr>
    </w:r>
    <w:r w:rsidR="00050B13">
      <w:rPr>
        <w:b/>
        <w:bCs/>
      </w:rPr>
    </w:r>
  </w:p>
  <w:p w14:paraId="6DEDEFD4" w14:textId="77777777" w:rsidR="00F66F4B" w:rsidRDefault="00F66F4B">
    <w:pPr>
      <w:pStyle w:val="Header"/>
      <w:rPr>
        <w:b/>
        <w:bCs/>
      </w:rPr>
    </w:pPr>
  </w:p>
  <w:p w14:paraId="1F087E3B" w14:textId="77777777" w:rsidR="0089320F" w:rsidRPr="0089320F" w:rsidRDefault="0089320F">
    <w:pPr>
      <w:pStyle w:val="Header"/>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3CAFC" w14:textId="11F1D81D" w:rsidR="0038312B" w:rsidRDefault="0038312B">
    <w:pPr>
      <w:pStyle w:val="Heade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60288" behindDoc="0" locked="0" layoutInCell="1" allowOverlap="1" wp14:anchorId="05FC8F1B" wp14:editId="450AA59F">
          <wp:simplePos x="0" y="0"/>
          <wp:positionH relativeFrom="margin">
            <wp:align>right</wp:align>
          </wp:positionH>
          <wp:positionV relativeFrom="page">
            <wp:posOffset>288000</wp:posOffset>
          </wp:positionV>
          <wp:extent cx="900000" cy="282750"/>
          <wp:effectExtent l="0" t="0" r="0" b="9525"/>
          <wp:wrapNone/>
          <wp:docPr id="1296434436"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5CB5"/>
    <w:multiLevelType w:val="multilevel"/>
    <w:tmpl w:val="A9BE5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BE5580"/>
    <w:multiLevelType w:val="multilevel"/>
    <w:tmpl w:val="9F8C4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810C3F"/>
    <w:multiLevelType w:val="multilevel"/>
    <w:tmpl w:val="FDB47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1F5278"/>
    <w:multiLevelType w:val="multilevel"/>
    <w:tmpl w:val="D27A30C0"/>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5E607D4"/>
    <w:multiLevelType w:val="multilevel"/>
    <w:tmpl w:val="0F58E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D22449"/>
    <w:multiLevelType w:val="multilevel"/>
    <w:tmpl w:val="7FDA3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291BE1"/>
    <w:multiLevelType w:val="multilevel"/>
    <w:tmpl w:val="9A982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B16DFE"/>
    <w:multiLevelType w:val="multilevel"/>
    <w:tmpl w:val="10F84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480DBE"/>
    <w:multiLevelType w:val="multilevel"/>
    <w:tmpl w:val="C8506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E3636F"/>
    <w:multiLevelType w:val="multilevel"/>
    <w:tmpl w:val="DA9E6A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1543BB"/>
    <w:multiLevelType w:val="multilevel"/>
    <w:tmpl w:val="19F65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B2324D"/>
    <w:multiLevelType w:val="multilevel"/>
    <w:tmpl w:val="FC3899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3A2E07"/>
    <w:multiLevelType w:val="multilevel"/>
    <w:tmpl w:val="E2403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EBD2A97"/>
    <w:multiLevelType w:val="multilevel"/>
    <w:tmpl w:val="43A21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C43213"/>
    <w:multiLevelType w:val="multilevel"/>
    <w:tmpl w:val="84809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0B110E8"/>
    <w:multiLevelType w:val="multilevel"/>
    <w:tmpl w:val="80524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0C465B0"/>
    <w:multiLevelType w:val="multilevel"/>
    <w:tmpl w:val="C0504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49A7D33"/>
    <w:multiLevelType w:val="hybridMultilevel"/>
    <w:tmpl w:val="ACE66CBA"/>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18" w15:restartNumberingAfterBreak="0">
    <w:nsid w:val="187B4E90"/>
    <w:multiLevelType w:val="multilevel"/>
    <w:tmpl w:val="5EAA3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F47AEF"/>
    <w:multiLevelType w:val="multilevel"/>
    <w:tmpl w:val="0CD46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F651B91"/>
    <w:multiLevelType w:val="multilevel"/>
    <w:tmpl w:val="9998F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8076E0"/>
    <w:multiLevelType w:val="multilevel"/>
    <w:tmpl w:val="9A4E1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1916E4C"/>
    <w:multiLevelType w:val="multilevel"/>
    <w:tmpl w:val="73085B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983E25"/>
    <w:multiLevelType w:val="multilevel"/>
    <w:tmpl w:val="9FD661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49F27FC"/>
    <w:multiLevelType w:val="multilevel"/>
    <w:tmpl w:val="43102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5CE0CD0"/>
    <w:multiLevelType w:val="hybridMultilevel"/>
    <w:tmpl w:val="877C0468"/>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26" w15:restartNumberingAfterBreak="0">
    <w:nsid w:val="25E45045"/>
    <w:multiLevelType w:val="multilevel"/>
    <w:tmpl w:val="6D222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8BD15BC"/>
    <w:multiLevelType w:val="multilevel"/>
    <w:tmpl w:val="E4B21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A054ACD"/>
    <w:multiLevelType w:val="multilevel"/>
    <w:tmpl w:val="A5BE0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BBE48F0"/>
    <w:multiLevelType w:val="multilevel"/>
    <w:tmpl w:val="A142F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EDA1723"/>
    <w:multiLevelType w:val="hybridMultilevel"/>
    <w:tmpl w:val="1AD011EC"/>
    <w:lvl w:ilvl="0" w:tplc="498CDACA">
      <w:numFmt w:val="bullet"/>
      <w:lvlText w:val="•"/>
      <w:lvlJc w:val="left"/>
      <w:pPr>
        <w:ind w:left="720" w:hanging="360"/>
      </w:pPr>
      <w:rPr>
        <w:rFonts w:ascii="Times New Roman" w:eastAsia="Times New Roman" w:hAnsi="Times New Roman" w:cs="Times New Roman"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1" w15:restartNumberingAfterBreak="0">
    <w:nsid w:val="30B418A3"/>
    <w:multiLevelType w:val="multilevel"/>
    <w:tmpl w:val="93280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13038C1"/>
    <w:multiLevelType w:val="multilevel"/>
    <w:tmpl w:val="252A2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1D27B7E"/>
    <w:multiLevelType w:val="multilevel"/>
    <w:tmpl w:val="BB3A3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33824DB"/>
    <w:multiLevelType w:val="hybridMultilevel"/>
    <w:tmpl w:val="BD40DAA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5" w15:restartNumberingAfterBreak="0">
    <w:nsid w:val="35AC3C79"/>
    <w:multiLevelType w:val="hybridMultilevel"/>
    <w:tmpl w:val="743EF4BA"/>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6" w15:restartNumberingAfterBreak="0">
    <w:nsid w:val="3CE442A6"/>
    <w:multiLevelType w:val="hybridMultilevel"/>
    <w:tmpl w:val="25DCC4CC"/>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7" w15:restartNumberingAfterBreak="0">
    <w:nsid w:val="3D203C6B"/>
    <w:multiLevelType w:val="multilevel"/>
    <w:tmpl w:val="482E79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E80033A"/>
    <w:multiLevelType w:val="multilevel"/>
    <w:tmpl w:val="F54CE6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F990FD6"/>
    <w:multiLevelType w:val="multilevel"/>
    <w:tmpl w:val="5DB6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5B207C1"/>
    <w:multiLevelType w:val="multilevel"/>
    <w:tmpl w:val="3F588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74743A6"/>
    <w:multiLevelType w:val="multilevel"/>
    <w:tmpl w:val="0464C7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89D6270"/>
    <w:multiLevelType w:val="multilevel"/>
    <w:tmpl w:val="493859AE"/>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B37442B"/>
    <w:multiLevelType w:val="multilevel"/>
    <w:tmpl w:val="DCC4D0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D4D4C7F"/>
    <w:multiLevelType w:val="multilevel"/>
    <w:tmpl w:val="F8B8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D6C620A"/>
    <w:multiLevelType w:val="multilevel"/>
    <w:tmpl w:val="D01A0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DA02F28"/>
    <w:multiLevelType w:val="hybridMultilevel"/>
    <w:tmpl w:val="89589A58"/>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7" w15:restartNumberingAfterBreak="0">
    <w:nsid w:val="510A30BE"/>
    <w:multiLevelType w:val="multilevel"/>
    <w:tmpl w:val="387A2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1D07053"/>
    <w:multiLevelType w:val="hybridMultilevel"/>
    <w:tmpl w:val="753CE6EA"/>
    <w:lvl w:ilvl="0" w:tplc="137A8158">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9" w15:restartNumberingAfterBreak="0">
    <w:nsid w:val="51F9764D"/>
    <w:multiLevelType w:val="hybridMultilevel"/>
    <w:tmpl w:val="6D90A5F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0" w15:restartNumberingAfterBreak="0">
    <w:nsid w:val="53257493"/>
    <w:multiLevelType w:val="multilevel"/>
    <w:tmpl w:val="1862EF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55033D6"/>
    <w:multiLevelType w:val="multilevel"/>
    <w:tmpl w:val="C024A6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5DF1E1A"/>
    <w:multiLevelType w:val="multilevel"/>
    <w:tmpl w:val="EA0AF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7897B19"/>
    <w:multiLevelType w:val="hybridMultilevel"/>
    <w:tmpl w:val="C5142CA6"/>
    <w:lvl w:ilvl="0" w:tplc="D1F2EEA4">
      <w:numFmt w:val="bullet"/>
      <w:lvlText w:val="•"/>
      <w:lvlJc w:val="left"/>
      <w:pPr>
        <w:ind w:left="720" w:hanging="360"/>
      </w:pPr>
      <w:rPr>
        <w:rFonts w:ascii="Aptos" w:eastAsiaTheme="minorHAnsi" w:hAnsi="Aptos"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4" w15:restartNumberingAfterBreak="0">
    <w:nsid w:val="58987667"/>
    <w:multiLevelType w:val="multilevel"/>
    <w:tmpl w:val="44282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A4841AC"/>
    <w:multiLevelType w:val="multilevel"/>
    <w:tmpl w:val="65D41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C154B9E"/>
    <w:multiLevelType w:val="multilevel"/>
    <w:tmpl w:val="3EDCE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CF446D6"/>
    <w:multiLevelType w:val="multilevel"/>
    <w:tmpl w:val="9AE83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DA12C63"/>
    <w:multiLevelType w:val="multilevel"/>
    <w:tmpl w:val="19BA55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EA64FFB"/>
    <w:multiLevelType w:val="multilevel"/>
    <w:tmpl w:val="4BEC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F26775D"/>
    <w:multiLevelType w:val="multilevel"/>
    <w:tmpl w:val="0DCCC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F4C2599"/>
    <w:multiLevelType w:val="multilevel"/>
    <w:tmpl w:val="13B8F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07C44F1"/>
    <w:multiLevelType w:val="multilevel"/>
    <w:tmpl w:val="3CC6F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43467FE"/>
    <w:multiLevelType w:val="multilevel"/>
    <w:tmpl w:val="9522E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DB57CDF"/>
    <w:multiLevelType w:val="multilevel"/>
    <w:tmpl w:val="72E67D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E964972"/>
    <w:multiLevelType w:val="multilevel"/>
    <w:tmpl w:val="C3AC1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0511F6D"/>
    <w:multiLevelType w:val="multilevel"/>
    <w:tmpl w:val="9BEC2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123172F"/>
    <w:multiLevelType w:val="multilevel"/>
    <w:tmpl w:val="12B65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4BE5B37"/>
    <w:multiLevelType w:val="multilevel"/>
    <w:tmpl w:val="27C63A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8180DFE"/>
    <w:multiLevelType w:val="multilevel"/>
    <w:tmpl w:val="176CF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83555A3"/>
    <w:multiLevelType w:val="multilevel"/>
    <w:tmpl w:val="1EF28A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9CD7C91"/>
    <w:multiLevelType w:val="multilevel"/>
    <w:tmpl w:val="0FC41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9D12550"/>
    <w:multiLevelType w:val="multilevel"/>
    <w:tmpl w:val="5F00E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9FC1C66"/>
    <w:multiLevelType w:val="hybridMultilevel"/>
    <w:tmpl w:val="6246873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4" w15:restartNumberingAfterBreak="0">
    <w:nsid w:val="7BAE16B6"/>
    <w:multiLevelType w:val="hybridMultilevel"/>
    <w:tmpl w:val="E8164416"/>
    <w:lvl w:ilvl="0" w:tplc="D52ED5B4">
      <w:numFmt w:val="bullet"/>
      <w:lvlText w:val="•"/>
      <w:lvlJc w:val="left"/>
      <w:pPr>
        <w:ind w:left="720" w:hanging="360"/>
      </w:pPr>
      <w:rPr>
        <w:rFonts w:ascii="Times New Roman" w:eastAsia="Times New Roman" w:hAnsi="Times New Roman" w:cs="Times New Roman" w:hint="default"/>
        <w:b/>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5" w15:restartNumberingAfterBreak="0">
    <w:nsid w:val="7D3F25B3"/>
    <w:multiLevelType w:val="multilevel"/>
    <w:tmpl w:val="EA4893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EC23B7E"/>
    <w:multiLevelType w:val="multilevel"/>
    <w:tmpl w:val="416C6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EF26A17"/>
    <w:multiLevelType w:val="hybridMultilevel"/>
    <w:tmpl w:val="E7F42ABC"/>
    <w:lvl w:ilvl="0" w:tplc="51D0EC10">
      <w:start w:val="2"/>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8" w15:restartNumberingAfterBreak="0">
    <w:nsid w:val="7EFD14F4"/>
    <w:multiLevelType w:val="hybridMultilevel"/>
    <w:tmpl w:val="1E980114"/>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9" w15:restartNumberingAfterBreak="0">
    <w:nsid w:val="7F303287"/>
    <w:multiLevelType w:val="multilevel"/>
    <w:tmpl w:val="2EBA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8837531">
    <w:abstractNumId w:val="11"/>
  </w:num>
  <w:num w:numId="2" w16cid:durableId="1351297986">
    <w:abstractNumId w:val="53"/>
  </w:num>
  <w:num w:numId="3" w16cid:durableId="1365397943">
    <w:abstractNumId w:val="56"/>
  </w:num>
  <w:num w:numId="4" w16cid:durableId="2071027318">
    <w:abstractNumId w:val="75"/>
  </w:num>
  <w:num w:numId="5" w16cid:durableId="210533793">
    <w:abstractNumId w:val="32"/>
  </w:num>
  <w:num w:numId="6" w16cid:durableId="445732298">
    <w:abstractNumId w:val="61"/>
  </w:num>
  <w:num w:numId="7" w16cid:durableId="133573405">
    <w:abstractNumId w:val="30"/>
  </w:num>
  <w:num w:numId="8" w16cid:durableId="574585613">
    <w:abstractNumId w:val="74"/>
  </w:num>
  <w:num w:numId="9" w16cid:durableId="1349478103">
    <w:abstractNumId w:val="59"/>
  </w:num>
  <w:num w:numId="10" w16cid:durableId="2110003057">
    <w:abstractNumId w:val="45"/>
  </w:num>
  <w:num w:numId="11" w16cid:durableId="1874147494">
    <w:abstractNumId w:val="28"/>
  </w:num>
  <w:num w:numId="12" w16cid:durableId="2079087691">
    <w:abstractNumId w:val="3"/>
  </w:num>
  <w:num w:numId="13" w16cid:durableId="1823153762">
    <w:abstractNumId w:val="36"/>
  </w:num>
  <w:num w:numId="14" w16cid:durableId="1909921589">
    <w:abstractNumId w:val="12"/>
  </w:num>
  <w:num w:numId="15" w16cid:durableId="641083692">
    <w:abstractNumId w:val="77"/>
  </w:num>
  <w:num w:numId="16" w16cid:durableId="1245065181">
    <w:abstractNumId w:val="21"/>
  </w:num>
  <w:num w:numId="17" w16cid:durableId="398945280">
    <w:abstractNumId w:val="14"/>
  </w:num>
  <w:num w:numId="18" w16cid:durableId="16122890">
    <w:abstractNumId w:val="42"/>
  </w:num>
  <w:num w:numId="19" w16cid:durableId="1635210469">
    <w:abstractNumId w:val="25"/>
  </w:num>
  <w:num w:numId="20" w16cid:durableId="218126872">
    <w:abstractNumId w:val="17"/>
  </w:num>
  <w:num w:numId="21" w16cid:durableId="1801800760">
    <w:abstractNumId w:val="34"/>
  </w:num>
  <w:num w:numId="22" w16cid:durableId="1988775808">
    <w:abstractNumId w:val="47"/>
  </w:num>
  <w:num w:numId="23" w16cid:durableId="471681732">
    <w:abstractNumId w:val="27"/>
  </w:num>
  <w:num w:numId="24" w16cid:durableId="1064639593">
    <w:abstractNumId w:val="72"/>
  </w:num>
  <w:num w:numId="25" w16cid:durableId="2090497845">
    <w:abstractNumId w:val="23"/>
  </w:num>
  <w:num w:numId="26" w16cid:durableId="1181160950">
    <w:abstractNumId w:val="66"/>
  </w:num>
  <w:num w:numId="27" w16cid:durableId="1095247099">
    <w:abstractNumId w:val="26"/>
  </w:num>
  <w:num w:numId="28" w16cid:durableId="1520775121">
    <w:abstractNumId w:val="55"/>
  </w:num>
  <w:num w:numId="29" w16cid:durableId="600991068">
    <w:abstractNumId w:val="29"/>
  </w:num>
  <w:num w:numId="30" w16cid:durableId="1683556577">
    <w:abstractNumId w:val="51"/>
  </w:num>
  <w:num w:numId="31" w16cid:durableId="974061579">
    <w:abstractNumId w:val="43"/>
  </w:num>
  <w:num w:numId="32" w16cid:durableId="1131433968">
    <w:abstractNumId w:val="50"/>
  </w:num>
  <w:num w:numId="33" w16cid:durableId="512912934">
    <w:abstractNumId w:val="58"/>
  </w:num>
  <w:num w:numId="34" w16cid:durableId="1647661682">
    <w:abstractNumId w:val="5"/>
  </w:num>
  <w:num w:numId="35" w16cid:durableId="973022565">
    <w:abstractNumId w:val="24"/>
  </w:num>
  <w:num w:numId="36" w16cid:durableId="2025981299">
    <w:abstractNumId w:val="37"/>
  </w:num>
  <w:num w:numId="37" w16cid:durableId="60642266">
    <w:abstractNumId w:val="31"/>
  </w:num>
  <w:num w:numId="38" w16cid:durableId="2132359830">
    <w:abstractNumId w:val="9"/>
  </w:num>
  <w:num w:numId="39" w16cid:durableId="313875134">
    <w:abstractNumId w:val="38"/>
  </w:num>
  <w:num w:numId="40" w16cid:durableId="1400589230">
    <w:abstractNumId w:val="1"/>
  </w:num>
  <w:num w:numId="41" w16cid:durableId="2120292575">
    <w:abstractNumId w:val="22"/>
  </w:num>
  <w:num w:numId="42" w16cid:durableId="1371876170">
    <w:abstractNumId w:val="57"/>
  </w:num>
  <w:num w:numId="43" w16cid:durableId="1466267942">
    <w:abstractNumId w:val="62"/>
  </w:num>
  <w:num w:numId="44" w16cid:durableId="3631326">
    <w:abstractNumId w:val="4"/>
  </w:num>
  <w:num w:numId="45" w16cid:durableId="1991057930">
    <w:abstractNumId w:val="41"/>
  </w:num>
  <w:num w:numId="46" w16cid:durableId="664094968">
    <w:abstractNumId w:val="76"/>
  </w:num>
  <w:num w:numId="47" w16cid:durableId="1739940048">
    <w:abstractNumId w:val="49"/>
  </w:num>
  <w:num w:numId="48" w16cid:durableId="286551571">
    <w:abstractNumId w:val="16"/>
  </w:num>
  <w:num w:numId="49" w16cid:durableId="846596105">
    <w:abstractNumId w:val="40"/>
  </w:num>
  <w:num w:numId="50" w16cid:durableId="510607186">
    <w:abstractNumId w:val="63"/>
  </w:num>
  <w:num w:numId="51" w16cid:durableId="12155379">
    <w:abstractNumId w:val="2"/>
  </w:num>
  <w:num w:numId="52" w16cid:durableId="1045834822">
    <w:abstractNumId w:val="54"/>
  </w:num>
  <w:num w:numId="53" w16cid:durableId="804196552">
    <w:abstractNumId w:val="73"/>
  </w:num>
  <w:num w:numId="54" w16cid:durableId="178736295">
    <w:abstractNumId w:val="10"/>
  </w:num>
  <w:num w:numId="55" w16cid:durableId="1877966397">
    <w:abstractNumId w:val="46"/>
  </w:num>
  <w:num w:numId="56" w16cid:durableId="1944485735">
    <w:abstractNumId w:val="8"/>
  </w:num>
  <w:num w:numId="57" w16cid:durableId="1237714374">
    <w:abstractNumId w:val="35"/>
  </w:num>
  <w:num w:numId="58" w16cid:durableId="165638271">
    <w:abstractNumId w:val="78"/>
  </w:num>
  <w:num w:numId="59" w16cid:durableId="881479234">
    <w:abstractNumId w:val="48"/>
  </w:num>
  <w:num w:numId="60" w16cid:durableId="861405408">
    <w:abstractNumId w:val="18"/>
  </w:num>
  <w:num w:numId="61" w16cid:durableId="1968507311">
    <w:abstractNumId w:val="52"/>
  </w:num>
  <w:num w:numId="62" w16cid:durableId="726805067">
    <w:abstractNumId w:val="7"/>
  </w:num>
  <w:num w:numId="63" w16cid:durableId="694841789">
    <w:abstractNumId w:val="19"/>
  </w:num>
  <w:num w:numId="64" w16cid:durableId="628516054">
    <w:abstractNumId w:val="69"/>
  </w:num>
  <w:num w:numId="65" w16cid:durableId="1222668138">
    <w:abstractNumId w:val="65"/>
  </w:num>
  <w:num w:numId="66" w16cid:durableId="1019281562">
    <w:abstractNumId w:val="70"/>
  </w:num>
  <w:num w:numId="67" w16cid:durableId="1271547946">
    <w:abstractNumId w:val="20"/>
  </w:num>
  <w:num w:numId="68" w16cid:durableId="726295327">
    <w:abstractNumId w:val="64"/>
  </w:num>
  <w:num w:numId="69" w16cid:durableId="831221370">
    <w:abstractNumId w:val="68"/>
  </w:num>
  <w:num w:numId="70" w16cid:durableId="137649203">
    <w:abstractNumId w:val="44"/>
  </w:num>
  <w:num w:numId="71" w16cid:durableId="1085299768">
    <w:abstractNumId w:val="71"/>
  </w:num>
  <w:num w:numId="72" w16cid:durableId="1020814749">
    <w:abstractNumId w:val="79"/>
  </w:num>
  <w:num w:numId="73" w16cid:durableId="1082262486">
    <w:abstractNumId w:val="33"/>
  </w:num>
  <w:num w:numId="74" w16cid:durableId="1776947863">
    <w:abstractNumId w:val="67"/>
  </w:num>
  <w:num w:numId="75" w16cid:durableId="115297018">
    <w:abstractNumId w:val="60"/>
  </w:num>
  <w:num w:numId="76" w16cid:durableId="23871195">
    <w:abstractNumId w:val="39"/>
  </w:num>
  <w:num w:numId="77" w16cid:durableId="2099859680">
    <w:abstractNumId w:val="13"/>
  </w:num>
  <w:num w:numId="78" w16cid:durableId="900794897">
    <w:abstractNumId w:val="0"/>
  </w:num>
  <w:num w:numId="79" w16cid:durableId="2037386573">
    <w:abstractNumId w:val="15"/>
  </w:num>
  <w:num w:numId="80" w16cid:durableId="11658962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7A1"/>
    <w:rsid w:val="00011DE7"/>
    <w:rsid w:val="00014181"/>
    <w:rsid w:val="00015002"/>
    <w:rsid w:val="00031E93"/>
    <w:rsid w:val="00050B13"/>
    <w:rsid w:val="00071679"/>
    <w:rsid w:val="000B77CC"/>
    <w:rsid w:val="000D2CAD"/>
    <w:rsid w:val="000D3F31"/>
    <w:rsid w:val="000E40BB"/>
    <w:rsid w:val="00106139"/>
    <w:rsid w:val="001344DE"/>
    <w:rsid w:val="00135631"/>
    <w:rsid w:val="001455B9"/>
    <w:rsid w:val="00166022"/>
    <w:rsid w:val="001921A6"/>
    <w:rsid w:val="001C3FBF"/>
    <w:rsid w:val="001E35E1"/>
    <w:rsid w:val="0024151C"/>
    <w:rsid w:val="00244E2A"/>
    <w:rsid w:val="002B62CB"/>
    <w:rsid w:val="002B72A5"/>
    <w:rsid w:val="002E22B1"/>
    <w:rsid w:val="002E26B1"/>
    <w:rsid w:val="002E7B1C"/>
    <w:rsid w:val="003465B5"/>
    <w:rsid w:val="00381C02"/>
    <w:rsid w:val="0038312B"/>
    <w:rsid w:val="00384EA1"/>
    <w:rsid w:val="00386C78"/>
    <w:rsid w:val="003E3D4A"/>
    <w:rsid w:val="003F0FED"/>
    <w:rsid w:val="0044196E"/>
    <w:rsid w:val="0046252B"/>
    <w:rsid w:val="004A6153"/>
    <w:rsid w:val="004B0410"/>
    <w:rsid w:val="004C5116"/>
    <w:rsid w:val="004F0F2D"/>
    <w:rsid w:val="00584E33"/>
    <w:rsid w:val="005C3D0B"/>
    <w:rsid w:val="005C6025"/>
    <w:rsid w:val="00603D1F"/>
    <w:rsid w:val="00606DB4"/>
    <w:rsid w:val="00670C60"/>
    <w:rsid w:val="00675752"/>
    <w:rsid w:val="006A3C85"/>
    <w:rsid w:val="006F2333"/>
    <w:rsid w:val="00721C27"/>
    <w:rsid w:val="0072403D"/>
    <w:rsid w:val="00811E67"/>
    <w:rsid w:val="0081580C"/>
    <w:rsid w:val="008246ED"/>
    <w:rsid w:val="00832F4E"/>
    <w:rsid w:val="00836FBF"/>
    <w:rsid w:val="008449E9"/>
    <w:rsid w:val="00872D61"/>
    <w:rsid w:val="00884127"/>
    <w:rsid w:val="0089320F"/>
    <w:rsid w:val="00922C46"/>
    <w:rsid w:val="009C7B28"/>
    <w:rsid w:val="009E6369"/>
    <w:rsid w:val="009F2E66"/>
    <w:rsid w:val="009F657F"/>
    <w:rsid w:val="00A018A2"/>
    <w:rsid w:val="00A11121"/>
    <w:rsid w:val="00A267E2"/>
    <w:rsid w:val="00A8584F"/>
    <w:rsid w:val="00AA67BF"/>
    <w:rsid w:val="00AA7E9A"/>
    <w:rsid w:val="00AB36A2"/>
    <w:rsid w:val="00AD592D"/>
    <w:rsid w:val="00B26407"/>
    <w:rsid w:val="00B82C0A"/>
    <w:rsid w:val="00BA4935"/>
    <w:rsid w:val="00BB2E0C"/>
    <w:rsid w:val="00BF5F8A"/>
    <w:rsid w:val="00BF6C96"/>
    <w:rsid w:val="00C10D76"/>
    <w:rsid w:val="00C128AF"/>
    <w:rsid w:val="00C47258"/>
    <w:rsid w:val="00C62CFE"/>
    <w:rsid w:val="00C90F45"/>
    <w:rsid w:val="00CB352A"/>
    <w:rsid w:val="00CC064F"/>
    <w:rsid w:val="00CF67A1"/>
    <w:rsid w:val="00D04E04"/>
    <w:rsid w:val="00D50B5A"/>
    <w:rsid w:val="00D676C0"/>
    <w:rsid w:val="00D76C48"/>
    <w:rsid w:val="00DD0AC6"/>
    <w:rsid w:val="00DE2E50"/>
    <w:rsid w:val="00E070CA"/>
    <w:rsid w:val="00E07122"/>
    <w:rsid w:val="00E61CAC"/>
    <w:rsid w:val="00E74AA0"/>
    <w:rsid w:val="00E86154"/>
    <w:rsid w:val="00E868BF"/>
    <w:rsid w:val="00E94A0E"/>
    <w:rsid w:val="00EA0679"/>
    <w:rsid w:val="00EA3575"/>
    <w:rsid w:val="00EC0C97"/>
    <w:rsid w:val="00ED53F1"/>
    <w:rsid w:val="00F3602F"/>
    <w:rsid w:val="00F66F4B"/>
    <w:rsid w:val="00F861B0"/>
    <w:rsid w:val="00F93E7C"/>
    <w:rsid w:val="00FA2C09"/>
    <w:rsid w:val="00FA42A9"/>
    <w:rsid w:val="00FF75AA"/>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4A9A19"/>
  <w15:chartTrackingRefBased/>
  <w15:docId w15:val="{97BBD25F-B166-4413-9BF0-9496AD416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C78"/>
    <w:rPr>
      <w:rFonts w:ascii="Inter" w:hAnsi="Inter" w:eastAsia="Inter" w:cs="Inter"/>
      <w:color w:val="14130F"/>
      <w:sz w:val="20"/>
    </w:rPr>
  </w:style>
  <w:style w:type="paragraph" w:styleId="Heading1">
    <w:name w:val="heading 1"/>
    <w:basedOn w:val="Normal"/>
    <w:next w:val="Normal"/>
    <w:link w:val="Heading1Char"/>
    <w:autoRedefine/>
    <w:uiPriority w:val="9"/>
    <w:qFormat/>
    <w:rsid w:val="009C7B28"/>
    <w:pPr>
      <w:keepNext/>
      <w:keepLines/>
      <w:spacing w:before="360" w:after="80"/>
      <w:outlineLvl w:val="0"/>
    </w:pPr>
    <w:rPr>
      <w:rFonts w:ascii="Inter" w:eastAsiaTheme="majorEastAsia" w:hAnsi="Inter" w:cstheme="majorBidi" w:eastAsia="Inter" w:cs="Inter"/>
      <w:b/>
      <w:color w:val="9A7B45"/>
      <w:sz w:val="32"/>
      <w:szCs w:val="40"/>
    </w:rPr>
  </w:style>
  <w:style w:type="paragraph" w:styleId="Heading2">
    <w:name w:val="heading 2"/>
    <w:basedOn w:val="Normal"/>
    <w:next w:val="Normal"/>
    <w:link w:val="Heading2Char"/>
    <w:autoRedefine/>
    <w:uiPriority w:val="9"/>
    <w:unhideWhenUsed/>
    <w:qFormat/>
    <w:rsid w:val="00386C78"/>
    <w:pPr>
      <w:keepNext/>
      <w:keepLines/>
      <w:tabs>
        <w:tab w:val="left" w:pos="1080"/>
      </w:tabs>
      <w:spacing w:before="280" w:after="200"/>
      <w:outlineLvl w:val="1"/>
    </w:pPr>
    <w:rPr>
      <w:rFonts w:ascii="Inter" w:eastAsiaTheme="majorEastAsia" w:hAnsi="Inter" w:cstheme="majorBidi" w:eastAsia="Inter" w:cs="Inter"/>
      <w:b/>
      <w:color w:val="14130F"/>
      <w:sz w:val="26"/>
      <w:szCs w:val="32"/>
    </w:rPr>
  </w:style>
  <w:style w:type="paragraph" w:styleId="Heading3">
    <w:name w:val="heading 3"/>
    <w:basedOn w:val="Normal"/>
    <w:next w:val="Normal"/>
    <w:link w:val="Heading3Char"/>
    <w:uiPriority w:val="9"/>
    <w:unhideWhenUsed/>
    <w:qFormat/>
    <w:rsid w:val="002E26B1"/>
    <w:pPr>
      <w:keepNext/>
      <w:keepLines/>
      <w:spacing w:before="160" w:after="80"/>
      <w:outlineLvl w:val="2"/>
    </w:pPr>
    <w:rPr>
      <w:rFonts w:eastAsiaTheme="majorEastAsia" w:cstheme="majorBidi" w:ascii="Inter" w:hAnsi="Inter" w:eastAsia="Inter" w:cs="Inter"/>
      <w:b/>
      <w:color w:val="111113"/>
      <w:sz w:val="22"/>
      <w:szCs w:val="28"/>
    </w:rPr>
  </w:style>
  <w:style w:type="paragraph" w:styleId="Heading4">
    <w:name w:val="heading 4"/>
    <w:basedOn w:val="Normal"/>
    <w:next w:val="Normal"/>
    <w:link w:val="Heading4Char"/>
    <w:uiPriority w:val="9"/>
    <w:semiHidden/>
    <w:unhideWhenUsed/>
    <w:qFormat/>
    <w:rsid w:val="00CF67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67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67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67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67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67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B28"/>
    <w:rPr>
      <w:rFonts w:ascii="Verdana" w:eastAsiaTheme="majorEastAsia" w:hAnsi="Verdana" w:cstheme="majorBidi"/>
      <w:b/>
      <w:color w:val="FF3300"/>
      <w:sz w:val="28"/>
      <w:szCs w:val="40"/>
    </w:rPr>
  </w:style>
  <w:style w:type="character" w:customStyle="1" w:styleId="Heading2Char">
    <w:name w:val="Heading 2 Char"/>
    <w:basedOn w:val="DefaultParagraphFont"/>
    <w:link w:val="Heading2"/>
    <w:uiPriority w:val="9"/>
    <w:rsid w:val="0024151C"/>
    <w:rPr>
      <w:rFonts w:ascii="Verdana" w:eastAsiaTheme="majorEastAsia" w:hAnsi="Verdana" w:cstheme="majorBidi"/>
      <w:b/>
      <w:color w:val="1C1C1C"/>
      <w:sz w:val="28"/>
      <w:szCs w:val="32"/>
    </w:rPr>
  </w:style>
  <w:style w:type="character" w:customStyle="1" w:styleId="Heading3Char">
    <w:name w:val="Heading 3 Char"/>
    <w:basedOn w:val="DefaultParagraphFont"/>
    <w:link w:val="Heading3"/>
    <w:uiPriority w:val="9"/>
    <w:rsid w:val="002E26B1"/>
    <w:rPr>
      <w:rFonts w:eastAsiaTheme="majorEastAsia" w:cstheme="majorBidi"/>
      <w:color w:val="000000" w:themeColor="text1"/>
      <w:szCs w:val="28"/>
    </w:rPr>
  </w:style>
  <w:style w:type="character" w:customStyle="1" w:styleId="Heading4Char">
    <w:name w:val="Heading 4 Char"/>
    <w:basedOn w:val="DefaultParagraphFont"/>
    <w:link w:val="Heading4"/>
    <w:uiPriority w:val="9"/>
    <w:semiHidden/>
    <w:rsid w:val="00CF67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67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67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67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67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67A1"/>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9C7B28"/>
    <w:pPr>
      <w:spacing w:after="80" w:line="240" w:lineRule="auto"/>
      <w:contextualSpacing/>
      <w:jc w:val="center"/>
    </w:pPr>
    <w:rPr>
      <w:rFonts w:ascii="Inter" w:eastAsiaTheme="majorEastAsia" w:hAnsi="Inter" w:cstheme="majorBidi" w:eastAsia="Inter" w:cs="Inter"/>
      <w:b/>
      <w:color w:val="9A7B45"/>
      <w:spacing w:val="-10"/>
      <w:kern w:val="28"/>
      <w:sz w:val="52"/>
      <w:szCs w:val="56"/>
    </w:rPr>
  </w:style>
  <w:style w:type="character" w:customStyle="1" w:styleId="TitleChar">
    <w:name w:val="Title Char"/>
    <w:basedOn w:val="DefaultParagraphFont"/>
    <w:link w:val="Title"/>
    <w:uiPriority w:val="10"/>
    <w:rsid w:val="009C7B28"/>
    <w:rPr>
      <w:rFonts w:ascii="Verdana" w:eastAsiaTheme="majorEastAsia" w:hAnsi="Verdana" w:cstheme="majorBidi"/>
      <w:b/>
      <w:spacing w:val="-10"/>
      <w:kern w:val="28"/>
      <w:sz w:val="28"/>
      <w:szCs w:val="56"/>
    </w:rPr>
  </w:style>
  <w:style w:type="paragraph" w:styleId="Subtitle">
    <w:name w:val="Subtitle"/>
    <w:basedOn w:val="Normal"/>
    <w:next w:val="Normal"/>
    <w:link w:val="SubtitleChar"/>
    <w:uiPriority w:val="11"/>
    <w:qFormat/>
    <w:rsid w:val="00CF67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67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67A1"/>
    <w:pPr>
      <w:spacing w:before="160"/>
      <w:jc w:val="center"/>
    </w:pPr>
    <w:rPr>
      <w:i/>
      <w:iCs/>
      <w:color w:val="404040" w:themeColor="text1" w:themeTint="BF"/>
    </w:rPr>
  </w:style>
  <w:style w:type="character" w:customStyle="1" w:styleId="QuoteChar">
    <w:name w:val="Quote Char"/>
    <w:basedOn w:val="DefaultParagraphFont"/>
    <w:link w:val="Quote"/>
    <w:uiPriority w:val="29"/>
    <w:rsid w:val="00CF67A1"/>
    <w:rPr>
      <w:i/>
      <w:iCs/>
      <w:color w:val="404040" w:themeColor="text1" w:themeTint="BF"/>
    </w:rPr>
  </w:style>
  <w:style w:type="paragraph" w:styleId="ListParagraph">
    <w:name w:val="List Paragraph"/>
    <w:basedOn w:val="Normal"/>
    <w:uiPriority w:val="34"/>
    <w:qFormat/>
    <w:rsid w:val="00CF67A1"/>
    <w:pPr>
      <w:ind w:left="720"/>
      <w:contextualSpacing/>
    </w:pPr>
    <w:rPr>
      <w:rFonts w:ascii="Inter" w:hAnsi="Inter" w:eastAsia="Inter" w:cs="Inter"/>
    </w:rPr>
  </w:style>
  <w:style w:type="character" w:styleId="IntenseEmphasis">
    <w:name w:val="Intense Emphasis"/>
    <w:basedOn w:val="DefaultParagraphFont"/>
    <w:uiPriority w:val="21"/>
    <w:qFormat/>
    <w:rsid w:val="00CF67A1"/>
    <w:rPr>
      <w:i/>
      <w:iCs/>
      <w:color w:val="0F4761" w:themeColor="accent1" w:themeShade="BF"/>
    </w:rPr>
  </w:style>
  <w:style w:type="paragraph" w:styleId="IntenseQuote">
    <w:name w:val="Intense Quote"/>
    <w:basedOn w:val="Normal"/>
    <w:next w:val="Normal"/>
    <w:link w:val="IntenseQuoteChar"/>
    <w:uiPriority w:val="30"/>
    <w:qFormat/>
    <w:rsid w:val="00CF67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67A1"/>
    <w:rPr>
      <w:i/>
      <w:iCs/>
      <w:color w:val="0F4761" w:themeColor="accent1" w:themeShade="BF"/>
    </w:rPr>
  </w:style>
  <w:style w:type="character" w:styleId="IntenseReference">
    <w:name w:val="Intense Reference"/>
    <w:basedOn w:val="DefaultParagraphFont"/>
    <w:uiPriority w:val="32"/>
    <w:qFormat/>
    <w:rsid w:val="00CF67A1"/>
    <w:rPr>
      <w:b/>
      <w:bCs/>
      <w:smallCaps/>
      <w:color w:val="0F4761" w:themeColor="accent1" w:themeShade="BF"/>
      <w:spacing w:val="5"/>
    </w:rPr>
  </w:style>
  <w:style w:type="paragraph" w:styleId="Header">
    <w:name w:val="header"/>
    <w:basedOn w:val="Normal"/>
    <w:link w:val="Head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HeaderChar">
    <w:name w:val="Header Char"/>
    <w:basedOn w:val="DefaultParagraphFont"/>
    <w:link w:val="Header"/>
    <w:uiPriority w:val="99"/>
    <w:rsid w:val="00CB352A"/>
  </w:style>
  <w:style w:type="paragraph" w:styleId="Footer">
    <w:name w:val="footer"/>
    <w:basedOn w:val="Normal"/>
    <w:link w:val="Foot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FooterChar">
    <w:name w:val="Footer Char"/>
    <w:basedOn w:val="DefaultParagraphFont"/>
    <w:link w:val="Footer"/>
    <w:uiPriority w:val="99"/>
    <w:rsid w:val="00CB352A"/>
  </w:style>
  <w:style w:type="character" w:styleId="Strong">
    <w:name w:val="Strong"/>
    <w:basedOn w:val="DefaultParagraphFont"/>
    <w:uiPriority w:val="22"/>
    <w:qFormat/>
    <w:rsid w:val="009C7B28"/>
    <w:rPr>
      <w:rFonts w:ascii="Verdana" w:hAnsi="Verdana"/>
      <w:b/>
      <w:bCs/>
      <w:sz w:val="20"/>
    </w:rPr>
  </w:style>
  <w:style w:type="table" w:styleId="TableGrid">
    <w:name w:val="Table Grid"/>
    <w:basedOn w:val="TableNormal"/>
    <w:uiPriority w:val="39"/>
    <w:rsid w:val="00AD5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22C46"/>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922C46"/>
    <w:rPr>
      <w:rFonts w:eastAsiaTheme="minorEastAsia"/>
      <w:kern w:val="0"/>
      <w:sz w:val="22"/>
      <w:szCs w:val="22"/>
      <w:lang w:val="en-US"/>
      <w14:ligatures w14:val="none"/>
    </w:rPr>
  </w:style>
  <w:style w:type="character" w:styleId="Hyperlink">
    <w:name w:val="Hyperlink"/>
    <w:basedOn w:val="DefaultParagraphFont"/>
    <w:uiPriority w:val="99"/>
    <w:unhideWhenUsed/>
    <w:rsid w:val="009E6369"/>
    <w:rPr>
      <w:color w:val="467886" w:themeColor="hyperlink"/>
      <w:u w:val="single"/>
    </w:rPr>
  </w:style>
  <w:style w:type="character" w:styleId="UnresolvedMention">
    <w:name w:val="Unresolved Mention"/>
    <w:basedOn w:val="DefaultParagraphFont"/>
    <w:uiPriority w:val="99"/>
    <w:semiHidden/>
    <w:unhideWhenUsed/>
    <w:rsid w:val="009E63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87597">
      <w:bodyDiv w:val="1"/>
      <w:marLeft w:val="0"/>
      <w:marRight w:val="0"/>
      <w:marTop w:val="0"/>
      <w:marBottom w:val="0"/>
      <w:divBdr>
        <w:top w:val="none" w:sz="0" w:space="0" w:color="auto"/>
        <w:left w:val="none" w:sz="0" w:space="0" w:color="auto"/>
        <w:bottom w:val="none" w:sz="0" w:space="0" w:color="auto"/>
        <w:right w:val="none" w:sz="0" w:space="0" w:color="auto"/>
      </w:divBdr>
    </w:div>
    <w:div w:id="83576217">
      <w:bodyDiv w:val="1"/>
      <w:marLeft w:val="0"/>
      <w:marRight w:val="0"/>
      <w:marTop w:val="0"/>
      <w:marBottom w:val="0"/>
      <w:divBdr>
        <w:top w:val="none" w:sz="0" w:space="0" w:color="auto"/>
        <w:left w:val="none" w:sz="0" w:space="0" w:color="auto"/>
        <w:bottom w:val="none" w:sz="0" w:space="0" w:color="auto"/>
        <w:right w:val="none" w:sz="0" w:space="0" w:color="auto"/>
      </w:divBdr>
    </w:div>
    <w:div w:id="118769695">
      <w:bodyDiv w:val="1"/>
      <w:marLeft w:val="0"/>
      <w:marRight w:val="0"/>
      <w:marTop w:val="0"/>
      <w:marBottom w:val="0"/>
      <w:divBdr>
        <w:top w:val="none" w:sz="0" w:space="0" w:color="auto"/>
        <w:left w:val="none" w:sz="0" w:space="0" w:color="auto"/>
        <w:bottom w:val="none" w:sz="0" w:space="0" w:color="auto"/>
        <w:right w:val="none" w:sz="0" w:space="0" w:color="auto"/>
      </w:divBdr>
    </w:div>
    <w:div w:id="125438331">
      <w:bodyDiv w:val="1"/>
      <w:marLeft w:val="0"/>
      <w:marRight w:val="0"/>
      <w:marTop w:val="0"/>
      <w:marBottom w:val="0"/>
      <w:divBdr>
        <w:top w:val="none" w:sz="0" w:space="0" w:color="auto"/>
        <w:left w:val="none" w:sz="0" w:space="0" w:color="auto"/>
        <w:bottom w:val="none" w:sz="0" w:space="0" w:color="auto"/>
        <w:right w:val="none" w:sz="0" w:space="0" w:color="auto"/>
      </w:divBdr>
    </w:div>
    <w:div w:id="150605275">
      <w:bodyDiv w:val="1"/>
      <w:marLeft w:val="0"/>
      <w:marRight w:val="0"/>
      <w:marTop w:val="0"/>
      <w:marBottom w:val="0"/>
      <w:divBdr>
        <w:top w:val="none" w:sz="0" w:space="0" w:color="auto"/>
        <w:left w:val="none" w:sz="0" w:space="0" w:color="auto"/>
        <w:bottom w:val="none" w:sz="0" w:space="0" w:color="auto"/>
        <w:right w:val="none" w:sz="0" w:space="0" w:color="auto"/>
      </w:divBdr>
    </w:div>
    <w:div w:id="164251710">
      <w:bodyDiv w:val="1"/>
      <w:marLeft w:val="0"/>
      <w:marRight w:val="0"/>
      <w:marTop w:val="0"/>
      <w:marBottom w:val="0"/>
      <w:divBdr>
        <w:top w:val="none" w:sz="0" w:space="0" w:color="auto"/>
        <w:left w:val="none" w:sz="0" w:space="0" w:color="auto"/>
        <w:bottom w:val="none" w:sz="0" w:space="0" w:color="auto"/>
        <w:right w:val="none" w:sz="0" w:space="0" w:color="auto"/>
      </w:divBdr>
    </w:div>
    <w:div w:id="259333380">
      <w:bodyDiv w:val="1"/>
      <w:marLeft w:val="0"/>
      <w:marRight w:val="0"/>
      <w:marTop w:val="0"/>
      <w:marBottom w:val="0"/>
      <w:divBdr>
        <w:top w:val="none" w:sz="0" w:space="0" w:color="auto"/>
        <w:left w:val="none" w:sz="0" w:space="0" w:color="auto"/>
        <w:bottom w:val="none" w:sz="0" w:space="0" w:color="auto"/>
        <w:right w:val="none" w:sz="0" w:space="0" w:color="auto"/>
      </w:divBdr>
    </w:div>
    <w:div w:id="337195909">
      <w:bodyDiv w:val="1"/>
      <w:marLeft w:val="0"/>
      <w:marRight w:val="0"/>
      <w:marTop w:val="0"/>
      <w:marBottom w:val="0"/>
      <w:divBdr>
        <w:top w:val="none" w:sz="0" w:space="0" w:color="auto"/>
        <w:left w:val="none" w:sz="0" w:space="0" w:color="auto"/>
        <w:bottom w:val="none" w:sz="0" w:space="0" w:color="auto"/>
        <w:right w:val="none" w:sz="0" w:space="0" w:color="auto"/>
      </w:divBdr>
    </w:div>
    <w:div w:id="352073062">
      <w:bodyDiv w:val="1"/>
      <w:marLeft w:val="0"/>
      <w:marRight w:val="0"/>
      <w:marTop w:val="0"/>
      <w:marBottom w:val="0"/>
      <w:divBdr>
        <w:top w:val="none" w:sz="0" w:space="0" w:color="auto"/>
        <w:left w:val="none" w:sz="0" w:space="0" w:color="auto"/>
        <w:bottom w:val="none" w:sz="0" w:space="0" w:color="auto"/>
        <w:right w:val="none" w:sz="0" w:space="0" w:color="auto"/>
      </w:divBdr>
    </w:div>
    <w:div w:id="384377770">
      <w:bodyDiv w:val="1"/>
      <w:marLeft w:val="0"/>
      <w:marRight w:val="0"/>
      <w:marTop w:val="0"/>
      <w:marBottom w:val="0"/>
      <w:divBdr>
        <w:top w:val="none" w:sz="0" w:space="0" w:color="auto"/>
        <w:left w:val="none" w:sz="0" w:space="0" w:color="auto"/>
        <w:bottom w:val="none" w:sz="0" w:space="0" w:color="auto"/>
        <w:right w:val="none" w:sz="0" w:space="0" w:color="auto"/>
      </w:divBdr>
    </w:div>
    <w:div w:id="386417663">
      <w:bodyDiv w:val="1"/>
      <w:marLeft w:val="0"/>
      <w:marRight w:val="0"/>
      <w:marTop w:val="0"/>
      <w:marBottom w:val="0"/>
      <w:divBdr>
        <w:top w:val="none" w:sz="0" w:space="0" w:color="auto"/>
        <w:left w:val="none" w:sz="0" w:space="0" w:color="auto"/>
        <w:bottom w:val="none" w:sz="0" w:space="0" w:color="auto"/>
        <w:right w:val="none" w:sz="0" w:space="0" w:color="auto"/>
      </w:divBdr>
    </w:div>
    <w:div w:id="406533999">
      <w:bodyDiv w:val="1"/>
      <w:marLeft w:val="0"/>
      <w:marRight w:val="0"/>
      <w:marTop w:val="0"/>
      <w:marBottom w:val="0"/>
      <w:divBdr>
        <w:top w:val="none" w:sz="0" w:space="0" w:color="auto"/>
        <w:left w:val="none" w:sz="0" w:space="0" w:color="auto"/>
        <w:bottom w:val="none" w:sz="0" w:space="0" w:color="auto"/>
        <w:right w:val="none" w:sz="0" w:space="0" w:color="auto"/>
      </w:divBdr>
    </w:div>
    <w:div w:id="419451994">
      <w:bodyDiv w:val="1"/>
      <w:marLeft w:val="0"/>
      <w:marRight w:val="0"/>
      <w:marTop w:val="0"/>
      <w:marBottom w:val="0"/>
      <w:divBdr>
        <w:top w:val="none" w:sz="0" w:space="0" w:color="auto"/>
        <w:left w:val="none" w:sz="0" w:space="0" w:color="auto"/>
        <w:bottom w:val="none" w:sz="0" w:space="0" w:color="auto"/>
        <w:right w:val="none" w:sz="0" w:space="0" w:color="auto"/>
      </w:divBdr>
    </w:div>
    <w:div w:id="437912021">
      <w:bodyDiv w:val="1"/>
      <w:marLeft w:val="0"/>
      <w:marRight w:val="0"/>
      <w:marTop w:val="0"/>
      <w:marBottom w:val="0"/>
      <w:divBdr>
        <w:top w:val="none" w:sz="0" w:space="0" w:color="auto"/>
        <w:left w:val="none" w:sz="0" w:space="0" w:color="auto"/>
        <w:bottom w:val="none" w:sz="0" w:space="0" w:color="auto"/>
        <w:right w:val="none" w:sz="0" w:space="0" w:color="auto"/>
      </w:divBdr>
    </w:div>
    <w:div w:id="477378032">
      <w:bodyDiv w:val="1"/>
      <w:marLeft w:val="0"/>
      <w:marRight w:val="0"/>
      <w:marTop w:val="0"/>
      <w:marBottom w:val="0"/>
      <w:divBdr>
        <w:top w:val="none" w:sz="0" w:space="0" w:color="auto"/>
        <w:left w:val="none" w:sz="0" w:space="0" w:color="auto"/>
        <w:bottom w:val="none" w:sz="0" w:space="0" w:color="auto"/>
        <w:right w:val="none" w:sz="0" w:space="0" w:color="auto"/>
      </w:divBdr>
    </w:div>
    <w:div w:id="484469237">
      <w:bodyDiv w:val="1"/>
      <w:marLeft w:val="0"/>
      <w:marRight w:val="0"/>
      <w:marTop w:val="0"/>
      <w:marBottom w:val="0"/>
      <w:divBdr>
        <w:top w:val="none" w:sz="0" w:space="0" w:color="auto"/>
        <w:left w:val="none" w:sz="0" w:space="0" w:color="auto"/>
        <w:bottom w:val="none" w:sz="0" w:space="0" w:color="auto"/>
        <w:right w:val="none" w:sz="0" w:space="0" w:color="auto"/>
      </w:divBdr>
    </w:div>
    <w:div w:id="526649651">
      <w:bodyDiv w:val="1"/>
      <w:marLeft w:val="0"/>
      <w:marRight w:val="0"/>
      <w:marTop w:val="0"/>
      <w:marBottom w:val="0"/>
      <w:divBdr>
        <w:top w:val="none" w:sz="0" w:space="0" w:color="auto"/>
        <w:left w:val="none" w:sz="0" w:space="0" w:color="auto"/>
        <w:bottom w:val="none" w:sz="0" w:space="0" w:color="auto"/>
        <w:right w:val="none" w:sz="0" w:space="0" w:color="auto"/>
      </w:divBdr>
    </w:div>
    <w:div w:id="705984324">
      <w:bodyDiv w:val="1"/>
      <w:marLeft w:val="0"/>
      <w:marRight w:val="0"/>
      <w:marTop w:val="0"/>
      <w:marBottom w:val="0"/>
      <w:divBdr>
        <w:top w:val="none" w:sz="0" w:space="0" w:color="auto"/>
        <w:left w:val="none" w:sz="0" w:space="0" w:color="auto"/>
        <w:bottom w:val="none" w:sz="0" w:space="0" w:color="auto"/>
        <w:right w:val="none" w:sz="0" w:space="0" w:color="auto"/>
      </w:divBdr>
    </w:div>
    <w:div w:id="888608125">
      <w:bodyDiv w:val="1"/>
      <w:marLeft w:val="0"/>
      <w:marRight w:val="0"/>
      <w:marTop w:val="0"/>
      <w:marBottom w:val="0"/>
      <w:divBdr>
        <w:top w:val="none" w:sz="0" w:space="0" w:color="auto"/>
        <w:left w:val="none" w:sz="0" w:space="0" w:color="auto"/>
        <w:bottom w:val="none" w:sz="0" w:space="0" w:color="auto"/>
        <w:right w:val="none" w:sz="0" w:space="0" w:color="auto"/>
      </w:divBdr>
    </w:div>
    <w:div w:id="919413028">
      <w:bodyDiv w:val="1"/>
      <w:marLeft w:val="0"/>
      <w:marRight w:val="0"/>
      <w:marTop w:val="0"/>
      <w:marBottom w:val="0"/>
      <w:divBdr>
        <w:top w:val="none" w:sz="0" w:space="0" w:color="auto"/>
        <w:left w:val="none" w:sz="0" w:space="0" w:color="auto"/>
        <w:bottom w:val="none" w:sz="0" w:space="0" w:color="auto"/>
        <w:right w:val="none" w:sz="0" w:space="0" w:color="auto"/>
      </w:divBdr>
    </w:div>
    <w:div w:id="963117710">
      <w:bodyDiv w:val="1"/>
      <w:marLeft w:val="0"/>
      <w:marRight w:val="0"/>
      <w:marTop w:val="0"/>
      <w:marBottom w:val="0"/>
      <w:divBdr>
        <w:top w:val="none" w:sz="0" w:space="0" w:color="auto"/>
        <w:left w:val="none" w:sz="0" w:space="0" w:color="auto"/>
        <w:bottom w:val="none" w:sz="0" w:space="0" w:color="auto"/>
        <w:right w:val="none" w:sz="0" w:space="0" w:color="auto"/>
      </w:divBdr>
    </w:div>
    <w:div w:id="976303606">
      <w:bodyDiv w:val="1"/>
      <w:marLeft w:val="0"/>
      <w:marRight w:val="0"/>
      <w:marTop w:val="0"/>
      <w:marBottom w:val="0"/>
      <w:divBdr>
        <w:top w:val="none" w:sz="0" w:space="0" w:color="auto"/>
        <w:left w:val="none" w:sz="0" w:space="0" w:color="auto"/>
        <w:bottom w:val="none" w:sz="0" w:space="0" w:color="auto"/>
        <w:right w:val="none" w:sz="0" w:space="0" w:color="auto"/>
      </w:divBdr>
    </w:div>
    <w:div w:id="1070468506">
      <w:bodyDiv w:val="1"/>
      <w:marLeft w:val="0"/>
      <w:marRight w:val="0"/>
      <w:marTop w:val="0"/>
      <w:marBottom w:val="0"/>
      <w:divBdr>
        <w:top w:val="none" w:sz="0" w:space="0" w:color="auto"/>
        <w:left w:val="none" w:sz="0" w:space="0" w:color="auto"/>
        <w:bottom w:val="none" w:sz="0" w:space="0" w:color="auto"/>
        <w:right w:val="none" w:sz="0" w:space="0" w:color="auto"/>
      </w:divBdr>
    </w:div>
    <w:div w:id="1207256930">
      <w:bodyDiv w:val="1"/>
      <w:marLeft w:val="0"/>
      <w:marRight w:val="0"/>
      <w:marTop w:val="0"/>
      <w:marBottom w:val="0"/>
      <w:divBdr>
        <w:top w:val="none" w:sz="0" w:space="0" w:color="auto"/>
        <w:left w:val="none" w:sz="0" w:space="0" w:color="auto"/>
        <w:bottom w:val="none" w:sz="0" w:space="0" w:color="auto"/>
        <w:right w:val="none" w:sz="0" w:space="0" w:color="auto"/>
      </w:divBdr>
    </w:div>
    <w:div w:id="1373308114">
      <w:bodyDiv w:val="1"/>
      <w:marLeft w:val="0"/>
      <w:marRight w:val="0"/>
      <w:marTop w:val="0"/>
      <w:marBottom w:val="0"/>
      <w:divBdr>
        <w:top w:val="none" w:sz="0" w:space="0" w:color="auto"/>
        <w:left w:val="none" w:sz="0" w:space="0" w:color="auto"/>
        <w:bottom w:val="none" w:sz="0" w:space="0" w:color="auto"/>
        <w:right w:val="none" w:sz="0" w:space="0" w:color="auto"/>
      </w:divBdr>
    </w:div>
    <w:div w:id="1407916713">
      <w:bodyDiv w:val="1"/>
      <w:marLeft w:val="0"/>
      <w:marRight w:val="0"/>
      <w:marTop w:val="0"/>
      <w:marBottom w:val="0"/>
      <w:divBdr>
        <w:top w:val="none" w:sz="0" w:space="0" w:color="auto"/>
        <w:left w:val="none" w:sz="0" w:space="0" w:color="auto"/>
        <w:bottom w:val="none" w:sz="0" w:space="0" w:color="auto"/>
        <w:right w:val="none" w:sz="0" w:space="0" w:color="auto"/>
      </w:divBdr>
    </w:div>
    <w:div w:id="1608343335">
      <w:bodyDiv w:val="1"/>
      <w:marLeft w:val="0"/>
      <w:marRight w:val="0"/>
      <w:marTop w:val="0"/>
      <w:marBottom w:val="0"/>
      <w:divBdr>
        <w:top w:val="none" w:sz="0" w:space="0" w:color="auto"/>
        <w:left w:val="none" w:sz="0" w:space="0" w:color="auto"/>
        <w:bottom w:val="none" w:sz="0" w:space="0" w:color="auto"/>
        <w:right w:val="none" w:sz="0" w:space="0" w:color="auto"/>
      </w:divBdr>
    </w:div>
    <w:div w:id="1705859392">
      <w:bodyDiv w:val="1"/>
      <w:marLeft w:val="0"/>
      <w:marRight w:val="0"/>
      <w:marTop w:val="0"/>
      <w:marBottom w:val="0"/>
      <w:divBdr>
        <w:top w:val="none" w:sz="0" w:space="0" w:color="auto"/>
        <w:left w:val="none" w:sz="0" w:space="0" w:color="auto"/>
        <w:bottom w:val="none" w:sz="0" w:space="0" w:color="auto"/>
        <w:right w:val="none" w:sz="0" w:space="0" w:color="auto"/>
      </w:divBdr>
    </w:div>
    <w:div w:id="1714423831">
      <w:bodyDiv w:val="1"/>
      <w:marLeft w:val="0"/>
      <w:marRight w:val="0"/>
      <w:marTop w:val="0"/>
      <w:marBottom w:val="0"/>
      <w:divBdr>
        <w:top w:val="none" w:sz="0" w:space="0" w:color="auto"/>
        <w:left w:val="none" w:sz="0" w:space="0" w:color="auto"/>
        <w:bottom w:val="none" w:sz="0" w:space="0" w:color="auto"/>
        <w:right w:val="none" w:sz="0" w:space="0" w:color="auto"/>
      </w:divBdr>
    </w:div>
    <w:div w:id="1723939683">
      <w:bodyDiv w:val="1"/>
      <w:marLeft w:val="0"/>
      <w:marRight w:val="0"/>
      <w:marTop w:val="0"/>
      <w:marBottom w:val="0"/>
      <w:divBdr>
        <w:top w:val="none" w:sz="0" w:space="0" w:color="auto"/>
        <w:left w:val="none" w:sz="0" w:space="0" w:color="auto"/>
        <w:bottom w:val="none" w:sz="0" w:space="0" w:color="auto"/>
        <w:right w:val="none" w:sz="0" w:space="0" w:color="auto"/>
      </w:divBdr>
    </w:div>
    <w:div w:id="1817606053">
      <w:bodyDiv w:val="1"/>
      <w:marLeft w:val="0"/>
      <w:marRight w:val="0"/>
      <w:marTop w:val="0"/>
      <w:marBottom w:val="0"/>
      <w:divBdr>
        <w:top w:val="none" w:sz="0" w:space="0" w:color="auto"/>
        <w:left w:val="none" w:sz="0" w:space="0" w:color="auto"/>
        <w:bottom w:val="none" w:sz="0" w:space="0" w:color="auto"/>
        <w:right w:val="none" w:sz="0" w:space="0" w:color="auto"/>
      </w:divBdr>
    </w:div>
    <w:div w:id="1861503273">
      <w:bodyDiv w:val="1"/>
      <w:marLeft w:val="0"/>
      <w:marRight w:val="0"/>
      <w:marTop w:val="0"/>
      <w:marBottom w:val="0"/>
      <w:divBdr>
        <w:top w:val="none" w:sz="0" w:space="0" w:color="auto"/>
        <w:left w:val="none" w:sz="0" w:space="0" w:color="auto"/>
        <w:bottom w:val="none" w:sz="0" w:space="0" w:color="auto"/>
        <w:right w:val="none" w:sz="0" w:space="0" w:color="auto"/>
      </w:divBdr>
    </w:div>
    <w:div w:id="1939681564">
      <w:bodyDiv w:val="1"/>
      <w:marLeft w:val="0"/>
      <w:marRight w:val="0"/>
      <w:marTop w:val="0"/>
      <w:marBottom w:val="0"/>
      <w:divBdr>
        <w:top w:val="none" w:sz="0" w:space="0" w:color="auto"/>
        <w:left w:val="none" w:sz="0" w:space="0" w:color="auto"/>
        <w:bottom w:val="none" w:sz="0" w:space="0" w:color="auto"/>
        <w:right w:val="none" w:sz="0" w:space="0" w:color="auto"/>
      </w:divBdr>
    </w:div>
    <w:div w:id="194945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www.notion.so/28bf57b4e72f80f4a6b3c192034fb99f" TargetMode="External"/><Relationship Id="rId14" Type="http://schemas.openxmlformats.org/officeDocument/2006/relationships/hyperlink" Target="https://github.com/Fargaly/baboom-bim-standard/blob/main/04-DOCUMENTS/BBM-STD-72-PARAMETERS_AND_CLASSIFICATION-V0.3.docx" TargetMode="External"/><Relationship Id="rId15" Type="http://schemas.openxmlformats.org/officeDocument/2006/relationships/hyperlink" Target="https://www.iso.org/standard/68078.html" TargetMode="External"/><Relationship Id="rId16" Type="http://schemas.openxmlformats.org/officeDocument/2006/relationships/hyperlink" Target="https://www.iso.org/standard/68080.html" TargetMode="External"/><Relationship Id="rId17" Type="http://schemas.openxmlformats.org/officeDocument/2006/relationships/hyperlink" Target="https://ukbimframework.org/wp-content/uploads/2020/09/Guidance-Part-2_Parties-teams-and-processes-for-the-delivery-phase-of-assets_Edition-5.pdf" TargetMode="External"/><Relationship Id="rId18" Type="http://schemas.openxmlformats.org/officeDocument/2006/relationships/hyperlink" Target="https://www.iso.org/standard/75401.html" TargetMode="External"/><Relationship Id="rId19" Type="http://schemas.openxmlformats.org/officeDocument/2006/relationships/hyperlink" Target="https://www.iso.org/standard/85391.html" TargetMode="External"/><Relationship Id="rId20" Type="http://schemas.openxmlformats.org/officeDocument/2006/relationships/hyperlink" Target="https://www.iso.org/standard/61753.html" TargetMode="External"/><Relationship Id="rId21" Type="http://schemas.openxmlformats.org/officeDocument/2006/relationships/hyperlink" Target="https://committee.iso.org/standard/74932.html" TargetMode="External"/><Relationship Id="rId22" Type="http://schemas.openxmlformats.org/officeDocument/2006/relationships/hyperlink" Target="https://search.bsdd.buildingsmart.org/" TargetMode="External"/><Relationship Id="rId23" Type="http://schemas.openxmlformats.org/officeDocument/2006/relationships/hyperlink" Target="https://uniclass.thenbs.com/download" TargetMode="External"/><Relationship Id="rId24" Type="http://schemas.openxmlformats.org/officeDocument/2006/relationships/hyperlink" Target="https://uniclass.thenbs.com/taxon/pr_40_30_87" TargetMode="External"/><Relationship Id="rId25" Type="http://schemas.openxmlformats.org/officeDocument/2006/relationships/hyperlink" Target="https://uniclass.thenbs.com/taxon/ss_40_15_35_80" TargetMode="External"/><Relationship Id="rId26" Type="http://schemas.openxmlformats.org/officeDocument/2006/relationships/hyperlink" Target="https://help.autodesk.com/cloudhelp/2024/ENU/Revit-Model/files/GUID-1929027A-B304-401E-BCDC-11ED3D3E67CE.htm" TargetMode="External"/><Relationship Id="rId27" Type="http://schemas.openxmlformats.org/officeDocument/2006/relationships/hyperlink" Target="https://help.autodesk.com/cloudhelp/2025/ENU/Revit-Model/files/GUID-114C68A9-FF2B-4D4C-A2DF-3AE7E1F174C8.htm" TargetMode="External"/><Relationship Id="rId28" Type="http://schemas.openxmlformats.org/officeDocument/2006/relationships/hyperlink" Target="https://www.autodesk.com/support/technical/article/caas/tsarticles/ts/7dQ8WYeEkT8oPUQ5Jtnfb0.html" TargetMode="External"/><Relationship Id="rId29" Type="http://schemas.openxmlformats.org/officeDocument/2006/relationships/hyperlink" Target="https://www.buildingsmart.org/standards/bsi-standards/industry-foundation-classes/" TargetMode="External"/><Relationship Id="rId30" Type="http://schemas.openxmlformats.org/officeDocument/2006/relationships/hyperlink" Target="https://www.buildingsmart.org/standards/bsi-standards/information-delivery-specification-ids/" TargetMode="External"/><Relationship Id="rId31" Type="http://schemas.openxmlformats.org/officeDocument/2006/relationships/hyperlink" Target="https://github.com/buildingSMART/IDS/releases" TargetMode="External"/><Relationship Id="rId32" Type="http://schemas.openxmlformats.org/officeDocument/2006/relationships/hyperlink" Target="https://dmpmedia.dm.gov.ae/uploads/2023/10/&#1578;&#1593;&#1605;&#1610;&#1605;-BIM-9-1-2.pdf" TargetMode="External"/><Relationship Id="rId33" Type="http://schemas.openxmlformats.org/officeDocument/2006/relationships/hyperlink" Target="https://www.dm.gov.ae/wp-content/uploads/2026/02/Circular-9-1-3.pdf" TargetMode="External"/><Relationship Id="rId34" Type="http://schemas.openxmlformats.org/officeDocument/2006/relationships/hyperlink" Target="https://www.iso.org/standard/82914.html" TargetMode="External"/><Relationship Id="rId35" Type="http://schemas.openxmlformats.org/officeDocument/2006/relationships/hyperlink" Target="https://landingpage.bsigroup.com/LandingPage/Standard?UPI=000000000030382760" TargetMode="External"/><Relationship Id="rId36" Type="http://schemas.openxmlformats.org/officeDocument/2006/relationships/hyperlink" Target="https://www.dmt.gov.ae/adm/-/media/Project/DMT/ADM/E-Library/0001-Jan-2022-Doc/ADM-BIM-005Code-of-Practice.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2024</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21</Pages>
  <Words>4872</Words>
  <Characters>27773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GLOSSARY</vt:lpstr>
    </vt:vector>
  </TitlesOfParts>
  <Company/>
  <LinksUpToDate>false</LinksUpToDate>
  <CharactersWithSpaces>32580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GLOSSARY</dc:title>
  <dc:subject>Bep</dc:subject>
  <dc:creator>Fargaly</dc:creator>
  <cp:keywords/>
  <dc:description/>
  <cp:lastModifiedBy>Fargaly</cp:lastModifiedBy>
  <cp:revision>20</cp:revision>
  <dcterms:created xsi:type="dcterms:W3CDTF">2024-11-06T10:52:00Z</dcterms:created>
  <dcterms:modified xsi:type="dcterms:W3CDTF">2025-10-21T13:40:00Z</dcterms:modified>
</cp:coreProperties>
</file>