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Title"/>
        <w:spacing w:before="840"/>
      </w:pPr>
      <w:r>
        <w:t>Quantity take-off, 5D and cost-model control</w:t>
      </w:r>
    </w:p>
    <w:p>
      <w:pPr/>
      <w:r>
        <w:t xml:space="preserve">Linked copies: ID STD-78 · </w:t>
      </w:r>
      <w:hyperlink r:id="rId13">
        <w:r>
          <w:rPr>
            <w:color w:val="9A7B45"/>
            <w:u w:val="single"/>
          </w:rPr>
          <w:t>TBP page</w:t>
        </w:r>
      </w:hyperlink>
      <w:r>
        <w:t xml:space="preserve"> · </w:t>
      </w:r>
      <w:hyperlink r:id="rId14">
        <w:r>
          <w:rPr>
            <w:color w:val="9A7B45"/>
            <w:u w:val="single"/>
          </w:rPr>
          <w:t>BABOOM edition</w:t>
        </w:r>
      </w:hyperlink>
      <w:r>
        <w:t xml:space="preserve"> · ArchHub: BABOOM companion</w:t>
      </w:r>
    </w:p>
    <w:p>
      <w:pPr/>
      <w:r>
        <w:t>BBM-STD-78-QUANTITIES_AND_5D-V0.2 | Office standard | 4 November 2026 | V0.2 | Private controlled WIP draft</w:t>
      </w:r>
    </w:p>
    <w:p>
      <w:pPr>
        <w:pStyle w:val="Heading1"/>
      </w:pPr>
      <w:r>
        <w:t>Revision history</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775"/>
        <w:gridCol w:w="1501"/>
        <w:gridCol w:w="8190"/>
      </w:tblGrid>
      <w:tr>
        <w:trPr>
          <w:cantSplit/>
          <w:tblHeader/>
        </w:trPr>
        <w:tc>
          <w:tcPr>
            <w:tcW w:type="dxa" w:w="775"/>
            <w:shd w:val="clear" w:color="auto" w:fill="111113"/>
          </w:tcPr>
          <w:p>
            <w:r>
              <w:rPr>
                <w:b/>
                <w:color w:val="FFFFFF"/>
                <w:sz w:val="17"/>
              </w:rPr>
            </w:r>
            <w:r>
              <w:rPr>
                <w:b/>
                <w:color w:val="FFFFFF"/>
                <w:sz w:val="17"/>
              </w:rPr>
              <w:t>Version</w:t>
            </w:r>
          </w:p>
        </w:tc>
        <w:tc>
          <w:tcPr>
            <w:tcW w:type="dxa" w:w="1501"/>
            <w:shd w:val="clear" w:color="auto" w:fill="111113"/>
          </w:tcPr>
          <w:p>
            <w:r>
              <w:rPr>
                <w:b/>
                <w:color w:val="FFFFFF"/>
                <w:sz w:val="17"/>
              </w:rPr>
            </w:r>
            <w:r>
              <w:rPr>
                <w:b/>
                <w:color w:val="FFFFFF"/>
                <w:sz w:val="17"/>
              </w:rPr>
              <w:t>Date</w:t>
            </w:r>
          </w:p>
        </w:tc>
        <w:tc>
          <w:tcPr>
            <w:tcW w:type="dxa" w:w="8190"/>
            <w:shd w:val="clear" w:color="auto" w:fill="111113"/>
          </w:tcPr>
          <w:p>
            <w:r>
              <w:rPr>
                <w:b/>
                <w:color w:val="FFFFFF"/>
                <w:sz w:val="17"/>
              </w:rPr>
            </w:r>
            <w:r>
              <w:rPr>
                <w:b/>
                <w:color w:val="FFFFFF"/>
                <w:sz w:val="17"/>
              </w:rPr>
              <w:t>Change</w:t>
            </w:r>
          </w:p>
        </w:tc>
      </w:tr>
      <w:tr>
        <w:trPr>
          <w:cantSplit/>
        </w:trPr>
        <w:tc>
          <w:tcPr>
            <w:tcW w:type="dxa" w:w="775"/>
          </w:tcPr>
          <w:p>
            <w:r>
              <w:rPr>
                <w:sz w:val="17"/>
              </w:rPr>
            </w:r>
            <w:r>
              <w:rPr>
                <w:sz w:val="17"/>
              </w:rPr>
              <w:t>V0.1</w:t>
            </w:r>
          </w:p>
        </w:tc>
        <w:tc>
          <w:tcPr>
            <w:tcW w:type="dxa" w:w="1501"/>
          </w:tcPr>
          <w:p>
            <w:r>
              <w:rPr>
                <w:sz w:val="17"/>
              </w:rPr>
            </w:r>
            <w:r>
              <w:rPr>
                <w:sz w:val="17"/>
              </w:rPr>
              <w:t>16 October 2026</w:t>
            </w:r>
          </w:p>
        </w:tc>
        <w:tc>
          <w:tcPr>
            <w:tcW w:type="dxa" w:w="8190"/>
          </w:tcPr>
          <w:p>
            <w:r>
              <w:rPr>
                <w:sz w:val="17"/>
              </w:rPr>
            </w:r>
            <w:r>
              <w:rPr>
                <w:sz w:val="17"/>
              </w:rPr>
              <w:t>First controlled draft.</w:t>
            </w:r>
          </w:p>
        </w:tc>
      </w:tr>
      <w:tr>
        <w:trPr>
          <w:cantSplit/>
        </w:trPr>
        <w:tc>
          <w:tcPr>
            <w:tcW w:type="dxa" w:w="775"/>
          </w:tcPr>
          <w:p>
            <w:r>
              <w:rPr>
                <w:sz w:val="17"/>
              </w:rPr>
            </w:r>
            <w:r>
              <w:rPr>
                <w:sz w:val="17"/>
              </w:rPr>
              <w:t>V0.2</w:t>
            </w:r>
          </w:p>
        </w:tc>
        <w:tc>
          <w:tcPr>
            <w:tcW w:type="dxa" w:w="1501"/>
          </w:tcPr>
          <w:p>
            <w:r>
              <w:rPr>
                <w:sz w:val="17"/>
              </w:rPr>
            </w:r>
            <w:r>
              <w:rPr>
                <w:sz w:val="17"/>
              </w:rPr>
              <w:t>4 November 2026</w:t>
            </w:r>
          </w:p>
        </w:tc>
        <w:tc>
          <w:tcPr>
            <w:tcW w:type="dxa" w:w="8190"/>
          </w:tcPr>
          <w:p>
            <w:r>
              <w:rPr>
                <w:sz w:val="17"/>
              </w:rPr>
            </w:r>
            <w:r>
              <w:rPr>
                <w:sz w:val="17"/>
              </w:rPr>
              <w:t>Audit res-026 closure: G269 unverified NRM edition dates replaced by an edition-recording rule; G270 ICMS added to the selectable reporting standards; IMI Framework naming; links to Manual V0.4/​BEP V0.5; spacing fixed. + cross-doc pointer pass.</w:t>
            </w:r>
          </w:p>
        </w:tc>
      </w:tr>
    </w:tbl>
    <w:p/>
    <w:p>
      <w:pPr>
        <w:pStyle w:val="Heading1"/>
      </w:pPr>
      <w:r>
        <w:t>1 Measurement brief and responsibility</w:t>
      </w:r>
    </w:p>
    <w:p>
      <w:pPr/>
      <w:r>
        <w:t xml:space="preserve">This standard addresses SG-087 and SG-088. The quantity surveyor (QS) owns measurement interpretation and independent reconciliation; the cost manager owns cost-code and pricing methodology; discipline leads own source geometry and schedules; the Information Manager controls exchange identity and requirements. Confirm actual holders, competence and delegated authority under </w:t>
      </w:r>
      <w:r>
        <w:rPr>
          <w:color w:val="9A7B45"/>
          <w:u w:val="single"/>
        </w:rPr>
        <w:t>BBM-STD-55</w:t>
      </w:r>
      <w:r>
        <w:t>. This document contains method and synthetic quantities only, with no rates, monetary amounts or fees. It does not authorise valuation or certify a bill.</w:t>
      </w:r>
    </w:p>
    <w:p>
      <w:pPr/>
      <w:r>
        <w:t xml:space="preserve">Use </w:t>
      </w:r>
      <w:r>
        <w:rPr>
          <w:color w:val="9A7B45"/>
          <w:u w:val="single"/>
        </w:rPr>
        <w:t>EIR and LOIN</w:t>
      </w:r>
      <w:r>
        <w:t xml:space="preserve">, </w:t>
      </w:r>
      <w:r>
        <w:rPr>
          <w:color w:val="9A7B45"/>
          <w:u w:val="single"/>
        </w:rPr>
        <w:t>architectural</w:t>
      </w:r>
      <w:r>
        <w:t xml:space="preserve">, </w:t>
      </w:r>
      <w:r>
        <w:rPr>
          <w:color w:val="9A7B45"/>
          <w:u w:val="single"/>
        </w:rPr>
        <w:t>structural</w:t>
      </w:r>
      <w:r>
        <w:t xml:space="preserve"> and </w:t>
      </w:r>
      <w:r>
        <w:rPr>
          <w:color w:val="9A7B45"/>
          <w:u w:val="single"/>
        </w:rPr>
        <w:t>MEP</w:t>
      </w:r>
      <w:r>
        <w:t xml:space="preserve"> modelling owners, the </w:t>
      </w:r>
      <w:r>
        <w:rPr>
          <w:color w:val="9A7B45"/>
          <w:u w:val="single"/>
        </w:rPr>
        <w:t>quality plan</w:t>
      </w:r>
      <w:r>
        <w:t xml:space="preserve"> and </w:t>
      </w:r>
      <w:r>
        <w:rPr>
          <w:color w:val="9A7B45"/>
          <w:u w:val="single"/>
        </w:rPr>
        <w:t>property dictionary</w:t>
      </w:r>
      <w:r>
        <w:t xml:space="preserve">. The </w:t>
      </w:r>
      <w:r>
        <w:rPr>
          <w:color w:val="9A7B45"/>
          <w:u w:val="single"/>
        </w:rPr>
        <w:t>editable measurement and reconciliation forms</w:t>
      </w:r>
      <w:r>
        <w:t xml:space="preserve"> provide empty forms and a filled example; they are not a measured project bill. Register the pack and dependencies through </w:t>
      </w:r>
      <w:r>
        <w:rPr>
          <w:color w:val="9A7B45"/>
          <w:u w:val="single"/>
        </w:rPr>
        <w:t>BBM-STD-51</w:t>
      </w:r>
      <w:r>
        <w:t>, without treating its proposed ID as office adoption.</w:t>
      </w:r>
    </w:p>
    <w:p>
      <w:pPr/>
      <w:r>
        <w:t>Before extraction record MeasurementBriefID/revision, appointed scope and intended estimate/bill/use, requirement and ExchangeID, source model and document IDs/revisions/hashes, agreed cut-off/time zone, bill hierarchy, contract measurement publication/edition and exact work-section rule references. QS records net/gross and opening-deduction rules, joins, exposed faces, intersections, rounding, unit conversions, exclusions, design options/phases and nonmodelled work. Where the appointment uses NRM, POMI, CESMM or a bespoke method, record that exact choice; this draft mandates none. Where cost reporting must be compared across projects or countries, the International Cost Management Standard (ICMS) is a selectable reporting structure alongside POMI; record its edition and the mapping from the measurement method to ICMS cost categories. An absent or conflicting rule is Hold for the affected item, not an assumed geometric default. RICS NRM1 cost planning and NRM2 detailed measurement serve different purposes; an NRM code alone cannot select a measurement rule. Record the NRM edition and effective date exactly as stated on the RICS page at adoption.</w:t>
      </w:r>
    </w:p>
    <w:p>
      <w:pPr/>
      <w:r>
        <w:t>Synthetic brief SYN-MB78 R01 is an invented training rule, not an NRM clause: two new single-face partitions on L01/Z01, m2, length times height less every rectangular opening once, no returns/overlaps/finishes. Cut-off 2026-10-16 17:00 Asia/Dubai; source SYN-ARC78 R01; bill section SYN-BILL78/PART; QS checks every fixture row with exact arithmetic before display rounding to 2 decimals. Actual project thresholds and sampling rationale must be approved before measurement; these small exact cases do not set a universal tolerance.</w:t>
      </w:r>
    </w:p>
    <w:p>
      <w:pPr>
        <w:pStyle w:val="Heading1"/>
      </w:pPr>
      <w:r>
        <w:t>2 Identity, bill coding and allocation</w:t>
      </w:r>
    </w:p>
    <w:p>
      <w:pPr/>
      <w:r>
        <w:t>Keep SourceContainerID+Revision+NativeObjectID as the extraction key, with TypeID, level/location/Zone_ID, SystemID if applicable, phase/option and dictionary revision. Asset_ID is used only where applicable under BBM-STD-72; do not invent an asset tag for every wall or replace native UniqueId/IFC GlobalId. Keep Classification_Code, classification table/release/title and cost-code system/release distinct. A category name, material name or IFC entity is not an approved cost code. Record missing classification explicitly and hold affected mappings where required by the measurement brief.</w:t>
      </w:r>
    </w:p>
    <w:p>
      <w:pPr/>
      <w:r>
        <w:t>Each QuantityLineID joins to bill item, MeasurementRuleID, quantity kind/unit and a CostMappingID. The mapping records source and target classification/code versions, relation (exact/broader/narrower/none), intended use, effective ChangeID and QS approval. Many objects may aggregate into one bill item only with the same measurement basis/unit and permitted scope. One object may contribute to several different measured kinds, such as face area and edge length, through separate rules; never sum unlike units. For a split of one measured quantity across cost items, allocate explicit nonoverlapping portions and reconcile allocated sum to source once. A second layer/face is a distinct measured scope requiring its own rule; percentages cannot legitimise duplicated scope.</w:t>
      </w:r>
    </w:p>
    <w:p>
      <w:pPr/>
      <w:r>
        <w:t>SYN-W01 has 28 m2 net face area, split into SYN-COST-A 60% = 16.8 m2 and SYN-COST-B 40% = 11.2 m2. SYN-W02 contributes 12 m2 to A; A totals 28.8 m2, B totals 11.2 m2, aggregate 40 m2. These invented cost codes are clearly local fixture keys, not Uniclass codes. Classification is not required by this narrow synthetic brief; the project owner must separately populate the real approved dictionary. Two 100% allocations of W01 yield 56 m2 and fail; correction restores 60/40 and 28 m2. Mapping changes retain predecessor records rather than rewriting an issued bill.</w:t>
      </w:r>
    </w:p>
    <w:p>
      <w:pPr>
        <w:pStyle w:val="Heading1"/>
      </w:pPr>
      <w:r>
        <w:t>3 Extraction, formula and completeness controls</w:t>
      </w:r>
    </w:p>
    <w:p>
      <w:pPr/>
      <w:r>
        <w:t>Freeze a source manifest with model/link versions, schedules/view filters, category/type/phase/option/level selections, linked-model inclusion, itemisation/grouping, parameter IDs/GUIDs where relevant, formula revision, units/internal conversion and precision, exporter and receiver full builds. Retain raw itemised export before transformations; separate read-only raw data, controlled cleaning, derivation and final grouped totals. No exporter setting or spreadsheet formula may silently change the measurement basis. Reconcile per-object counts and units before totals and trace grouped totals back to extraction keys.</w:t>
      </w:r>
    </w:p>
    <w:p>
      <w:pPr/>
      <w:r>
        <w:t>Exclude duplicated federation instances, temporary/demolished/option content only through an approved explicit rule and disposition ledger. Conversely, required temporary works, accessories, nonmodelled work and allowances must be named outside the model scope and measured by their authorised source; zero is not proof of absence. Distinguish type versus occurrence quantities, assemblies versus their parts, material-layer versus host volumes and cross-discipline overlaps. Opening deductions join parent objects and unique opening IDs; prevent subtracting the same opening twice. Record formula input sources; do not add waste to measured geometry without a separately approved allowance.</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3037"/>
        <w:gridCol w:w="2478"/>
        <w:gridCol w:w="3312"/>
        <w:gridCol w:w="1640"/>
      </w:tblGrid>
      <w:tr>
        <w:trPr>
          <w:cantSplit/>
          <w:tblHeader/>
        </w:trPr>
        <w:tc>
          <w:tcPr>
            <w:tcW w:type="dxa" w:w="3037"/>
            <w:shd w:val="clear" w:color="auto" w:fill="111113"/>
          </w:tcPr>
          <w:p>
            <w:r>
              <w:rPr>
                <w:b/>
                <w:color w:val="FFFFFF"/>
                <w:sz w:val="17"/>
              </w:rPr>
            </w:r>
            <w:r>
              <w:rPr>
                <w:b/>
                <w:color w:val="FFFFFF"/>
                <w:sz w:val="17"/>
              </w:rPr>
              <w:t>Quantity line /​ source</w:t>
            </w:r>
          </w:p>
        </w:tc>
        <w:tc>
          <w:tcPr>
            <w:tcW w:type="dxa" w:w="2478"/>
            <w:shd w:val="clear" w:color="auto" w:fill="111113"/>
          </w:tcPr>
          <w:p>
            <w:r>
              <w:rPr>
                <w:b/>
                <w:color w:val="FFFFFF"/>
                <w:sz w:val="17"/>
              </w:rPr>
            </w:r>
            <w:r>
              <w:rPr>
                <w:b/>
                <w:color w:val="FFFFFF"/>
                <w:sz w:val="17"/>
              </w:rPr>
              <w:t>Gross calculation</w:t>
            </w:r>
          </w:p>
        </w:tc>
        <w:tc>
          <w:tcPr>
            <w:tcW w:type="dxa" w:w="3312"/>
            <w:shd w:val="clear" w:color="auto" w:fill="111113"/>
          </w:tcPr>
          <w:p>
            <w:r>
              <w:rPr>
                <w:b/>
                <w:color w:val="FFFFFF"/>
                <w:sz w:val="17"/>
              </w:rPr>
            </w:r>
            <w:r>
              <w:rPr>
                <w:b/>
                <w:color w:val="FFFFFF"/>
                <w:sz w:val="17"/>
              </w:rPr>
              <w:t>Opening deductions</w:t>
            </w:r>
          </w:p>
        </w:tc>
        <w:tc>
          <w:tcPr>
            <w:tcW w:type="dxa" w:w="1640"/>
            <w:shd w:val="clear" w:color="auto" w:fill="111113"/>
          </w:tcPr>
          <w:p>
            <w:r>
              <w:rPr>
                <w:b/>
                <w:color w:val="FFFFFF"/>
                <w:sz w:val="17"/>
              </w:rPr>
            </w:r>
            <w:r>
              <w:rPr>
                <w:b/>
                <w:color w:val="FFFFFF"/>
                <w:sz w:val="17"/>
              </w:rPr>
              <w:t>Net /​ unit</w:t>
            </w:r>
          </w:p>
        </w:tc>
      </w:tr>
      <w:tr>
        <w:trPr>
          <w:cantSplit/>
        </w:trPr>
        <w:tc>
          <w:tcPr>
            <w:tcW w:type="dxa" w:w="3037"/>
          </w:tcPr>
          <w:p>
            <w:r>
              <w:rPr>
                <w:sz w:val="17"/>
              </w:rPr>
            </w:r>
            <w:r>
              <w:rPr>
                <w:sz w:val="17"/>
              </w:rPr>
              <w:t>Q78-01 /​ SYN-W01</w:t>
            </w:r>
          </w:p>
        </w:tc>
        <w:tc>
          <w:tcPr>
            <w:tcW w:type="dxa" w:w="2478"/>
          </w:tcPr>
          <w:p>
            <w:r>
              <w:rPr>
                <w:sz w:val="17"/>
              </w:rPr>
            </w:r>
            <w:r>
              <w:rPr>
                <w:sz w:val="17"/>
              </w:rPr>
              <w:t>10 m x 3 m = 30 m2</w:t>
            </w:r>
          </w:p>
        </w:tc>
        <w:tc>
          <w:tcPr>
            <w:tcW w:type="dxa" w:w="3312"/>
          </w:tcPr>
          <w:p>
            <w:r>
              <w:rPr>
                <w:sz w:val="17"/>
              </w:rPr>
            </w:r>
            <w:r>
              <w:rPr>
                <w:sz w:val="17"/>
              </w:rPr>
              <w:t>SYN-O01: 1 m x 2 m = 2 m2</w:t>
            </w:r>
          </w:p>
        </w:tc>
        <w:tc>
          <w:tcPr>
            <w:tcW w:type="dxa" w:w="1640"/>
          </w:tcPr>
          <w:p>
            <w:r>
              <w:rPr>
                <w:sz w:val="17"/>
              </w:rPr>
            </w:r>
            <w:r>
              <w:rPr>
                <w:sz w:val="17"/>
              </w:rPr>
              <w:t>28 m2</w:t>
            </w:r>
          </w:p>
        </w:tc>
      </w:tr>
      <w:tr>
        <w:trPr>
          <w:cantSplit/>
        </w:trPr>
        <w:tc>
          <w:tcPr>
            <w:tcW w:type="dxa" w:w="3037"/>
          </w:tcPr>
          <w:p>
            <w:r>
              <w:rPr>
                <w:sz w:val="17"/>
              </w:rPr>
            </w:r>
            <w:r>
              <w:rPr>
                <w:sz w:val="17"/>
              </w:rPr>
              <w:t>Q78-02 /​ SYN-W02</w:t>
            </w:r>
          </w:p>
        </w:tc>
        <w:tc>
          <w:tcPr>
            <w:tcW w:type="dxa" w:w="2478"/>
          </w:tcPr>
          <w:p>
            <w:r>
              <w:rPr>
                <w:sz w:val="17"/>
              </w:rPr>
            </w:r>
            <w:r>
              <w:rPr>
                <w:sz w:val="17"/>
              </w:rPr>
              <w:t>5 m x 3 m = 15 m2</w:t>
            </w:r>
          </w:p>
        </w:tc>
        <w:tc>
          <w:tcPr>
            <w:tcW w:type="dxa" w:w="3312"/>
          </w:tcPr>
          <w:p>
            <w:r>
              <w:rPr>
                <w:sz w:val="17"/>
              </w:rPr>
            </w:r>
            <w:r>
              <w:rPr>
                <w:sz w:val="17"/>
              </w:rPr>
              <w:t>SYN-O02: 1.5 m x 2 m = 3 m2</w:t>
            </w:r>
          </w:p>
        </w:tc>
        <w:tc>
          <w:tcPr>
            <w:tcW w:type="dxa" w:w="1640"/>
          </w:tcPr>
          <w:p>
            <w:r>
              <w:rPr>
                <w:sz w:val="17"/>
              </w:rPr>
            </w:r>
            <w:r>
              <w:rPr>
                <w:sz w:val="17"/>
              </w:rPr>
              <w:t>12 m2</w:t>
            </w:r>
          </w:p>
        </w:tc>
      </w:tr>
      <w:tr>
        <w:trPr>
          <w:cantSplit/>
        </w:trPr>
        <w:tc>
          <w:tcPr>
            <w:tcW w:type="dxa" w:w="3037"/>
          </w:tcPr>
          <w:p>
            <w:r>
              <w:rPr>
                <w:sz w:val="17"/>
              </w:rPr>
            </w:r>
            <w:r>
              <w:rPr>
                <w:sz w:val="17"/>
              </w:rPr>
              <w:t>Q78-T /​ R01 scoped total</w:t>
            </w:r>
          </w:p>
        </w:tc>
        <w:tc>
          <w:tcPr>
            <w:tcW w:type="dxa" w:w="2478"/>
          </w:tcPr>
          <w:p>
            <w:r>
              <w:rPr>
                <w:sz w:val="17"/>
              </w:rPr>
            </w:r>
            <w:r>
              <w:rPr>
                <w:sz w:val="17"/>
              </w:rPr>
              <w:t>45 m2</w:t>
            </w:r>
          </w:p>
        </w:tc>
        <w:tc>
          <w:tcPr>
            <w:tcW w:type="dxa" w:w="3312"/>
          </w:tcPr>
          <w:p>
            <w:r>
              <w:rPr>
                <w:sz w:val="17"/>
              </w:rPr>
            </w:r>
            <w:r>
              <w:rPr>
                <w:sz w:val="17"/>
              </w:rPr>
              <w:t>5 m2</w:t>
            </w:r>
          </w:p>
        </w:tc>
        <w:tc>
          <w:tcPr>
            <w:tcW w:type="dxa" w:w="1640"/>
          </w:tcPr>
          <w:p>
            <w:r>
              <w:rPr>
                <w:sz w:val="17"/>
              </w:rPr>
            </w:r>
            <w:r>
              <w:rPr>
                <w:sz w:val="17"/>
              </w:rPr>
              <w:t>40 m2</w:t>
            </w:r>
          </w:p>
        </w:tc>
      </w:tr>
    </w:tbl>
    <w:p/>
    <w:p>
      <w:pPr/>
      <w:r>
        <w:t>The workbook stores inputs and expected results as editable training values with the calculation rule written alongside; it is not an executable quantity engine. A checker must recompute after edits; saved totals are not automatically recalculated. Reject negative net areas, unknown units, orphan openings, duplicate extraction keys, absent required rows or totals generated from a different source revision. Compare native schedule, raw export, derived rows, bill aggregation and independent QS measurement with the same scope; a matching grand total cannot hide offsetting errors.</w:t>
      </w:r>
    </w:p>
    <w:p>
      <w:pPr>
        <w:pStyle w:val="Heading1"/>
      </w:pPr>
      <w:r>
        <w:t>4 5D methodology and protected pricing ownership</w:t>
      </w:r>
    </w:p>
    <w:p>
      <w:pPr/>
      <w:r>
        <w:t>Keep quantity acceptance and price judgement as separate records. RateMetadataID holds CostCode, measured unit/basis, controlled rate-source reference and edition/date, price-base date, currency, geographic/market scope, tax basis, escalation basis/index date, inclusions/exclusions, procurement assumptions, waste/contingency separation, pricing owner/reviewer and approval/review date. Do not place rate amounts or actual commercial sources in this synthetic pack. Unknown metadata remains explicit Hold; a currency label alone does not permit applying or comparing rates. Actual restricted pricing records remain with the authorised cost manager under the project confidentiality/appointment process.</w:t>
      </w:r>
    </w:p>
    <w:p>
      <w:pPr/>
      <w:r>
        <w:t>SYN-RATE78-A is a metadata-only example: CostCode SYN-COST-A, unit m2, source SYN-RATES R01 dated 2026-10-01, price-base 2026-10-01, currency AED, geography SYN-REGION; tax excluded pending appointed tax-basis confirmation, escalation not applied pending approved index and base-date decision, pricing holder role Cost Manager, status Hold. There is no numeric rate or cost total. Do not infer an exemption, market price or authorised service from these invented labels. Record exchange conversion source/date and method for any future multi-currency comparison; never overwrite original-currency evidence.</w:t>
      </w:r>
    </w:p>
    <w:p>
      <w:pPr/>
      <w:r>
        <w:t>For a real commissioned cost model, join an accepted quantity baseline to an authorised compatible rate baseline, preserve both identities, show measured versus nonmodelled allowances separately, and independently review quantities, units, rate applicability and aggregation. Separate design revision effect from rate/date, scope, currency and assumption changes; do not attribute every variance to design. This pack explains the method only and provides no commercial advice.</w:t>
      </w:r>
    </w:p>
    <w:p>
      <w:pPr>
        <w:pStyle w:val="Heading1"/>
      </w:pPr>
      <w:r>
        <w:t>5 Change, reconciliation and independent QS check</w:t>
      </w:r>
    </w:p>
    <w:p>
      <w:pPr/>
      <w:r>
        <w:t>Baseline source set R01 and measurement brief remain immutable. On refresh compare persistent keys, additions/deletions/changed geometry and mappings, phase/options, specification and measurement rules. Retain both input snapshots, ChangeID, affected bill/cost items, reason and approval. A replaced native object needs an explicit predecessor relation; do not assume a new ID is additive scope. Recompute all affected groups and reconcile quantities independently before the delivery-plan commitment changes through the same ChangeID in TIDP/MIDP.</w:t>
      </w:r>
    </w:p>
    <w:p>
      <w:pPr/>
      <w:r>
        <w:t>SYN-CH78-01 changes W02 length from 5 to 6 m in SYN-ARC78 R02, preserving its 3 m height and 3 m2 opening: gross 18, net 15 m2. Total rises from 40 to 43 m2, delta +3 m2 or 7.5% of R01 40. SYN-MB78 requires every nonzero fixture variance to be explained; this is not an ISO threshold. A now totals 31.8 m2 and B remains 11.2 m2. QS independently recomputes from dimensions, not from the export total. Do not compare R02 quantities with an R01 baseline labelled current or conceal mapping-only changes in geometry totals.</w:t>
      </w:r>
    </w:p>
    <w:p>
      <w:pPr/>
      <w:r>
        <w:t>For each real check retain CheckID, exact source/requirement/rule revisions, population and approved representative selection, input/derived/native/independent measurements and units, signed difference, threshold/source, uncertainty/coverage, checker competence/independence and evidence URI/hash/date. Select known cases for openings, sloping/curved objects, assemblies, material layers, phases, linked duplication and unmodelled work relevant to the appointment. Mandatory identities, units and rules require complete checks; sampling does not excuse an unresolved required omission. Extrapolation from sample results needs an explicit qualified uncertainty statement.</w:t>
      </w:r>
    </w:p>
    <w:p>
      <w:pPr>
        <w:pStyle w:val="Heading1"/>
      </w:pPr>
      <w:r>
        <w:t>6 Forms, adverse examples and release decision</w:t>
      </w:r>
    </w:p>
    <w:p>
      <w:pPr/>
      <w:r>
        <w:t>The workbook supplies Brief, Objects, Allocations, Rate metadata, Reconciliation, Tests and Acceptance with matching empty Blank tabs. Field names are worksheet headers; every test joins an explicit fixture/revision. Test78-01 removes the 2 m2 W01 deduction: exported W01=30, total 42, independent 40; expected Fail. Restore Q78-01=28 and total 40 for retest. Test78-02 duplicates W01 allocation at 100% twice: allocated 56 versus source 28; expected Fail; restore 16.8+11.2=28. Test78-03 changes opening unit to mm without conversion: Hold, never parse as m. Test78-04 omits W02 from export: count 1 versus required 2, fail even if an added erroneous quantity masks total. Test78-05 compares R02 total 43 to R01 40 with no ChangeID: Hold until +3 is explained. Reset each mutation independently to R01 unless its test specifies R02. The positive expected arithmetic is supplied; actual host/export/receiver results remain Not executed.</w:t>
      </w:r>
    </w:p>
    <w:p>
      <w:pPr/>
      <w:r>
        <w:t xml:space="preserve">Producer checks all applicable requirements; independent QS reviews measurement and coverage, the authorised delivery role releases exact quantities/method, and the appointed recipient records a scoped use/decision. No open mandatory failure may be averaged away by a coverage score. Record accepted/rejected/held lines, exclusions, nonmodelled scope, uncertain quantities and unresolved assumptions; never label partial coverage a complete accurate bill. A review signature needs its actual holder, scope/date, input/output hashes and evidence. Office adoption, contract rule selection, real model/schedule export and independent measurement/receiving checks remain activation conditions, not missing editorial assets. Keep failed evidence and corrections under </w:t>
      </w:r>
      <w:r>
        <w:rPr>
          <w:color w:val="9A7B45"/>
          <w:u w:val="single"/>
        </w:rPr>
        <w:t>records and recovery</w:t>
      </w:r>
      <w:r>
        <w:t>.</w:t>
      </w:r>
    </w:p>
    <w:p>
      <w:pPr>
        <w:pStyle w:val="Heading1"/>
      </w:pPr>
      <w:r>
        <w:t>References</w:t>
      </w:r>
    </w:p>
    <w:p>
      <w:pPr>
        <w:pStyle w:val="ListParagraph"/>
        <w:spacing w:after="40"/>
        <w:ind w:left="360" w:hanging="240"/>
      </w:pPr>
      <w:r>
        <w:t xml:space="preserve">•  </w:t>
      </w:r>
      <w:r>
        <w:t>Matrix SG-087/088 and plan outline 31; office Glossary 5.2, Manual 3.2/7.2/9, BEP 3.2/6.5, guides 32/36 and linked discipline/property/quality standards are the retained office owners.</w:t>
      </w:r>
    </w:p>
    <w:p>
      <w:pPr>
        <w:pStyle w:val="ListParagraph"/>
        <w:spacing w:after="40"/>
        <w:ind w:left="360" w:hanging="240"/>
      </w:pPr>
      <w:r>
        <w:t xml:space="preserve">•  </w:t>
      </w:r>
      <w:hyperlink r:id="rId15">
        <w:r>
          <w:rPr>
            <w:color w:val="9A7B45"/>
            <w:u w:val="single"/>
          </w:rPr>
          <w:t>RICS NRM publisher</w:t>
        </w:r>
      </w:hyperlink>
      <w:r>
        <w:t xml:space="preserve">, RICS NRM1 and NRM2, editions and effective dates as stated on the RICS page at adoption (record both; not restated here): select the contractual publication and work-section rules, not the training fixture as NRM compliance. </w:t>
      </w:r>
      <w:hyperlink r:id="rId16">
        <w:r>
          <w:rPr>
            <w:color w:val="9A7B45"/>
            <w:u w:val="single"/>
          </w:rPr>
          <w:t>ICMS coalition</w:t>
        </w:r>
      </w:hyperlink>
      <w:r>
        <w:t>, International Cost Management Standard; edition recorded at adoption. Pages reached 2026-11-04.</w:t>
      </w:r>
    </w:p>
    <w:p>
      <w:pPr>
        <w:pStyle w:val="ListParagraph"/>
        <w:spacing w:after="40"/>
        <w:ind w:left="360" w:hanging="240"/>
      </w:pPr>
      <w:r>
        <w:t xml:space="preserve">•  </w:t>
      </w:r>
      <w:hyperlink r:id="rId17">
        <w:r>
          <w:rPr>
            <w:color w:val="9A7B45"/>
            <w:u w:val="single"/>
          </w:rPr>
          <w:t>NIBS NBIMS-US v4 BEP</w:t>
        </w:r>
      </w:hyperlink>
      <w:r>
        <w:t xml:space="preserve"> and </w:t>
      </w:r>
      <w:hyperlink r:id="rId18">
        <w:r>
          <w:rPr>
            <w:color w:val="9A7B45"/>
            <w:u w:val="single"/>
          </w:rPr>
          <w:t>BCA Singapore BIM Guide v2 August 2013, historic benchmark (2013)</w:t>
        </w:r>
      </w:hyperlink>
      <w:r>
        <w:t>, BIM-use planning context. Adapted approach, no copied model-use tables.</w:t>
      </w:r>
    </w:p>
    <w:p>
      <w:pPr>
        <w:pStyle w:val="ListParagraph"/>
        <w:spacing w:after="40"/>
        <w:ind w:left="360" w:hanging="240"/>
      </w:pPr>
      <w:r>
        <w:t xml:space="preserve">•  </w:t>
      </w:r>
      <w:hyperlink r:id="rId19">
        <w:r>
          <w:rPr>
            <w:color w:val="9A7B45"/>
            <w:u w:val="single"/>
          </w:rPr>
          <w:t>ISO 19650-1:2018</w:t>
        </w:r>
      </w:hyperlink>
      <w:r>
        <w:t xml:space="preserve"> clause 5 and </w:t>
      </w:r>
      <w:hyperlink r:id="rId20">
        <w:r>
          <w:rPr>
            <w:color w:val="9A7B45"/>
            <w:u w:val="single"/>
          </w:rPr>
          <w:t>ISO 19650-2:2018</w:t>
        </w:r>
      </w:hyperlink>
      <w:r>
        <w:t xml:space="preserve"> clauses 5.6/5.7 are reading pointers for requirements, production and delivery, supported by </w:t>
      </w:r>
      <w:hyperlink r:id="rId21">
        <w:r>
          <w:rPr>
            <w:color w:val="9A7B45"/>
            <w:u w:val="single"/>
          </w:rPr>
          <w:t>IMI Framework (formerly UK BIM Framework, renamed May 2025) archived Guidance Part A ed2</w:t>
        </w:r>
      </w:hyperlink>
      <w:r>
        <w:t>. Licensed text must be verified for conformity; no paid paragraphs reproduced.</w:t>
      </w:r>
    </w:p>
    <w:p>
      <w:pPr>
        <w:pStyle w:val="ListParagraph"/>
        <w:spacing w:after="40"/>
        <w:ind w:left="360" w:hanging="240"/>
      </w:pPr>
      <w:r>
        <w:t xml:space="preserve">•  </w:t>
      </w:r>
      <w:hyperlink r:id="rId22">
        <w:r>
          <w:rPr>
            <w:color w:val="9A7B45"/>
            <w:u w:val="single"/>
          </w:rPr>
          <w:t>ISO 19650-3:2020</w:t>
        </w:r>
      </w:hyperlink>
      <w:r>
        <w:t xml:space="preserve">, </w:t>
      </w:r>
      <w:hyperlink r:id="rId23">
        <w:r>
          <w:rPr>
            <w:color w:val="9A7B45"/>
            <w:u w:val="single"/>
          </w:rPr>
          <w:t>ISO 19650-5:2020</w:t>
        </w:r>
      </w:hyperlink>
      <w:r>
        <w:t xml:space="preserve"> and </w:t>
      </w:r>
      <w:hyperlink r:id="rId24">
        <w:r>
          <w:rPr>
            <w:color w:val="9A7B45"/>
            <w:u w:val="single"/>
          </w:rPr>
          <w:t>IMI Framework archived Guidance Part D ed2</w:t>
        </w:r>
      </w:hyperlink>
      <w:r>
        <w:t xml:space="preserve"> support lifecycle purpose and sensitivity context. </w:t>
      </w:r>
      <w:hyperlink r:id="rId25">
        <w:r>
          <w:rPr>
            <w:color w:val="9A7B45"/>
            <w:u w:val="single"/>
          </w:rPr>
          <w:t>ISO 7817-1:2024</w:t>
        </w:r>
      </w:hyperlink>
      <w:r>
        <w:t xml:space="preserve"> is current researched LOIN basis; BS EN 17412-1:2020 is the legacy predecessor, preserved where appointed pending controlled change.</w:t>
      </w:r>
    </w:p>
    <w:p>
      <w:pPr>
        <w:pStyle w:val="ListParagraph"/>
        <w:spacing w:after="40"/>
        <w:ind w:left="360" w:hanging="240"/>
      </w:pPr>
      <w:r>
        <w:t xml:space="preserve">•  </w:t>
      </w:r>
      <w:r>
        <w:t xml:space="preserve">UAE applicability remains with </w:t>
      </w:r>
      <w:r>
        <w:rPr>
          <w:color w:val="9A7B45"/>
          <w:u w:val="single"/>
        </w:rPr>
        <w:t>BBM-STD-57</w:t>
      </w:r>
      <w:r>
        <w:t xml:space="preserve">: </w:t>
      </w:r>
      <w:hyperlink r:id="rId26">
        <w:r>
          <w:rPr>
            <w:color w:val="9A7B45"/>
            <w:u w:val="single"/>
          </w:rPr>
          <w:t>DM Al Safat</w:t>
        </w:r>
      </w:hyperlink>
      <w:r>
        <w:t xml:space="preserve">, </w:t>
      </w:r>
      <w:hyperlink r:id="rId27">
        <w:r>
          <w:rPr>
            <w:color w:val="9A7B45"/>
            <w:u w:val="single"/>
          </w:rPr>
          <w:t>ADM BIM Code October 2020</w:t>
        </w:r>
      </w:hyperlink>
      <w:r>
        <w:t xml:space="preserve">, </w:t>
      </w:r>
      <w:hyperlink r:id="rId28">
        <w:r>
          <w:rPr>
            <w:color w:val="9A7B45"/>
            <w:u w:val="single"/>
          </w:rPr>
          <w:t>DDA Final Design Approval</w:t>
        </w:r>
      </w:hyperlink>
      <w:r>
        <w:t>. None establishes a nationwide measurement method or makes quantity acceptance a permit. Primary-source research checked 16 October 2026; project applicability is unverified.</w:t>
      </w:r>
    </w:p>
    <w:sectPr w:rsidR="00922C46" w:rsidSect="00922C46">
      <w:headerReference w:type="default" r:id="rId8"/>
      <w:footerReference w:type="default" r:id="rId9"/>
      <w:headerReference w:type="first" r:id="rId10"/>
      <w:pgSz w:w="11906" w:h="16838"/>
      <w:pgMar w:top="1701" w:right="720" w:bottom="720" w:left="720" w:header="454" w:footer="20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C3B23" w14:textId="77777777" w:rsidR="00721C27" w:rsidRDefault="00721C27" w:rsidP="00CB352A">
      <w:pPr>
        <w:spacing w:after="0" w:line="240" w:lineRule="auto"/>
      </w:pPr>
      <w:r>
        <w:separator/>
      </w:r>
    </w:p>
  </w:endnote>
  <w:endnote w:type="continuationSeparator" w:id="0">
    <w:p w14:paraId="311C7F5C" w14:textId="77777777" w:rsidR="00721C27" w:rsidRDefault="00721C27" w:rsidP="00CB3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Inter">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4038748"/>
      <w:docPartObj>
        <w:docPartGallery w:val="Page Numbers (Bottom of Page)"/>
        <w:docPartUnique/>
      </w:docPartObj>
    </w:sdtPr>
    <w:sdtEndPr>
      <w:rPr>
        <w:color w:val="7F7F7F" w:themeColor="background1" w:themeShade="7F"/>
        <w:spacing w:val="60"/>
      </w:rPr>
    </w:sdtEndPr>
    <w:sdtContent>
      <w:p w14:paraId="71233345" w14:textId="16A281E0" w:rsidR="00F66F4B" w:rsidRDefault="00F66F4B">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3B1D756A" w14:textId="666CA5D8" w:rsidR="00F66F4B" w:rsidRDefault="00F66F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9EE4E" w14:textId="77777777" w:rsidR="00721C27" w:rsidRDefault="00721C27" w:rsidP="00CB352A">
      <w:pPr>
        <w:spacing w:after="0" w:line="240" w:lineRule="auto"/>
      </w:pPr>
      <w:r>
        <w:separator/>
      </w:r>
    </w:p>
  </w:footnote>
  <w:footnote w:type="continuationSeparator" w:id="0">
    <w:p w14:paraId="12244030" w14:textId="77777777" w:rsidR="00721C27" w:rsidRDefault="00721C27" w:rsidP="00CB35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28C6C" w14:textId="515D1FCF" w:rsidR="00CB352A" w:rsidRDefault="009C7B28">
    <w:pPr>
      <w:pStyle w:val="Header"/>
      <w:rPr>
        <w:b/>
        <w:bCs/>
      </w:rP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58240" behindDoc="0" locked="0" layoutInCell="1" allowOverlap="1" wp14:anchorId="0228A8AB" wp14:editId="336A9345">
          <wp:simplePos x="0" y="0"/>
          <wp:positionH relativeFrom="margin">
            <wp:align>right</wp:align>
          </wp:positionH>
          <wp:positionV relativeFrom="page">
            <wp:posOffset>288000</wp:posOffset>
          </wp:positionV>
          <wp:extent cx="900000" cy="282750"/>
          <wp:effectExtent l="0" t="0" r="0" b="9525"/>
          <wp:wrapNone/>
          <wp:docPr id="923870934"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r w:rsidR="0089320F" w:rsidRPr="0089320F">
      <w:rPr>
        <w:b/>
        <w:bCs/>
      </w:rPr>
      <w:t>BBM-BIM | BBM-STD-78-QUANTITIES_AND_5D-V0.2</w:t>
    </w:r>
    <w:r w:rsidR="00A018A2">
      <w:rPr>
        <w:b/>
        <w:bCs/>
      </w:rPr>
    </w:r>
    <w:r w:rsidR="00050B13">
      <w:rPr>
        <w:b/>
        <w:bCs/>
      </w:rPr>
    </w:r>
  </w:p>
  <w:p w14:paraId="6DEDEFD4" w14:textId="77777777" w:rsidR="00F66F4B" w:rsidRDefault="00F66F4B">
    <w:pPr>
      <w:pStyle w:val="Header"/>
      <w:rPr>
        <w:b/>
        <w:bCs/>
      </w:rPr>
    </w:pPr>
  </w:p>
  <w:p w14:paraId="1F087E3B" w14:textId="77777777" w:rsidR="0089320F" w:rsidRPr="0089320F" w:rsidRDefault="0089320F">
    <w:pPr>
      <w:pStyle w:val="Header"/>
      <w:rPr>
        <w:b/>
        <w:b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3CAFC" w14:textId="11F1D81D" w:rsidR="0038312B" w:rsidRDefault="0038312B">
    <w:pPr>
      <w:pStyle w:val="Heade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60288" behindDoc="0" locked="0" layoutInCell="1" allowOverlap="1" wp14:anchorId="05FC8F1B" wp14:editId="450AA59F">
          <wp:simplePos x="0" y="0"/>
          <wp:positionH relativeFrom="margin">
            <wp:align>right</wp:align>
          </wp:positionH>
          <wp:positionV relativeFrom="page">
            <wp:posOffset>288000</wp:posOffset>
          </wp:positionV>
          <wp:extent cx="900000" cy="282750"/>
          <wp:effectExtent l="0" t="0" r="0" b="9525"/>
          <wp:wrapNone/>
          <wp:docPr id="1296434436"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75CB5"/>
    <w:multiLevelType w:val="multilevel"/>
    <w:tmpl w:val="A9BE5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BE5580"/>
    <w:multiLevelType w:val="multilevel"/>
    <w:tmpl w:val="9F8C4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810C3F"/>
    <w:multiLevelType w:val="multilevel"/>
    <w:tmpl w:val="FDB47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1F5278"/>
    <w:multiLevelType w:val="multilevel"/>
    <w:tmpl w:val="D27A30C0"/>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5E607D4"/>
    <w:multiLevelType w:val="multilevel"/>
    <w:tmpl w:val="0F58E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D22449"/>
    <w:multiLevelType w:val="multilevel"/>
    <w:tmpl w:val="7FDA3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291BE1"/>
    <w:multiLevelType w:val="multilevel"/>
    <w:tmpl w:val="9A982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B16DFE"/>
    <w:multiLevelType w:val="multilevel"/>
    <w:tmpl w:val="10F84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480DBE"/>
    <w:multiLevelType w:val="multilevel"/>
    <w:tmpl w:val="C8506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AE3636F"/>
    <w:multiLevelType w:val="multilevel"/>
    <w:tmpl w:val="DA9E6A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1543BB"/>
    <w:multiLevelType w:val="multilevel"/>
    <w:tmpl w:val="19F65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B2324D"/>
    <w:multiLevelType w:val="multilevel"/>
    <w:tmpl w:val="FC3899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D3A2E07"/>
    <w:multiLevelType w:val="multilevel"/>
    <w:tmpl w:val="E2403C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EBD2A97"/>
    <w:multiLevelType w:val="multilevel"/>
    <w:tmpl w:val="43A21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EC43213"/>
    <w:multiLevelType w:val="multilevel"/>
    <w:tmpl w:val="84809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0B110E8"/>
    <w:multiLevelType w:val="multilevel"/>
    <w:tmpl w:val="80524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0C465B0"/>
    <w:multiLevelType w:val="multilevel"/>
    <w:tmpl w:val="C0504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49A7D33"/>
    <w:multiLevelType w:val="hybridMultilevel"/>
    <w:tmpl w:val="ACE66CBA"/>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18" w15:restartNumberingAfterBreak="0">
    <w:nsid w:val="187B4E90"/>
    <w:multiLevelType w:val="multilevel"/>
    <w:tmpl w:val="5EAA3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CF47AEF"/>
    <w:multiLevelType w:val="multilevel"/>
    <w:tmpl w:val="0CD46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F651B91"/>
    <w:multiLevelType w:val="multilevel"/>
    <w:tmpl w:val="9998F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08076E0"/>
    <w:multiLevelType w:val="multilevel"/>
    <w:tmpl w:val="9A4E11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1916E4C"/>
    <w:multiLevelType w:val="multilevel"/>
    <w:tmpl w:val="73085B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3983E25"/>
    <w:multiLevelType w:val="multilevel"/>
    <w:tmpl w:val="9FD661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49F27FC"/>
    <w:multiLevelType w:val="multilevel"/>
    <w:tmpl w:val="43102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5CE0CD0"/>
    <w:multiLevelType w:val="hybridMultilevel"/>
    <w:tmpl w:val="877C0468"/>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26" w15:restartNumberingAfterBreak="0">
    <w:nsid w:val="25E45045"/>
    <w:multiLevelType w:val="multilevel"/>
    <w:tmpl w:val="6D222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8BD15BC"/>
    <w:multiLevelType w:val="multilevel"/>
    <w:tmpl w:val="E4B21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A054ACD"/>
    <w:multiLevelType w:val="multilevel"/>
    <w:tmpl w:val="A5BE0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BBE48F0"/>
    <w:multiLevelType w:val="multilevel"/>
    <w:tmpl w:val="A142F3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EDA1723"/>
    <w:multiLevelType w:val="hybridMultilevel"/>
    <w:tmpl w:val="1AD011EC"/>
    <w:lvl w:ilvl="0" w:tplc="498CDACA">
      <w:numFmt w:val="bullet"/>
      <w:lvlText w:val="•"/>
      <w:lvlJc w:val="left"/>
      <w:pPr>
        <w:ind w:left="720" w:hanging="360"/>
      </w:pPr>
      <w:rPr>
        <w:rFonts w:ascii="Times New Roman" w:eastAsia="Times New Roman" w:hAnsi="Times New Roman" w:cs="Times New Roman"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1" w15:restartNumberingAfterBreak="0">
    <w:nsid w:val="30B418A3"/>
    <w:multiLevelType w:val="multilevel"/>
    <w:tmpl w:val="932808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13038C1"/>
    <w:multiLevelType w:val="multilevel"/>
    <w:tmpl w:val="252A2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1D27B7E"/>
    <w:multiLevelType w:val="multilevel"/>
    <w:tmpl w:val="BB3A3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33824DB"/>
    <w:multiLevelType w:val="hybridMultilevel"/>
    <w:tmpl w:val="BD40DAA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5" w15:restartNumberingAfterBreak="0">
    <w:nsid w:val="35AC3C79"/>
    <w:multiLevelType w:val="hybridMultilevel"/>
    <w:tmpl w:val="743EF4BA"/>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6" w15:restartNumberingAfterBreak="0">
    <w:nsid w:val="3CE442A6"/>
    <w:multiLevelType w:val="hybridMultilevel"/>
    <w:tmpl w:val="25DCC4CC"/>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7" w15:restartNumberingAfterBreak="0">
    <w:nsid w:val="3D203C6B"/>
    <w:multiLevelType w:val="multilevel"/>
    <w:tmpl w:val="482E79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E80033A"/>
    <w:multiLevelType w:val="multilevel"/>
    <w:tmpl w:val="F54CE6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F990FD6"/>
    <w:multiLevelType w:val="multilevel"/>
    <w:tmpl w:val="5DB66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5B207C1"/>
    <w:multiLevelType w:val="multilevel"/>
    <w:tmpl w:val="3F588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74743A6"/>
    <w:multiLevelType w:val="multilevel"/>
    <w:tmpl w:val="0464C7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89D6270"/>
    <w:multiLevelType w:val="multilevel"/>
    <w:tmpl w:val="493859AE"/>
    <w:lvl w:ilvl="0">
      <w:start w:val="1"/>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4B37442B"/>
    <w:multiLevelType w:val="multilevel"/>
    <w:tmpl w:val="DCC4D0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D4D4C7F"/>
    <w:multiLevelType w:val="multilevel"/>
    <w:tmpl w:val="F8B83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D6C620A"/>
    <w:multiLevelType w:val="multilevel"/>
    <w:tmpl w:val="D01A0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DA02F28"/>
    <w:multiLevelType w:val="hybridMultilevel"/>
    <w:tmpl w:val="89589A58"/>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7" w15:restartNumberingAfterBreak="0">
    <w:nsid w:val="510A30BE"/>
    <w:multiLevelType w:val="multilevel"/>
    <w:tmpl w:val="387A2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1D07053"/>
    <w:multiLevelType w:val="hybridMultilevel"/>
    <w:tmpl w:val="753CE6EA"/>
    <w:lvl w:ilvl="0" w:tplc="137A8158">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9" w15:restartNumberingAfterBreak="0">
    <w:nsid w:val="51F9764D"/>
    <w:multiLevelType w:val="hybridMultilevel"/>
    <w:tmpl w:val="6D90A5F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0" w15:restartNumberingAfterBreak="0">
    <w:nsid w:val="53257493"/>
    <w:multiLevelType w:val="multilevel"/>
    <w:tmpl w:val="1862EF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55033D6"/>
    <w:multiLevelType w:val="multilevel"/>
    <w:tmpl w:val="C024A6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5DF1E1A"/>
    <w:multiLevelType w:val="multilevel"/>
    <w:tmpl w:val="EA0AFF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7897B19"/>
    <w:multiLevelType w:val="hybridMultilevel"/>
    <w:tmpl w:val="C5142CA6"/>
    <w:lvl w:ilvl="0" w:tplc="D1F2EEA4">
      <w:numFmt w:val="bullet"/>
      <w:lvlText w:val="•"/>
      <w:lvlJc w:val="left"/>
      <w:pPr>
        <w:ind w:left="720" w:hanging="360"/>
      </w:pPr>
      <w:rPr>
        <w:rFonts w:ascii="Aptos" w:eastAsiaTheme="minorHAnsi" w:hAnsi="Aptos"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4" w15:restartNumberingAfterBreak="0">
    <w:nsid w:val="58987667"/>
    <w:multiLevelType w:val="multilevel"/>
    <w:tmpl w:val="44282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A4841AC"/>
    <w:multiLevelType w:val="multilevel"/>
    <w:tmpl w:val="65D41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C154B9E"/>
    <w:multiLevelType w:val="multilevel"/>
    <w:tmpl w:val="3EDCE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CF446D6"/>
    <w:multiLevelType w:val="multilevel"/>
    <w:tmpl w:val="9AE833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DA12C63"/>
    <w:multiLevelType w:val="multilevel"/>
    <w:tmpl w:val="19BA55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EA64FFB"/>
    <w:multiLevelType w:val="multilevel"/>
    <w:tmpl w:val="4BEC1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F26775D"/>
    <w:multiLevelType w:val="multilevel"/>
    <w:tmpl w:val="0DCCC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F4C2599"/>
    <w:multiLevelType w:val="multilevel"/>
    <w:tmpl w:val="13B8F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07C44F1"/>
    <w:multiLevelType w:val="multilevel"/>
    <w:tmpl w:val="3CC6F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43467FE"/>
    <w:multiLevelType w:val="multilevel"/>
    <w:tmpl w:val="9522E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DB57CDF"/>
    <w:multiLevelType w:val="multilevel"/>
    <w:tmpl w:val="72E67D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E964972"/>
    <w:multiLevelType w:val="multilevel"/>
    <w:tmpl w:val="C3AC1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0511F6D"/>
    <w:multiLevelType w:val="multilevel"/>
    <w:tmpl w:val="9BEC2E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123172F"/>
    <w:multiLevelType w:val="multilevel"/>
    <w:tmpl w:val="12B65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4BE5B37"/>
    <w:multiLevelType w:val="multilevel"/>
    <w:tmpl w:val="27C63A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8180DFE"/>
    <w:multiLevelType w:val="multilevel"/>
    <w:tmpl w:val="176CF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83555A3"/>
    <w:multiLevelType w:val="multilevel"/>
    <w:tmpl w:val="1EF28A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9CD7C91"/>
    <w:multiLevelType w:val="multilevel"/>
    <w:tmpl w:val="0FC41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9D12550"/>
    <w:multiLevelType w:val="multilevel"/>
    <w:tmpl w:val="5F00E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9FC1C66"/>
    <w:multiLevelType w:val="hybridMultilevel"/>
    <w:tmpl w:val="6246873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4" w15:restartNumberingAfterBreak="0">
    <w:nsid w:val="7BAE16B6"/>
    <w:multiLevelType w:val="hybridMultilevel"/>
    <w:tmpl w:val="E8164416"/>
    <w:lvl w:ilvl="0" w:tplc="D52ED5B4">
      <w:numFmt w:val="bullet"/>
      <w:lvlText w:val="•"/>
      <w:lvlJc w:val="left"/>
      <w:pPr>
        <w:ind w:left="720" w:hanging="360"/>
      </w:pPr>
      <w:rPr>
        <w:rFonts w:ascii="Times New Roman" w:eastAsia="Times New Roman" w:hAnsi="Times New Roman" w:cs="Times New Roman" w:hint="default"/>
        <w:b/>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5" w15:restartNumberingAfterBreak="0">
    <w:nsid w:val="7D3F25B3"/>
    <w:multiLevelType w:val="multilevel"/>
    <w:tmpl w:val="EA4893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EC23B7E"/>
    <w:multiLevelType w:val="multilevel"/>
    <w:tmpl w:val="416C6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EF26A17"/>
    <w:multiLevelType w:val="hybridMultilevel"/>
    <w:tmpl w:val="E7F42ABC"/>
    <w:lvl w:ilvl="0" w:tplc="51D0EC10">
      <w:start w:val="2"/>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8" w15:restartNumberingAfterBreak="0">
    <w:nsid w:val="7EFD14F4"/>
    <w:multiLevelType w:val="hybridMultilevel"/>
    <w:tmpl w:val="1E980114"/>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9" w15:restartNumberingAfterBreak="0">
    <w:nsid w:val="7F303287"/>
    <w:multiLevelType w:val="multilevel"/>
    <w:tmpl w:val="2EBAE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8837531">
    <w:abstractNumId w:val="11"/>
  </w:num>
  <w:num w:numId="2" w16cid:durableId="1351297986">
    <w:abstractNumId w:val="53"/>
  </w:num>
  <w:num w:numId="3" w16cid:durableId="1365397943">
    <w:abstractNumId w:val="56"/>
  </w:num>
  <w:num w:numId="4" w16cid:durableId="2071027318">
    <w:abstractNumId w:val="75"/>
  </w:num>
  <w:num w:numId="5" w16cid:durableId="210533793">
    <w:abstractNumId w:val="32"/>
  </w:num>
  <w:num w:numId="6" w16cid:durableId="445732298">
    <w:abstractNumId w:val="61"/>
  </w:num>
  <w:num w:numId="7" w16cid:durableId="133573405">
    <w:abstractNumId w:val="30"/>
  </w:num>
  <w:num w:numId="8" w16cid:durableId="574585613">
    <w:abstractNumId w:val="74"/>
  </w:num>
  <w:num w:numId="9" w16cid:durableId="1349478103">
    <w:abstractNumId w:val="59"/>
  </w:num>
  <w:num w:numId="10" w16cid:durableId="2110003057">
    <w:abstractNumId w:val="45"/>
  </w:num>
  <w:num w:numId="11" w16cid:durableId="1874147494">
    <w:abstractNumId w:val="28"/>
  </w:num>
  <w:num w:numId="12" w16cid:durableId="2079087691">
    <w:abstractNumId w:val="3"/>
  </w:num>
  <w:num w:numId="13" w16cid:durableId="1823153762">
    <w:abstractNumId w:val="36"/>
  </w:num>
  <w:num w:numId="14" w16cid:durableId="1909921589">
    <w:abstractNumId w:val="12"/>
  </w:num>
  <w:num w:numId="15" w16cid:durableId="641083692">
    <w:abstractNumId w:val="77"/>
  </w:num>
  <w:num w:numId="16" w16cid:durableId="1245065181">
    <w:abstractNumId w:val="21"/>
  </w:num>
  <w:num w:numId="17" w16cid:durableId="398945280">
    <w:abstractNumId w:val="14"/>
  </w:num>
  <w:num w:numId="18" w16cid:durableId="16122890">
    <w:abstractNumId w:val="42"/>
  </w:num>
  <w:num w:numId="19" w16cid:durableId="1635210469">
    <w:abstractNumId w:val="25"/>
  </w:num>
  <w:num w:numId="20" w16cid:durableId="218126872">
    <w:abstractNumId w:val="17"/>
  </w:num>
  <w:num w:numId="21" w16cid:durableId="1801800760">
    <w:abstractNumId w:val="34"/>
  </w:num>
  <w:num w:numId="22" w16cid:durableId="1988775808">
    <w:abstractNumId w:val="47"/>
  </w:num>
  <w:num w:numId="23" w16cid:durableId="471681732">
    <w:abstractNumId w:val="27"/>
  </w:num>
  <w:num w:numId="24" w16cid:durableId="1064639593">
    <w:abstractNumId w:val="72"/>
  </w:num>
  <w:num w:numId="25" w16cid:durableId="2090497845">
    <w:abstractNumId w:val="23"/>
  </w:num>
  <w:num w:numId="26" w16cid:durableId="1181160950">
    <w:abstractNumId w:val="66"/>
  </w:num>
  <w:num w:numId="27" w16cid:durableId="1095247099">
    <w:abstractNumId w:val="26"/>
  </w:num>
  <w:num w:numId="28" w16cid:durableId="1520775121">
    <w:abstractNumId w:val="55"/>
  </w:num>
  <w:num w:numId="29" w16cid:durableId="600991068">
    <w:abstractNumId w:val="29"/>
  </w:num>
  <w:num w:numId="30" w16cid:durableId="1683556577">
    <w:abstractNumId w:val="51"/>
  </w:num>
  <w:num w:numId="31" w16cid:durableId="974061579">
    <w:abstractNumId w:val="43"/>
  </w:num>
  <w:num w:numId="32" w16cid:durableId="1131433968">
    <w:abstractNumId w:val="50"/>
  </w:num>
  <w:num w:numId="33" w16cid:durableId="512912934">
    <w:abstractNumId w:val="58"/>
  </w:num>
  <w:num w:numId="34" w16cid:durableId="1647661682">
    <w:abstractNumId w:val="5"/>
  </w:num>
  <w:num w:numId="35" w16cid:durableId="973022565">
    <w:abstractNumId w:val="24"/>
  </w:num>
  <w:num w:numId="36" w16cid:durableId="2025981299">
    <w:abstractNumId w:val="37"/>
  </w:num>
  <w:num w:numId="37" w16cid:durableId="60642266">
    <w:abstractNumId w:val="31"/>
  </w:num>
  <w:num w:numId="38" w16cid:durableId="2132359830">
    <w:abstractNumId w:val="9"/>
  </w:num>
  <w:num w:numId="39" w16cid:durableId="313875134">
    <w:abstractNumId w:val="38"/>
  </w:num>
  <w:num w:numId="40" w16cid:durableId="1400589230">
    <w:abstractNumId w:val="1"/>
  </w:num>
  <w:num w:numId="41" w16cid:durableId="2120292575">
    <w:abstractNumId w:val="22"/>
  </w:num>
  <w:num w:numId="42" w16cid:durableId="1371876170">
    <w:abstractNumId w:val="57"/>
  </w:num>
  <w:num w:numId="43" w16cid:durableId="1466267942">
    <w:abstractNumId w:val="62"/>
  </w:num>
  <w:num w:numId="44" w16cid:durableId="3631326">
    <w:abstractNumId w:val="4"/>
  </w:num>
  <w:num w:numId="45" w16cid:durableId="1991057930">
    <w:abstractNumId w:val="41"/>
  </w:num>
  <w:num w:numId="46" w16cid:durableId="664094968">
    <w:abstractNumId w:val="76"/>
  </w:num>
  <w:num w:numId="47" w16cid:durableId="1739940048">
    <w:abstractNumId w:val="49"/>
  </w:num>
  <w:num w:numId="48" w16cid:durableId="286551571">
    <w:abstractNumId w:val="16"/>
  </w:num>
  <w:num w:numId="49" w16cid:durableId="846596105">
    <w:abstractNumId w:val="40"/>
  </w:num>
  <w:num w:numId="50" w16cid:durableId="510607186">
    <w:abstractNumId w:val="63"/>
  </w:num>
  <w:num w:numId="51" w16cid:durableId="12155379">
    <w:abstractNumId w:val="2"/>
  </w:num>
  <w:num w:numId="52" w16cid:durableId="1045834822">
    <w:abstractNumId w:val="54"/>
  </w:num>
  <w:num w:numId="53" w16cid:durableId="804196552">
    <w:abstractNumId w:val="73"/>
  </w:num>
  <w:num w:numId="54" w16cid:durableId="178736295">
    <w:abstractNumId w:val="10"/>
  </w:num>
  <w:num w:numId="55" w16cid:durableId="1877966397">
    <w:abstractNumId w:val="46"/>
  </w:num>
  <w:num w:numId="56" w16cid:durableId="1944485735">
    <w:abstractNumId w:val="8"/>
  </w:num>
  <w:num w:numId="57" w16cid:durableId="1237714374">
    <w:abstractNumId w:val="35"/>
  </w:num>
  <w:num w:numId="58" w16cid:durableId="165638271">
    <w:abstractNumId w:val="78"/>
  </w:num>
  <w:num w:numId="59" w16cid:durableId="881479234">
    <w:abstractNumId w:val="48"/>
  </w:num>
  <w:num w:numId="60" w16cid:durableId="861405408">
    <w:abstractNumId w:val="18"/>
  </w:num>
  <w:num w:numId="61" w16cid:durableId="1968507311">
    <w:abstractNumId w:val="52"/>
  </w:num>
  <w:num w:numId="62" w16cid:durableId="726805067">
    <w:abstractNumId w:val="7"/>
  </w:num>
  <w:num w:numId="63" w16cid:durableId="694841789">
    <w:abstractNumId w:val="19"/>
  </w:num>
  <w:num w:numId="64" w16cid:durableId="628516054">
    <w:abstractNumId w:val="69"/>
  </w:num>
  <w:num w:numId="65" w16cid:durableId="1222668138">
    <w:abstractNumId w:val="65"/>
  </w:num>
  <w:num w:numId="66" w16cid:durableId="1019281562">
    <w:abstractNumId w:val="70"/>
  </w:num>
  <w:num w:numId="67" w16cid:durableId="1271547946">
    <w:abstractNumId w:val="20"/>
  </w:num>
  <w:num w:numId="68" w16cid:durableId="726295327">
    <w:abstractNumId w:val="64"/>
  </w:num>
  <w:num w:numId="69" w16cid:durableId="831221370">
    <w:abstractNumId w:val="68"/>
  </w:num>
  <w:num w:numId="70" w16cid:durableId="137649203">
    <w:abstractNumId w:val="44"/>
  </w:num>
  <w:num w:numId="71" w16cid:durableId="1085299768">
    <w:abstractNumId w:val="71"/>
  </w:num>
  <w:num w:numId="72" w16cid:durableId="1020814749">
    <w:abstractNumId w:val="79"/>
  </w:num>
  <w:num w:numId="73" w16cid:durableId="1082262486">
    <w:abstractNumId w:val="33"/>
  </w:num>
  <w:num w:numId="74" w16cid:durableId="1776947863">
    <w:abstractNumId w:val="67"/>
  </w:num>
  <w:num w:numId="75" w16cid:durableId="115297018">
    <w:abstractNumId w:val="60"/>
  </w:num>
  <w:num w:numId="76" w16cid:durableId="23871195">
    <w:abstractNumId w:val="39"/>
  </w:num>
  <w:num w:numId="77" w16cid:durableId="2099859680">
    <w:abstractNumId w:val="13"/>
  </w:num>
  <w:num w:numId="78" w16cid:durableId="900794897">
    <w:abstractNumId w:val="0"/>
  </w:num>
  <w:num w:numId="79" w16cid:durableId="2037386573">
    <w:abstractNumId w:val="15"/>
  </w:num>
  <w:num w:numId="80" w16cid:durableId="11658962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7A1"/>
    <w:rsid w:val="00011DE7"/>
    <w:rsid w:val="00014181"/>
    <w:rsid w:val="00015002"/>
    <w:rsid w:val="00031E93"/>
    <w:rsid w:val="00050B13"/>
    <w:rsid w:val="00071679"/>
    <w:rsid w:val="000B77CC"/>
    <w:rsid w:val="000D2CAD"/>
    <w:rsid w:val="000D3F31"/>
    <w:rsid w:val="000E40BB"/>
    <w:rsid w:val="00106139"/>
    <w:rsid w:val="001344DE"/>
    <w:rsid w:val="00135631"/>
    <w:rsid w:val="001455B9"/>
    <w:rsid w:val="00166022"/>
    <w:rsid w:val="001921A6"/>
    <w:rsid w:val="001C3FBF"/>
    <w:rsid w:val="001E35E1"/>
    <w:rsid w:val="0024151C"/>
    <w:rsid w:val="00244E2A"/>
    <w:rsid w:val="002B62CB"/>
    <w:rsid w:val="002B72A5"/>
    <w:rsid w:val="002E22B1"/>
    <w:rsid w:val="002E26B1"/>
    <w:rsid w:val="002E7B1C"/>
    <w:rsid w:val="003465B5"/>
    <w:rsid w:val="00381C02"/>
    <w:rsid w:val="0038312B"/>
    <w:rsid w:val="00384EA1"/>
    <w:rsid w:val="00386C78"/>
    <w:rsid w:val="003E3D4A"/>
    <w:rsid w:val="003F0FED"/>
    <w:rsid w:val="0044196E"/>
    <w:rsid w:val="0046252B"/>
    <w:rsid w:val="004A6153"/>
    <w:rsid w:val="004B0410"/>
    <w:rsid w:val="004C5116"/>
    <w:rsid w:val="004F0F2D"/>
    <w:rsid w:val="00584E33"/>
    <w:rsid w:val="005C3D0B"/>
    <w:rsid w:val="005C6025"/>
    <w:rsid w:val="00603D1F"/>
    <w:rsid w:val="00606DB4"/>
    <w:rsid w:val="00670C60"/>
    <w:rsid w:val="00675752"/>
    <w:rsid w:val="006A3C85"/>
    <w:rsid w:val="006F2333"/>
    <w:rsid w:val="00721C27"/>
    <w:rsid w:val="0072403D"/>
    <w:rsid w:val="00811E67"/>
    <w:rsid w:val="0081580C"/>
    <w:rsid w:val="008246ED"/>
    <w:rsid w:val="00832F4E"/>
    <w:rsid w:val="00836FBF"/>
    <w:rsid w:val="008449E9"/>
    <w:rsid w:val="00872D61"/>
    <w:rsid w:val="00884127"/>
    <w:rsid w:val="0089320F"/>
    <w:rsid w:val="00922C46"/>
    <w:rsid w:val="009C7B28"/>
    <w:rsid w:val="009E6369"/>
    <w:rsid w:val="009F2E66"/>
    <w:rsid w:val="009F657F"/>
    <w:rsid w:val="00A018A2"/>
    <w:rsid w:val="00A11121"/>
    <w:rsid w:val="00A267E2"/>
    <w:rsid w:val="00A8584F"/>
    <w:rsid w:val="00AA67BF"/>
    <w:rsid w:val="00AA7E9A"/>
    <w:rsid w:val="00AB36A2"/>
    <w:rsid w:val="00AD592D"/>
    <w:rsid w:val="00B26407"/>
    <w:rsid w:val="00B82C0A"/>
    <w:rsid w:val="00BA4935"/>
    <w:rsid w:val="00BB2E0C"/>
    <w:rsid w:val="00BF5F8A"/>
    <w:rsid w:val="00BF6C96"/>
    <w:rsid w:val="00C10D76"/>
    <w:rsid w:val="00C128AF"/>
    <w:rsid w:val="00C47258"/>
    <w:rsid w:val="00C62CFE"/>
    <w:rsid w:val="00C90F45"/>
    <w:rsid w:val="00CB352A"/>
    <w:rsid w:val="00CC064F"/>
    <w:rsid w:val="00CF67A1"/>
    <w:rsid w:val="00D04E04"/>
    <w:rsid w:val="00D50B5A"/>
    <w:rsid w:val="00D676C0"/>
    <w:rsid w:val="00D76C48"/>
    <w:rsid w:val="00DD0AC6"/>
    <w:rsid w:val="00DE2E50"/>
    <w:rsid w:val="00E070CA"/>
    <w:rsid w:val="00E07122"/>
    <w:rsid w:val="00E61CAC"/>
    <w:rsid w:val="00E74AA0"/>
    <w:rsid w:val="00E86154"/>
    <w:rsid w:val="00E868BF"/>
    <w:rsid w:val="00E94A0E"/>
    <w:rsid w:val="00EA0679"/>
    <w:rsid w:val="00EA3575"/>
    <w:rsid w:val="00EC0C97"/>
    <w:rsid w:val="00ED53F1"/>
    <w:rsid w:val="00F3602F"/>
    <w:rsid w:val="00F66F4B"/>
    <w:rsid w:val="00F861B0"/>
    <w:rsid w:val="00F93E7C"/>
    <w:rsid w:val="00FA2C09"/>
    <w:rsid w:val="00FA42A9"/>
    <w:rsid w:val="00FF75AA"/>
  </w:rsids>
  <m:mathPr>
    <m:mathFont m:val="Cambria Math"/>
    <m:brkBin m:val="before"/>
    <m:brkBinSub m:val="--"/>
    <m:smallFrac m:val="0"/>
    <m:dispDef/>
    <m:lMargin m:val="0"/>
    <m:rMargin m:val="0"/>
    <m:defJc m:val="centerGroup"/>
    <m:wrapIndent m:val="1440"/>
    <m:intLim m:val="subSup"/>
    <m:naryLim m:val="undOvr"/>
  </m:mathPr>
  <w:themeFontLang w:val="en-A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4A9A19"/>
  <w15:chartTrackingRefBased/>
  <w15:docId w15:val="{97BBD25F-B166-4413-9BF0-9496AD416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C78"/>
    <w:rPr>
      <w:rFonts w:ascii="Inter" w:hAnsi="Inter" w:eastAsia="Inter" w:cs="Inter"/>
      <w:color w:val="14130F"/>
      <w:sz w:val="20"/>
    </w:rPr>
  </w:style>
  <w:style w:type="paragraph" w:styleId="Heading1">
    <w:name w:val="heading 1"/>
    <w:basedOn w:val="Normal"/>
    <w:next w:val="Normal"/>
    <w:link w:val="Heading1Char"/>
    <w:autoRedefine/>
    <w:uiPriority w:val="9"/>
    <w:qFormat/>
    <w:rsid w:val="009C7B28"/>
    <w:pPr>
      <w:keepNext/>
      <w:keepLines/>
      <w:spacing w:before="360" w:after="80"/>
      <w:outlineLvl w:val="0"/>
    </w:pPr>
    <w:rPr>
      <w:rFonts w:ascii="Inter" w:eastAsiaTheme="majorEastAsia" w:hAnsi="Inter" w:cstheme="majorBidi" w:eastAsia="Inter" w:cs="Inter"/>
      <w:b/>
      <w:color w:val="9A7B45"/>
      <w:sz w:val="32"/>
      <w:szCs w:val="40"/>
    </w:rPr>
  </w:style>
  <w:style w:type="paragraph" w:styleId="Heading2">
    <w:name w:val="heading 2"/>
    <w:basedOn w:val="Normal"/>
    <w:next w:val="Normal"/>
    <w:link w:val="Heading2Char"/>
    <w:autoRedefine/>
    <w:uiPriority w:val="9"/>
    <w:unhideWhenUsed/>
    <w:qFormat/>
    <w:rsid w:val="00386C78"/>
    <w:pPr>
      <w:keepNext/>
      <w:keepLines/>
      <w:tabs>
        <w:tab w:val="left" w:pos="1080"/>
      </w:tabs>
      <w:spacing w:before="280" w:after="200"/>
      <w:outlineLvl w:val="1"/>
    </w:pPr>
    <w:rPr>
      <w:rFonts w:ascii="Inter" w:eastAsiaTheme="majorEastAsia" w:hAnsi="Inter" w:cstheme="majorBidi" w:eastAsia="Inter" w:cs="Inter"/>
      <w:b/>
      <w:color w:val="14130F"/>
      <w:sz w:val="26"/>
      <w:szCs w:val="32"/>
    </w:rPr>
  </w:style>
  <w:style w:type="paragraph" w:styleId="Heading3">
    <w:name w:val="heading 3"/>
    <w:basedOn w:val="Normal"/>
    <w:next w:val="Normal"/>
    <w:link w:val="Heading3Char"/>
    <w:uiPriority w:val="9"/>
    <w:unhideWhenUsed/>
    <w:qFormat/>
    <w:rsid w:val="002E26B1"/>
    <w:pPr>
      <w:keepNext/>
      <w:keepLines/>
      <w:spacing w:before="160" w:after="80"/>
      <w:outlineLvl w:val="2"/>
    </w:pPr>
    <w:rPr>
      <w:rFonts w:eastAsiaTheme="majorEastAsia" w:cstheme="majorBidi" w:ascii="Inter" w:hAnsi="Inter" w:eastAsia="Inter" w:cs="Inter"/>
      <w:b/>
      <w:color w:val="111113"/>
      <w:sz w:val="22"/>
      <w:szCs w:val="28"/>
    </w:rPr>
  </w:style>
  <w:style w:type="paragraph" w:styleId="Heading4">
    <w:name w:val="heading 4"/>
    <w:basedOn w:val="Normal"/>
    <w:next w:val="Normal"/>
    <w:link w:val="Heading4Char"/>
    <w:uiPriority w:val="9"/>
    <w:semiHidden/>
    <w:unhideWhenUsed/>
    <w:qFormat/>
    <w:rsid w:val="00CF67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67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67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67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67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67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7B28"/>
    <w:rPr>
      <w:rFonts w:ascii="Verdana" w:eastAsiaTheme="majorEastAsia" w:hAnsi="Verdana" w:cstheme="majorBidi"/>
      <w:b/>
      <w:color w:val="FF3300"/>
      <w:sz w:val="28"/>
      <w:szCs w:val="40"/>
    </w:rPr>
  </w:style>
  <w:style w:type="character" w:customStyle="1" w:styleId="Heading2Char">
    <w:name w:val="Heading 2 Char"/>
    <w:basedOn w:val="DefaultParagraphFont"/>
    <w:link w:val="Heading2"/>
    <w:uiPriority w:val="9"/>
    <w:rsid w:val="0024151C"/>
    <w:rPr>
      <w:rFonts w:ascii="Verdana" w:eastAsiaTheme="majorEastAsia" w:hAnsi="Verdana" w:cstheme="majorBidi"/>
      <w:b/>
      <w:color w:val="1C1C1C"/>
      <w:sz w:val="28"/>
      <w:szCs w:val="32"/>
    </w:rPr>
  </w:style>
  <w:style w:type="character" w:customStyle="1" w:styleId="Heading3Char">
    <w:name w:val="Heading 3 Char"/>
    <w:basedOn w:val="DefaultParagraphFont"/>
    <w:link w:val="Heading3"/>
    <w:uiPriority w:val="9"/>
    <w:rsid w:val="002E26B1"/>
    <w:rPr>
      <w:rFonts w:eastAsiaTheme="majorEastAsia" w:cstheme="majorBidi"/>
      <w:color w:val="000000" w:themeColor="text1"/>
      <w:szCs w:val="28"/>
    </w:rPr>
  </w:style>
  <w:style w:type="character" w:customStyle="1" w:styleId="Heading4Char">
    <w:name w:val="Heading 4 Char"/>
    <w:basedOn w:val="DefaultParagraphFont"/>
    <w:link w:val="Heading4"/>
    <w:uiPriority w:val="9"/>
    <w:semiHidden/>
    <w:rsid w:val="00CF67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67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67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67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67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67A1"/>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9C7B28"/>
    <w:pPr>
      <w:spacing w:after="80" w:line="240" w:lineRule="auto"/>
      <w:contextualSpacing/>
      <w:jc w:val="center"/>
    </w:pPr>
    <w:rPr>
      <w:rFonts w:ascii="Inter" w:eastAsiaTheme="majorEastAsia" w:hAnsi="Inter" w:cstheme="majorBidi" w:eastAsia="Inter" w:cs="Inter"/>
      <w:b/>
      <w:color w:val="9A7B45"/>
      <w:spacing w:val="-10"/>
      <w:kern w:val="28"/>
      <w:sz w:val="52"/>
      <w:szCs w:val="56"/>
    </w:rPr>
  </w:style>
  <w:style w:type="character" w:customStyle="1" w:styleId="TitleChar">
    <w:name w:val="Title Char"/>
    <w:basedOn w:val="DefaultParagraphFont"/>
    <w:link w:val="Title"/>
    <w:uiPriority w:val="10"/>
    <w:rsid w:val="009C7B28"/>
    <w:rPr>
      <w:rFonts w:ascii="Verdana" w:eastAsiaTheme="majorEastAsia" w:hAnsi="Verdana" w:cstheme="majorBidi"/>
      <w:b/>
      <w:spacing w:val="-10"/>
      <w:kern w:val="28"/>
      <w:sz w:val="28"/>
      <w:szCs w:val="56"/>
    </w:rPr>
  </w:style>
  <w:style w:type="paragraph" w:styleId="Subtitle">
    <w:name w:val="Subtitle"/>
    <w:basedOn w:val="Normal"/>
    <w:next w:val="Normal"/>
    <w:link w:val="SubtitleChar"/>
    <w:uiPriority w:val="11"/>
    <w:qFormat/>
    <w:rsid w:val="00CF67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67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67A1"/>
    <w:pPr>
      <w:spacing w:before="160"/>
      <w:jc w:val="center"/>
    </w:pPr>
    <w:rPr>
      <w:i/>
      <w:iCs/>
      <w:color w:val="404040" w:themeColor="text1" w:themeTint="BF"/>
    </w:rPr>
  </w:style>
  <w:style w:type="character" w:customStyle="1" w:styleId="QuoteChar">
    <w:name w:val="Quote Char"/>
    <w:basedOn w:val="DefaultParagraphFont"/>
    <w:link w:val="Quote"/>
    <w:uiPriority w:val="29"/>
    <w:rsid w:val="00CF67A1"/>
    <w:rPr>
      <w:i/>
      <w:iCs/>
      <w:color w:val="404040" w:themeColor="text1" w:themeTint="BF"/>
    </w:rPr>
  </w:style>
  <w:style w:type="paragraph" w:styleId="ListParagraph">
    <w:name w:val="List Paragraph"/>
    <w:basedOn w:val="Normal"/>
    <w:uiPriority w:val="34"/>
    <w:qFormat/>
    <w:rsid w:val="00CF67A1"/>
    <w:pPr>
      <w:ind w:left="720"/>
      <w:contextualSpacing/>
    </w:pPr>
    <w:rPr>
      <w:rFonts w:ascii="Inter" w:hAnsi="Inter" w:eastAsia="Inter" w:cs="Inter"/>
    </w:rPr>
  </w:style>
  <w:style w:type="character" w:styleId="IntenseEmphasis">
    <w:name w:val="Intense Emphasis"/>
    <w:basedOn w:val="DefaultParagraphFont"/>
    <w:uiPriority w:val="21"/>
    <w:qFormat/>
    <w:rsid w:val="00CF67A1"/>
    <w:rPr>
      <w:i/>
      <w:iCs/>
      <w:color w:val="0F4761" w:themeColor="accent1" w:themeShade="BF"/>
    </w:rPr>
  </w:style>
  <w:style w:type="paragraph" w:styleId="IntenseQuote">
    <w:name w:val="Intense Quote"/>
    <w:basedOn w:val="Normal"/>
    <w:next w:val="Normal"/>
    <w:link w:val="IntenseQuoteChar"/>
    <w:uiPriority w:val="30"/>
    <w:qFormat/>
    <w:rsid w:val="00CF67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67A1"/>
    <w:rPr>
      <w:i/>
      <w:iCs/>
      <w:color w:val="0F4761" w:themeColor="accent1" w:themeShade="BF"/>
    </w:rPr>
  </w:style>
  <w:style w:type="character" w:styleId="IntenseReference">
    <w:name w:val="Intense Reference"/>
    <w:basedOn w:val="DefaultParagraphFont"/>
    <w:uiPriority w:val="32"/>
    <w:qFormat/>
    <w:rsid w:val="00CF67A1"/>
    <w:rPr>
      <w:b/>
      <w:bCs/>
      <w:smallCaps/>
      <w:color w:val="0F4761" w:themeColor="accent1" w:themeShade="BF"/>
      <w:spacing w:val="5"/>
    </w:rPr>
  </w:style>
  <w:style w:type="paragraph" w:styleId="Header">
    <w:name w:val="header"/>
    <w:basedOn w:val="Normal"/>
    <w:link w:val="Head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HeaderChar">
    <w:name w:val="Header Char"/>
    <w:basedOn w:val="DefaultParagraphFont"/>
    <w:link w:val="Header"/>
    <w:uiPriority w:val="99"/>
    <w:rsid w:val="00CB352A"/>
  </w:style>
  <w:style w:type="paragraph" w:styleId="Footer">
    <w:name w:val="footer"/>
    <w:basedOn w:val="Normal"/>
    <w:link w:val="Foot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FooterChar">
    <w:name w:val="Footer Char"/>
    <w:basedOn w:val="DefaultParagraphFont"/>
    <w:link w:val="Footer"/>
    <w:uiPriority w:val="99"/>
    <w:rsid w:val="00CB352A"/>
  </w:style>
  <w:style w:type="character" w:styleId="Strong">
    <w:name w:val="Strong"/>
    <w:basedOn w:val="DefaultParagraphFont"/>
    <w:uiPriority w:val="22"/>
    <w:qFormat/>
    <w:rsid w:val="009C7B28"/>
    <w:rPr>
      <w:rFonts w:ascii="Verdana" w:hAnsi="Verdana"/>
      <w:b/>
      <w:bCs/>
      <w:sz w:val="20"/>
    </w:rPr>
  </w:style>
  <w:style w:type="table" w:styleId="TableGrid">
    <w:name w:val="Table Grid"/>
    <w:basedOn w:val="TableNormal"/>
    <w:uiPriority w:val="39"/>
    <w:rsid w:val="00AD59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922C46"/>
    <w:pPr>
      <w:spacing w:after="0" w:line="240" w:lineRule="auto"/>
    </w:pPr>
    <w:rPr>
      <w:rFonts w:eastAsiaTheme="minorEastAsia"/>
      <w:kern w:val="0"/>
      <w:sz w:val="22"/>
      <w:szCs w:val="22"/>
      <w:lang w:val="en-US"/>
      <w14:ligatures w14:val="none"/>
    </w:rPr>
  </w:style>
  <w:style w:type="character" w:customStyle="1" w:styleId="NoSpacingChar">
    <w:name w:val="No Spacing Char"/>
    <w:basedOn w:val="DefaultParagraphFont"/>
    <w:link w:val="NoSpacing"/>
    <w:uiPriority w:val="1"/>
    <w:rsid w:val="00922C46"/>
    <w:rPr>
      <w:rFonts w:eastAsiaTheme="minorEastAsia"/>
      <w:kern w:val="0"/>
      <w:sz w:val="22"/>
      <w:szCs w:val="22"/>
      <w:lang w:val="en-US"/>
      <w14:ligatures w14:val="none"/>
    </w:rPr>
  </w:style>
  <w:style w:type="character" w:styleId="Hyperlink">
    <w:name w:val="Hyperlink"/>
    <w:basedOn w:val="DefaultParagraphFont"/>
    <w:uiPriority w:val="99"/>
    <w:unhideWhenUsed/>
    <w:rsid w:val="009E6369"/>
    <w:rPr>
      <w:color w:val="467886" w:themeColor="hyperlink"/>
      <w:u w:val="single"/>
    </w:rPr>
  </w:style>
  <w:style w:type="character" w:styleId="UnresolvedMention">
    <w:name w:val="Unresolved Mention"/>
    <w:basedOn w:val="DefaultParagraphFont"/>
    <w:uiPriority w:val="99"/>
    <w:semiHidden/>
    <w:unhideWhenUsed/>
    <w:rsid w:val="009E63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487597">
      <w:bodyDiv w:val="1"/>
      <w:marLeft w:val="0"/>
      <w:marRight w:val="0"/>
      <w:marTop w:val="0"/>
      <w:marBottom w:val="0"/>
      <w:divBdr>
        <w:top w:val="none" w:sz="0" w:space="0" w:color="auto"/>
        <w:left w:val="none" w:sz="0" w:space="0" w:color="auto"/>
        <w:bottom w:val="none" w:sz="0" w:space="0" w:color="auto"/>
        <w:right w:val="none" w:sz="0" w:space="0" w:color="auto"/>
      </w:divBdr>
    </w:div>
    <w:div w:id="83576217">
      <w:bodyDiv w:val="1"/>
      <w:marLeft w:val="0"/>
      <w:marRight w:val="0"/>
      <w:marTop w:val="0"/>
      <w:marBottom w:val="0"/>
      <w:divBdr>
        <w:top w:val="none" w:sz="0" w:space="0" w:color="auto"/>
        <w:left w:val="none" w:sz="0" w:space="0" w:color="auto"/>
        <w:bottom w:val="none" w:sz="0" w:space="0" w:color="auto"/>
        <w:right w:val="none" w:sz="0" w:space="0" w:color="auto"/>
      </w:divBdr>
    </w:div>
    <w:div w:id="118769695">
      <w:bodyDiv w:val="1"/>
      <w:marLeft w:val="0"/>
      <w:marRight w:val="0"/>
      <w:marTop w:val="0"/>
      <w:marBottom w:val="0"/>
      <w:divBdr>
        <w:top w:val="none" w:sz="0" w:space="0" w:color="auto"/>
        <w:left w:val="none" w:sz="0" w:space="0" w:color="auto"/>
        <w:bottom w:val="none" w:sz="0" w:space="0" w:color="auto"/>
        <w:right w:val="none" w:sz="0" w:space="0" w:color="auto"/>
      </w:divBdr>
    </w:div>
    <w:div w:id="125438331">
      <w:bodyDiv w:val="1"/>
      <w:marLeft w:val="0"/>
      <w:marRight w:val="0"/>
      <w:marTop w:val="0"/>
      <w:marBottom w:val="0"/>
      <w:divBdr>
        <w:top w:val="none" w:sz="0" w:space="0" w:color="auto"/>
        <w:left w:val="none" w:sz="0" w:space="0" w:color="auto"/>
        <w:bottom w:val="none" w:sz="0" w:space="0" w:color="auto"/>
        <w:right w:val="none" w:sz="0" w:space="0" w:color="auto"/>
      </w:divBdr>
    </w:div>
    <w:div w:id="150605275">
      <w:bodyDiv w:val="1"/>
      <w:marLeft w:val="0"/>
      <w:marRight w:val="0"/>
      <w:marTop w:val="0"/>
      <w:marBottom w:val="0"/>
      <w:divBdr>
        <w:top w:val="none" w:sz="0" w:space="0" w:color="auto"/>
        <w:left w:val="none" w:sz="0" w:space="0" w:color="auto"/>
        <w:bottom w:val="none" w:sz="0" w:space="0" w:color="auto"/>
        <w:right w:val="none" w:sz="0" w:space="0" w:color="auto"/>
      </w:divBdr>
    </w:div>
    <w:div w:id="164251710">
      <w:bodyDiv w:val="1"/>
      <w:marLeft w:val="0"/>
      <w:marRight w:val="0"/>
      <w:marTop w:val="0"/>
      <w:marBottom w:val="0"/>
      <w:divBdr>
        <w:top w:val="none" w:sz="0" w:space="0" w:color="auto"/>
        <w:left w:val="none" w:sz="0" w:space="0" w:color="auto"/>
        <w:bottom w:val="none" w:sz="0" w:space="0" w:color="auto"/>
        <w:right w:val="none" w:sz="0" w:space="0" w:color="auto"/>
      </w:divBdr>
    </w:div>
    <w:div w:id="259333380">
      <w:bodyDiv w:val="1"/>
      <w:marLeft w:val="0"/>
      <w:marRight w:val="0"/>
      <w:marTop w:val="0"/>
      <w:marBottom w:val="0"/>
      <w:divBdr>
        <w:top w:val="none" w:sz="0" w:space="0" w:color="auto"/>
        <w:left w:val="none" w:sz="0" w:space="0" w:color="auto"/>
        <w:bottom w:val="none" w:sz="0" w:space="0" w:color="auto"/>
        <w:right w:val="none" w:sz="0" w:space="0" w:color="auto"/>
      </w:divBdr>
    </w:div>
    <w:div w:id="337195909">
      <w:bodyDiv w:val="1"/>
      <w:marLeft w:val="0"/>
      <w:marRight w:val="0"/>
      <w:marTop w:val="0"/>
      <w:marBottom w:val="0"/>
      <w:divBdr>
        <w:top w:val="none" w:sz="0" w:space="0" w:color="auto"/>
        <w:left w:val="none" w:sz="0" w:space="0" w:color="auto"/>
        <w:bottom w:val="none" w:sz="0" w:space="0" w:color="auto"/>
        <w:right w:val="none" w:sz="0" w:space="0" w:color="auto"/>
      </w:divBdr>
    </w:div>
    <w:div w:id="352073062">
      <w:bodyDiv w:val="1"/>
      <w:marLeft w:val="0"/>
      <w:marRight w:val="0"/>
      <w:marTop w:val="0"/>
      <w:marBottom w:val="0"/>
      <w:divBdr>
        <w:top w:val="none" w:sz="0" w:space="0" w:color="auto"/>
        <w:left w:val="none" w:sz="0" w:space="0" w:color="auto"/>
        <w:bottom w:val="none" w:sz="0" w:space="0" w:color="auto"/>
        <w:right w:val="none" w:sz="0" w:space="0" w:color="auto"/>
      </w:divBdr>
    </w:div>
    <w:div w:id="384377770">
      <w:bodyDiv w:val="1"/>
      <w:marLeft w:val="0"/>
      <w:marRight w:val="0"/>
      <w:marTop w:val="0"/>
      <w:marBottom w:val="0"/>
      <w:divBdr>
        <w:top w:val="none" w:sz="0" w:space="0" w:color="auto"/>
        <w:left w:val="none" w:sz="0" w:space="0" w:color="auto"/>
        <w:bottom w:val="none" w:sz="0" w:space="0" w:color="auto"/>
        <w:right w:val="none" w:sz="0" w:space="0" w:color="auto"/>
      </w:divBdr>
    </w:div>
    <w:div w:id="386417663">
      <w:bodyDiv w:val="1"/>
      <w:marLeft w:val="0"/>
      <w:marRight w:val="0"/>
      <w:marTop w:val="0"/>
      <w:marBottom w:val="0"/>
      <w:divBdr>
        <w:top w:val="none" w:sz="0" w:space="0" w:color="auto"/>
        <w:left w:val="none" w:sz="0" w:space="0" w:color="auto"/>
        <w:bottom w:val="none" w:sz="0" w:space="0" w:color="auto"/>
        <w:right w:val="none" w:sz="0" w:space="0" w:color="auto"/>
      </w:divBdr>
    </w:div>
    <w:div w:id="406533999">
      <w:bodyDiv w:val="1"/>
      <w:marLeft w:val="0"/>
      <w:marRight w:val="0"/>
      <w:marTop w:val="0"/>
      <w:marBottom w:val="0"/>
      <w:divBdr>
        <w:top w:val="none" w:sz="0" w:space="0" w:color="auto"/>
        <w:left w:val="none" w:sz="0" w:space="0" w:color="auto"/>
        <w:bottom w:val="none" w:sz="0" w:space="0" w:color="auto"/>
        <w:right w:val="none" w:sz="0" w:space="0" w:color="auto"/>
      </w:divBdr>
    </w:div>
    <w:div w:id="419451994">
      <w:bodyDiv w:val="1"/>
      <w:marLeft w:val="0"/>
      <w:marRight w:val="0"/>
      <w:marTop w:val="0"/>
      <w:marBottom w:val="0"/>
      <w:divBdr>
        <w:top w:val="none" w:sz="0" w:space="0" w:color="auto"/>
        <w:left w:val="none" w:sz="0" w:space="0" w:color="auto"/>
        <w:bottom w:val="none" w:sz="0" w:space="0" w:color="auto"/>
        <w:right w:val="none" w:sz="0" w:space="0" w:color="auto"/>
      </w:divBdr>
    </w:div>
    <w:div w:id="437912021">
      <w:bodyDiv w:val="1"/>
      <w:marLeft w:val="0"/>
      <w:marRight w:val="0"/>
      <w:marTop w:val="0"/>
      <w:marBottom w:val="0"/>
      <w:divBdr>
        <w:top w:val="none" w:sz="0" w:space="0" w:color="auto"/>
        <w:left w:val="none" w:sz="0" w:space="0" w:color="auto"/>
        <w:bottom w:val="none" w:sz="0" w:space="0" w:color="auto"/>
        <w:right w:val="none" w:sz="0" w:space="0" w:color="auto"/>
      </w:divBdr>
    </w:div>
    <w:div w:id="477378032">
      <w:bodyDiv w:val="1"/>
      <w:marLeft w:val="0"/>
      <w:marRight w:val="0"/>
      <w:marTop w:val="0"/>
      <w:marBottom w:val="0"/>
      <w:divBdr>
        <w:top w:val="none" w:sz="0" w:space="0" w:color="auto"/>
        <w:left w:val="none" w:sz="0" w:space="0" w:color="auto"/>
        <w:bottom w:val="none" w:sz="0" w:space="0" w:color="auto"/>
        <w:right w:val="none" w:sz="0" w:space="0" w:color="auto"/>
      </w:divBdr>
    </w:div>
    <w:div w:id="484469237">
      <w:bodyDiv w:val="1"/>
      <w:marLeft w:val="0"/>
      <w:marRight w:val="0"/>
      <w:marTop w:val="0"/>
      <w:marBottom w:val="0"/>
      <w:divBdr>
        <w:top w:val="none" w:sz="0" w:space="0" w:color="auto"/>
        <w:left w:val="none" w:sz="0" w:space="0" w:color="auto"/>
        <w:bottom w:val="none" w:sz="0" w:space="0" w:color="auto"/>
        <w:right w:val="none" w:sz="0" w:space="0" w:color="auto"/>
      </w:divBdr>
    </w:div>
    <w:div w:id="526649651">
      <w:bodyDiv w:val="1"/>
      <w:marLeft w:val="0"/>
      <w:marRight w:val="0"/>
      <w:marTop w:val="0"/>
      <w:marBottom w:val="0"/>
      <w:divBdr>
        <w:top w:val="none" w:sz="0" w:space="0" w:color="auto"/>
        <w:left w:val="none" w:sz="0" w:space="0" w:color="auto"/>
        <w:bottom w:val="none" w:sz="0" w:space="0" w:color="auto"/>
        <w:right w:val="none" w:sz="0" w:space="0" w:color="auto"/>
      </w:divBdr>
    </w:div>
    <w:div w:id="705984324">
      <w:bodyDiv w:val="1"/>
      <w:marLeft w:val="0"/>
      <w:marRight w:val="0"/>
      <w:marTop w:val="0"/>
      <w:marBottom w:val="0"/>
      <w:divBdr>
        <w:top w:val="none" w:sz="0" w:space="0" w:color="auto"/>
        <w:left w:val="none" w:sz="0" w:space="0" w:color="auto"/>
        <w:bottom w:val="none" w:sz="0" w:space="0" w:color="auto"/>
        <w:right w:val="none" w:sz="0" w:space="0" w:color="auto"/>
      </w:divBdr>
    </w:div>
    <w:div w:id="888608125">
      <w:bodyDiv w:val="1"/>
      <w:marLeft w:val="0"/>
      <w:marRight w:val="0"/>
      <w:marTop w:val="0"/>
      <w:marBottom w:val="0"/>
      <w:divBdr>
        <w:top w:val="none" w:sz="0" w:space="0" w:color="auto"/>
        <w:left w:val="none" w:sz="0" w:space="0" w:color="auto"/>
        <w:bottom w:val="none" w:sz="0" w:space="0" w:color="auto"/>
        <w:right w:val="none" w:sz="0" w:space="0" w:color="auto"/>
      </w:divBdr>
    </w:div>
    <w:div w:id="919413028">
      <w:bodyDiv w:val="1"/>
      <w:marLeft w:val="0"/>
      <w:marRight w:val="0"/>
      <w:marTop w:val="0"/>
      <w:marBottom w:val="0"/>
      <w:divBdr>
        <w:top w:val="none" w:sz="0" w:space="0" w:color="auto"/>
        <w:left w:val="none" w:sz="0" w:space="0" w:color="auto"/>
        <w:bottom w:val="none" w:sz="0" w:space="0" w:color="auto"/>
        <w:right w:val="none" w:sz="0" w:space="0" w:color="auto"/>
      </w:divBdr>
    </w:div>
    <w:div w:id="963117710">
      <w:bodyDiv w:val="1"/>
      <w:marLeft w:val="0"/>
      <w:marRight w:val="0"/>
      <w:marTop w:val="0"/>
      <w:marBottom w:val="0"/>
      <w:divBdr>
        <w:top w:val="none" w:sz="0" w:space="0" w:color="auto"/>
        <w:left w:val="none" w:sz="0" w:space="0" w:color="auto"/>
        <w:bottom w:val="none" w:sz="0" w:space="0" w:color="auto"/>
        <w:right w:val="none" w:sz="0" w:space="0" w:color="auto"/>
      </w:divBdr>
    </w:div>
    <w:div w:id="976303606">
      <w:bodyDiv w:val="1"/>
      <w:marLeft w:val="0"/>
      <w:marRight w:val="0"/>
      <w:marTop w:val="0"/>
      <w:marBottom w:val="0"/>
      <w:divBdr>
        <w:top w:val="none" w:sz="0" w:space="0" w:color="auto"/>
        <w:left w:val="none" w:sz="0" w:space="0" w:color="auto"/>
        <w:bottom w:val="none" w:sz="0" w:space="0" w:color="auto"/>
        <w:right w:val="none" w:sz="0" w:space="0" w:color="auto"/>
      </w:divBdr>
    </w:div>
    <w:div w:id="1070468506">
      <w:bodyDiv w:val="1"/>
      <w:marLeft w:val="0"/>
      <w:marRight w:val="0"/>
      <w:marTop w:val="0"/>
      <w:marBottom w:val="0"/>
      <w:divBdr>
        <w:top w:val="none" w:sz="0" w:space="0" w:color="auto"/>
        <w:left w:val="none" w:sz="0" w:space="0" w:color="auto"/>
        <w:bottom w:val="none" w:sz="0" w:space="0" w:color="auto"/>
        <w:right w:val="none" w:sz="0" w:space="0" w:color="auto"/>
      </w:divBdr>
    </w:div>
    <w:div w:id="1207256930">
      <w:bodyDiv w:val="1"/>
      <w:marLeft w:val="0"/>
      <w:marRight w:val="0"/>
      <w:marTop w:val="0"/>
      <w:marBottom w:val="0"/>
      <w:divBdr>
        <w:top w:val="none" w:sz="0" w:space="0" w:color="auto"/>
        <w:left w:val="none" w:sz="0" w:space="0" w:color="auto"/>
        <w:bottom w:val="none" w:sz="0" w:space="0" w:color="auto"/>
        <w:right w:val="none" w:sz="0" w:space="0" w:color="auto"/>
      </w:divBdr>
    </w:div>
    <w:div w:id="1373308114">
      <w:bodyDiv w:val="1"/>
      <w:marLeft w:val="0"/>
      <w:marRight w:val="0"/>
      <w:marTop w:val="0"/>
      <w:marBottom w:val="0"/>
      <w:divBdr>
        <w:top w:val="none" w:sz="0" w:space="0" w:color="auto"/>
        <w:left w:val="none" w:sz="0" w:space="0" w:color="auto"/>
        <w:bottom w:val="none" w:sz="0" w:space="0" w:color="auto"/>
        <w:right w:val="none" w:sz="0" w:space="0" w:color="auto"/>
      </w:divBdr>
    </w:div>
    <w:div w:id="1407916713">
      <w:bodyDiv w:val="1"/>
      <w:marLeft w:val="0"/>
      <w:marRight w:val="0"/>
      <w:marTop w:val="0"/>
      <w:marBottom w:val="0"/>
      <w:divBdr>
        <w:top w:val="none" w:sz="0" w:space="0" w:color="auto"/>
        <w:left w:val="none" w:sz="0" w:space="0" w:color="auto"/>
        <w:bottom w:val="none" w:sz="0" w:space="0" w:color="auto"/>
        <w:right w:val="none" w:sz="0" w:space="0" w:color="auto"/>
      </w:divBdr>
    </w:div>
    <w:div w:id="1608343335">
      <w:bodyDiv w:val="1"/>
      <w:marLeft w:val="0"/>
      <w:marRight w:val="0"/>
      <w:marTop w:val="0"/>
      <w:marBottom w:val="0"/>
      <w:divBdr>
        <w:top w:val="none" w:sz="0" w:space="0" w:color="auto"/>
        <w:left w:val="none" w:sz="0" w:space="0" w:color="auto"/>
        <w:bottom w:val="none" w:sz="0" w:space="0" w:color="auto"/>
        <w:right w:val="none" w:sz="0" w:space="0" w:color="auto"/>
      </w:divBdr>
    </w:div>
    <w:div w:id="1705859392">
      <w:bodyDiv w:val="1"/>
      <w:marLeft w:val="0"/>
      <w:marRight w:val="0"/>
      <w:marTop w:val="0"/>
      <w:marBottom w:val="0"/>
      <w:divBdr>
        <w:top w:val="none" w:sz="0" w:space="0" w:color="auto"/>
        <w:left w:val="none" w:sz="0" w:space="0" w:color="auto"/>
        <w:bottom w:val="none" w:sz="0" w:space="0" w:color="auto"/>
        <w:right w:val="none" w:sz="0" w:space="0" w:color="auto"/>
      </w:divBdr>
    </w:div>
    <w:div w:id="1714423831">
      <w:bodyDiv w:val="1"/>
      <w:marLeft w:val="0"/>
      <w:marRight w:val="0"/>
      <w:marTop w:val="0"/>
      <w:marBottom w:val="0"/>
      <w:divBdr>
        <w:top w:val="none" w:sz="0" w:space="0" w:color="auto"/>
        <w:left w:val="none" w:sz="0" w:space="0" w:color="auto"/>
        <w:bottom w:val="none" w:sz="0" w:space="0" w:color="auto"/>
        <w:right w:val="none" w:sz="0" w:space="0" w:color="auto"/>
      </w:divBdr>
    </w:div>
    <w:div w:id="1723939683">
      <w:bodyDiv w:val="1"/>
      <w:marLeft w:val="0"/>
      <w:marRight w:val="0"/>
      <w:marTop w:val="0"/>
      <w:marBottom w:val="0"/>
      <w:divBdr>
        <w:top w:val="none" w:sz="0" w:space="0" w:color="auto"/>
        <w:left w:val="none" w:sz="0" w:space="0" w:color="auto"/>
        <w:bottom w:val="none" w:sz="0" w:space="0" w:color="auto"/>
        <w:right w:val="none" w:sz="0" w:space="0" w:color="auto"/>
      </w:divBdr>
    </w:div>
    <w:div w:id="1817606053">
      <w:bodyDiv w:val="1"/>
      <w:marLeft w:val="0"/>
      <w:marRight w:val="0"/>
      <w:marTop w:val="0"/>
      <w:marBottom w:val="0"/>
      <w:divBdr>
        <w:top w:val="none" w:sz="0" w:space="0" w:color="auto"/>
        <w:left w:val="none" w:sz="0" w:space="0" w:color="auto"/>
        <w:bottom w:val="none" w:sz="0" w:space="0" w:color="auto"/>
        <w:right w:val="none" w:sz="0" w:space="0" w:color="auto"/>
      </w:divBdr>
    </w:div>
    <w:div w:id="1861503273">
      <w:bodyDiv w:val="1"/>
      <w:marLeft w:val="0"/>
      <w:marRight w:val="0"/>
      <w:marTop w:val="0"/>
      <w:marBottom w:val="0"/>
      <w:divBdr>
        <w:top w:val="none" w:sz="0" w:space="0" w:color="auto"/>
        <w:left w:val="none" w:sz="0" w:space="0" w:color="auto"/>
        <w:bottom w:val="none" w:sz="0" w:space="0" w:color="auto"/>
        <w:right w:val="none" w:sz="0" w:space="0" w:color="auto"/>
      </w:divBdr>
    </w:div>
    <w:div w:id="1939681564">
      <w:bodyDiv w:val="1"/>
      <w:marLeft w:val="0"/>
      <w:marRight w:val="0"/>
      <w:marTop w:val="0"/>
      <w:marBottom w:val="0"/>
      <w:divBdr>
        <w:top w:val="none" w:sz="0" w:space="0" w:color="auto"/>
        <w:left w:val="none" w:sz="0" w:space="0" w:color="auto"/>
        <w:bottom w:val="none" w:sz="0" w:space="0" w:color="auto"/>
        <w:right w:val="none" w:sz="0" w:space="0" w:color="auto"/>
      </w:divBdr>
    </w:div>
    <w:div w:id="1949459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s://www.notion.so/28cf57b4e72f80169782edf9ca4fc32c" TargetMode="External"/><Relationship Id="rId14" Type="http://schemas.openxmlformats.org/officeDocument/2006/relationships/hyperlink" Target="https://github.com/Fargaly/baboom-bim-standard/blob/main/04-DOCUMENTS/BBM-STD-78-QUANTITIES_AND_5D-V0.2.docx" TargetMode="External"/><Relationship Id="rId15" Type="http://schemas.openxmlformats.org/officeDocument/2006/relationships/hyperlink" Target="https://www.rics.org/profession-standards/rics-standards-and-guidance/sector-standards/construction-standards/nrm" TargetMode="External"/><Relationship Id="rId16" Type="http://schemas.openxmlformats.org/officeDocument/2006/relationships/hyperlink" Target="https://icms-coalition.org/" TargetMode="External"/><Relationship Id="rId17" Type="http://schemas.openxmlformats.org/officeDocument/2006/relationships/hyperlink" Target="https://nibs.org/nbims/v4/bep/" TargetMode="External"/><Relationship Id="rId18" Type="http://schemas.openxmlformats.org/officeDocument/2006/relationships/hyperlink" Target="https://info.corenet.gov.sg/docs/default-source/bim-guides/singapore/singapore-bim-guide_v2.pdf" TargetMode="External"/><Relationship Id="rId19" Type="http://schemas.openxmlformats.org/officeDocument/2006/relationships/hyperlink" Target="https://www.iso.org/standard/68078.html" TargetMode="External"/><Relationship Id="rId20" Type="http://schemas.openxmlformats.org/officeDocument/2006/relationships/hyperlink" Target="https://www.iso.org/standard/68080.html" TargetMode="External"/><Relationship Id="rId21" Type="http://schemas.openxmlformats.org/officeDocument/2006/relationships/hyperlink" Target="https://www.ukbimframework.org/wp-content/uploads/2021/02/Guidance-Part-A_The-information-management-function-and-resources_Edition-2.pdf" TargetMode="External"/><Relationship Id="rId22" Type="http://schemas.openxmlformats.org/officeDocument/2006/relationships/hyperlink" Target="https://www.iso.org/standard/75109.html" TargetMode="External"/><Relationship Id="rId23" Type="http://schemas.openxmlformats.org/officeDocument/2006/relationships/hyperlink" Target="https://www.iso.org/standard/74206.html" TargetMode="External"/><Relationship Id="rId24" Type="http://schemas.openxmlformats.org/officeDocument/2006/relationships/hyperlink" Target="https://www.ukbimframework.org/wp-content/uploads/2021/02/Guidance-Part-D_Developing-information-requirements_Edition-2.pdf" TargetMode="External"/><Relationship Id="rId25" Type="http://schemas.openxmlformats.org/officeDocument/2006/relationships/hyperlink" Target="https://www.iso.org/standard/82914.html" TargetMode="External"/><Relationship Id="rId26" Type="http://schemas.openxmlformats.org/officeDocument/2006/relationships/hyperlink" Target="https://www.dm.gov.ae/municipality-business/al-safat-dubai-green-building-system/" TargetMode="External"/><Relationship Id="rId27" Type="http://schemas.openxmlformats.org/officeDocument/2006/relationships/hyperlink" Target="https://www.dmt.gov.ae/adm/-/media/Project/DMT/ADM/E-Library/0001-Jan-2022-Doc/ADM-BIM-005Code-of-Practice.pdf" TargetMode="External"/><Relationship Id="rId28" Type="http://schemas.openxmlformats.org/officeDocument/2006/relationships/hyperlink" Target="https://dda.gov.ae/en/planning-development/design/final-design-approva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ustom 1">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2024</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21</Pages>
  <Words>4872</Words>
  <Characters>27773</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GLOSSARY</vt:lpstr>
    </vt:vector>
  </TitlesOfParts>
  <Company/>
  <LinksUpToDate>false</LinksUpToDate>
  <CharactersWithSpaces>32580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GLOSSARY</dc:title>
  <dc:subject>Bep</dc:subject>
  <dc:creator>Fargaly</dc:creator>
  <cp:keywords/>
  <dc:description/>
  <cp:lastModifiedBy>Fargaly</cp:lastModifiedBy>
  <cp:revision>20</cp:revision>
  <dcterms:created xsi:type="dcterms:W3CDTF">2024-11-06T10:52:00Z</dcterms:created>
  <dcterms:modified xsi:type="dcterms:W3CDTF">2025-10-21T13:40:00Z</dcterms:modified>
</cp:coreProperties>
</file>