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spacing w:before="840"/>
      </w:pPr>
      <w:r>
        <w:t>Visualisation, rendering and review outputs</w:t>
      </w:r>
    </w:p>
    <w:p>
      <w:pPr/>
      <w:r>
        <w:t xml:space="preserve">Linked copies: ID STD-80 · </w:t>
      </w:r>
      <w:hyperlink r:id="rId13">
        <w:r>
          <w:rPr>
            <w:color w:val="9A7B45"/>
            <w:u w:val="single"/>
          </w:rPr>
          <w:t>TBP page</w:t>
        </w:r>
      </w:hyperlink>
      <w:r>
        <w:t xml:space="preserve"> · </w:t>
      </w:r>
      <w:hyperlink r:id="rId14">
        <w:r>
          <w:rPr>
            <w:color w:val="9A7B45"/>
            <w:u w:val="single"/>
          </w:rPr>
          <w:t>BABOOM edition</w:t>
        </w:r>
      </w:hyperlink>
      <w:r>
        <w:t xml:space="preserve"> · ArchHub: BABOOM companion</w:t>
      </w:r>
    </w:p>
    <w:p>
      <w:pPr/>
      <w:r>
        <w:t>BBM-STD-80-VISUALISATION-V0.2 | Office standard | 4 November 2026 | V0.2 | Private controlled WIP draft</w:t>
      </w:r>
    </w:p>
    <w:p>
      <w:pPr>
        <w:pStyle w:val="Heading1"/>
      </w:pPr>
      <w:r>
        <w:t>Revision history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815"/>
        <w:gridCol w:w="1524"/>
        <w:gridCol w:w="8126"/>
      </w:tblGrid>
      <w:tr>
        <w:trPr>
          <w:cantSplit/>
          <w:tblHeader/>
        </w:trPr>
        <w:tc>
          <w:tcPr>
            <w:tcW w:type="dxa" w:w="815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Version</w:t>
            </w:r>
          </w:p>
        </w:tc>
        <w:tc>
          <w:tcPr>
            <w:tcW w:type="dxa" w:w="1524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8126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Change</w:t>
            </w:r>
          </w:p>
        </w:tc>
      </w:tr>
      <w:tr>
        <w:trPr>
          <w:cantSplit/>
        </w:trPr>
        <w:tc>
          <w:tcPr>
            <w:tcW w:type="dxa" w:w="815"/>
          </w:tcPr>
          <w:p>
            <w:r>
              <w:rPr>
                <w:sz w:val="17"/>
              </w:rPr>
            </w:r>
            <w:r>
              <w:rPr>
                <w:sz w:val="17"/>
              </w:rPr>
              <w:t>V0.1</w:t>
            </w:r>
          </w:p>
        </w:tc>
        <w:tc>
          <w:tcPr>
            <w:tcW w:type="dxa" w:w="1524"/>
          </w:tcPr>
          <w:p>
            <w:r>
              <w:rPr>
                <w:sz w:val="17"/>
              </w:rPr>
            </w:r>
            <w:r>
              <w:rPr>
                <w:sz w:val="17"/>
              </w:rPr>
              <w:t>16 October 2026</w:t>
            </w:r>
          </w:p>
        </w:tc>
        <w:tc>
          <w:tcPr>
            <w:tcW w:type="dxa" w:w="8126"/>
          </w:tcPr>
          <w:p>
            <w:r>
              <w:rPr>
                <w:sz w:val="17"/>
              </w:rPr>
            </w:r>
            <w:r>
              <w:rPr>
                <w:sz w:val="17"/>
              </w:rPr>
              <w:t>First controlled draft.</w:t>
            </w:r>
          </w:p>
        </w:tc>
      </w:tr>
      <w:tr>
        <w:trPr/>
        <w:tc>
          <w:tcPr>
            <w:tcW w:type="dxa" w:w="815"/>
          </w:tcPr>
          <w:p>
            <w:r>
              <w:rPr>
                <w:sz w:val="17"/>
              </w:rPr>
            </w:r>
            <w:r>
              <w:rPr>
                <w:sz w:val="17"/>
              </w:rPr>
              <w:t>V0.2</w:t>
            </w:r>
          </w:p>
        </w:tc>
        <w:tc>
          <w:tcPr>
            <w:tcW w:type="dxa" w:w="1524"/>
          </w:tcPr>
          <w:p>
            <w:r>
              <w:rPr>
                <w:sz w:val="17"/>
              </w:rPr>
            </w:r>
            <w:r>
              <w:rPr>
                <w:sz w:val="17"/>
              </w:rPr>
              <w:t>4 November 2026</w:t>
            </w:r>
          </w:p>
        </w:tc>
        <w:tc>
          <w:tcPr>
            <w:tcW w:type="dxa" w:w="8126"/>
          </w:tcPr>
          <w:p>
            <w:r>
              <w:rPr>
                <w:sz w:val="17"/>
              </w:rPr>
            </w:r>
            <w:r>
              <w:rPr>
                <w:sz w:val="17"/>
              </w:rPr>
              <w:t xml:space="preserve">Audit res-026 closure: G274 Blender 4.0 replaced by the current Blender LTS frozen per BEP V0.5 §9.2.1; G275 Blender marked fixture-only outside the office software register; G276 marketing-use field (advertising permit, "illustrative" caption); asset/​font licences pointed to </w:t>
            </w:r>
            <w:r>
              <w:rPr>
                <w:color w:val="9A7B45"/>
                <w:sz w:val="17"/>
                <w:u w:val="single"/>
              </w:rPr>
              <w:t>BBM-STD-94</w:t>
            </w:r>
            <w:r>
              <w:rPr>
                <w:sz w:val="17"/>
              </w:rPr>
              <w:t>; G247 reference labels corrected; IMI Framework naming; links to Manual V0.4/​Directory V0.3; spacing fixed. + cross-doc pointer pass. + folder names without dots (O-DEC-149)</w:t>
            </w:r>
          </w:p>
        </w:tc>
      </w:tr>
    </w:tbl>
    <w:p/>
    <w:p>
      <w:pPr>
        <w:pStyle w:val="Heading1"/>
      </w:pPr>
      <w:r>
        <w:t>1 Audience, purpose and truthful source</w:t>
      </w:r>
    </w:p>
    <w:p>
      <w:pPr/>
      <w:r>
        <w:t>This standard addresses SG-090. The visualisation lead controls scene/output production; design leads confirm represented geometry/materials; an independent reviewer checks technical truth and visual quality; the appointed design approver decides the specific design issue. Delivery authorisation and recipient acceptance are separate scoped decisions with actual role holders. A quick render is not approved design, product performance, verified site context or a permit.</w:t>
      </w:r>
    </w:p>
    <w:p>
      <w:pPr/>
      <w:r>
        <w:t xml:space="preserve">Retain </w:t>
      </w:r>
      <w:r>
        <w:rPr>
          <w:color w:val="9A7B45"/>
          <w:u w:val="single"/>
        </w:rPr>
        <w:t>BoD</w:t>
      </w:r>
      <w:r>
        <w:t xml:space="preserve">, </w:t>
      </w:r>
      <w:r>
        <w:rPr>
          <w:color w:val="9A7B45"/>
          <w:u w:val="single"/>
        </w:rPr>
        <w:t>template/software release</w:t>
      </w:r>
      <w:r>
        <w:t xml:space="preserve">, </w:t>
      </w:r>
      <w:r>
        <w:rPr>
          <w:color w:val="9A7B45"/>
          <w:u w:val="single"/>
        </w:rPr>
        <w:t>family</w:t>
      </w:r>
      <w:r>
        <w:t xml:space="preserve"> and </w:t>
      </w:r>
      <w:r>
        <w:rPr>
          <w:color w:val="9A7B45"/>
          <w:u w:val="single"/>
        </w:rPr>
        <w:t>material</w:t>
      </w:r>
      <w:r>
        <w:t xml:space="preserve"> owners. The </w:t>
      </w:r>
      <w:r>
        <w:rPr>
          <w:color w:val="9A7B45"/>
          <w:u w:val="single"/>
        </w:rPr>
        <w:t>editable scene/output/review forms</w:t>
      </w:r>
      <w:r>
        <w:t xml:space="preserve"> provide specifications and blank records; no third-party images, textures or native scene are supplied. </w:t>
      </w:r>
      <w:r>
        <w:rPr>
          <w:color w:val="9A7B45"/>
          <w:u w:val="single"/>
        </w:rPr>
        <w:t>BBM-STD-51</w:t>
      </w:r>
      <w:r>
        <w:t xml:space="preserve"> controls adopted IDs, rights and dependencies.</w:t>
      </w:r>
    </w:p>
    <w:p>
      <w:pPr/>
      <w:r>
        <w:t>Before production record BriefID/revision, audience/distribution, marketing use (yes/no), decision/question, views/deliverables, source model/container/revision/hash and extraction timestamp, phase/option/zones, design criteria and permitted illustrative elements. Identify approved-for-this-purpose, provisional, illustrative and omitted/unknown elements separately. Every added object, overlay or image edit retains origin, intended effect and limitations; never silently improve an opening, remove structure, replace specified materials or imply surveyed context. Render-only changes require ChangeID and model-owner reconciliation before any source-model update.</w:t>
      </w:r>
    </w:p>
    <w:p>
      <w:pPr/>
      <w:r>
        <w:t>Where the brief marks marketing use, the client confirms before release that the advertising permit required by the real-estate regulator for the emirate (in Dubai, the RERA/DLD advertising permit route) is held, and every image carries the caption "Illustrative image: not a design commitment"; the office records the permit reference given by the client and does not obtain it. SYN-VIS80 R01 asks an internal reviewer to compare proportions of an invented box on a plane, with one still and a camera move. Geometry/materials/illumination are synthetic; no people, photographs, product textures, HDRIs or scenery. No actual project, product, lighting design or site is represented.</w:t>
      </w:r>
    </w:p>
    <w:p>
      <w:pPr>
        <w:pStyle w:val="Heading1"/>
      </w:pPr>
      <w:r>
        <w:t>2 Scene, tool, rights and reproducible setup</w:t>
      </w:r>
    </w:p>
    <w:p>
      <w:pPr/>
      <w:r>
        <w:t>Record scene ID/revision/hash, source/reference manifest, transformations/units/axis/origin/north, exact renderer/exporter/add-in build, CPU/GPU/driver, integrator, sampling/adaptive thresholds, denoising/seed and compositing. Qualify through BBM-STD-65; a version label is a candidate until actual build/licence/compatibility evidence exists. Render appearance cannot overwrite physical/thermal properties under BBM-STD-71.</w:t>
      </w:r>
    </w:p>
    <w:p>
      <w:pPr/>
      <w:r>
        <w:t xml:space="preserve">Each asset/texture/font/material/dependency requires source URI/hash/revision, creator/licence/entitlement/expiry, allowed modifications/distribution, relative path and rights reviewer; the licence terms, owner and renewal of renderers, add-ins (for example the Enscape and Lumion folders under </w:t>
      </w:r>
      <w:r>
        <w:rPr>
          <w:rFonts w:ascii="JetBrains Mono" w:hAnsi="JetBrains Mono"/>
        </w:rPr>
        <w:t>02-LIBRARIES/07-PLUGINS</w:t>
      </w:r>
      <w:r>
        <w:t xml:space="preserve">) and asset libraries are held once in the licence register </w:t>
      </w:r>
      <w:r>
        <w:rPr>
          <w:color w:val="9A7B45"/>
          <w:u w:val="single"/>
        </w:rPr>
        <w:t>BBM-STD-94</w:t>
      </w:r>
      <w:r>
        <w:t>. Quarantine unknown/unlicensed content; a subscription does not grant every bundled asset's rights. Missing dependencies must warn/fail rather than silently substitute. No third-party imagery is incorporated here. Keep office libraries read-only and use their owner, never a parallel master.</w:t>
      </w:r>
    </w:p>
    <w:p>
      <w:pPr/>
      <w:r>
        <w:t>The future test recipe uses Cycles CPU in the current Blender LTS release (the blender.org LTS page, checked 2026-11-04, lists 5.2 LTS, last updated to 5.2.3 on 22 Oct 2026, and 4.5 LTS), frozen with its exact build in BEP V0.5 §9.2.1 when adopted; actual full build/environment to be recorded. Blender is not in the BEP V0.5 §9.2 software register, so this recipe is fixture-only: production renders use a renderer registered in BEP §9.2/9.2.1 and qualified under BBM-STD-65, and adding a renderer row is a BEP change, not a decision of this standard. Metres, unit scale 1, right-handed Z-up; BOX80 dimensions 2x1x1 m, centre (0, 0, 0.5); PLANE80 dimensions 10x10 m, centre (0, 0, 0), no displacement; apply object scale. Opaque standard surface shaders: box linear RGB (0.5, 0.5, 0.5), metallic 0, roughness 0.5; plane linear RGB (0.2, 0.2, 0.2), metallic 0, roughness 1. No textures. CAM80 position (6, -6, 4) m, target (0, 0, 0.5), roll 0, perspective 50 mm, horizontal sensor 36 mm, clip 0.1..100 m, depth of field off. LIGHT80 square area light at (2, -2, 6) m aimed at (0, 0, 0.5), 500 W, size 4 m; world neutral grey strength 0.2. These are invented scene parameters, not lighting-design values.</w:t>
      </w:r>
    </w:p>
    <w:p>
      <w:pPr/>
      <w:r>
        <w:t>Set 64 fixed samples, adaptive/denoising/motion blur/compositing off, seed 7, transparent film off. Bounce limits total 8, diffuse 4, glossy 4, transmission 8, volume 0, transparent 8. Capture clamp/caustic and all other remaining defaults before reference qualification; save exact scene/configuration/hash/build/environment and reviewer freeze as SYN-SCENE80 R01. No unspecified default is declared reproducible across builds. Reuse that frozen scene rather than recreate from current defaults. Actual native scene creation/rendering is Not executed.</w:t>
      </w:r>
    </w:p>
    <w:p>
      <w:pPr>
        <w:pStyle w:val="Heading1"/>
      </w:pPr>
      <w:r>
        <w:t>3 Colour, dimensions, naming and output profile</w:t>
      </w:r>
    </w:p>
    <w:p>
      <w:pPr/>
      <w:r>
        <w:t>Select a profile per brief: working colour space, OCIO/configuration ID/hash, texture versus data-map interpretation, display/view transform/look/exposure/gamma, output colour space/ICC metadata, format/bit depth/alpha, pixel dimensions/aspect, compression and recipient display/print requirements. Separate scene-linear computation from display-encoded files; never apply the view transform twice. An uncalibrated monitor is no physical colour proof. Interpret normal/roughness maps as appropriate data, not automatically as colour textures.</w:t>
      </w:r>
    </w:p>
    <w:p>
      <w:pPr/>
      <w:r>
        <w:t>SYN-OUT80 R01 is a training profile: 1600x900 pixels at 100%, 16:9, square pixels; PNG RGB 8 bit opaque; sRGB display/output, Standard view, no extra look, exposure 0, gamma 1, no curves. Pin the actual bundled OCIO configuration/hash. These are brief-specific values, not universal office resolution or physical colour accuracy. A print brief instead names physical size, effective image resolution, printer profile and proof approval; a DPI tag alone cannot set quality. Name any high-dynamic-range intermediates and their transform/recipient purpose separately.</w:t>
      </w:r>
    </w:p>
    <w:p>
      <w:pPr/>
      <w:r>
        <w:t>Use the existing eight-token identity, with Rnn/state/suitability separate. Example report bundle CLI-OFF-P080-Z01-L01-RP-A-0001.pdf uses the retained RP type. Allocate any image/animation/native-scene type in BBM-STD-51's project dictionary before issue; internal STILL80/CAMMOVE80 keys are not approved external codes. Frames have controlled FrameID/zero-padded index and first/last/count in the manifest. Never overwrite a reviewed revision/hash. The brief selects native scene, editable review, lossless still and animation/container/codec; receiver support must be tested.</w:t>
      </w:r>
    </w:p>
    <w:p>
      <w:pPr>
        <w:pStyle w:val="Heading1"/>
      </w:pPr>
      <w:r>
        <w:t>4 Still, animation and review-image workflows</w:t>
      </w:r>
    </w:p>
    <w:p>
      <w:pPr/>
      <w:r>
        <w:t>Still workflow: freeze model/scene; produce a proof; compare geometry/material/camera to source; render final profile; inspect full frame and critical crops at delivery size; release the reviewed revision with caption/status, manifest and permitted recipients. Markup is a separate layer/derivative joined to base-image hash, source revision, camera and view/region. Crops/enhancement cannot conceal a relevant omission; preserve original/derivative lineage.</w:t>
      </w:r>
    </w:p>
    <w:p>
      <w:pPr/>
      <w:r>
        <w:t>Animation workflow: approve camera keyframes/path/interpolation, frame range/rate/time basis, object motion, profile, titles/legend and sound rights if used; render controlled image sequence then encoded derivative. Check missing/duplicate frames, noise/flicker, clipping, text and actual playback duration. SYN-CAMMOVE80 uses frames 1..240 inclusive at 24 fps, 10 s; camera moves linearly from (6, -6, 4) on frame 1 to (-6, -6, 4) on frame 240, continuously aimed at (0, 0, 0.5), roll 0, unchanged lens/sensor. Review 1, 120, 240 plus entire playback. Actual encoder/container/profile/full build must be approved before the real run; no video is supplied or claimed approved.</w:t>
      </w:r>
    </w:p>
    <w:p>
      <w:pPr/>
      <w:r>
        <w:t xml:space="preserve">Apply </w:t>
      </w:r>
      <w:r>
        <w:rPr>
          <w:color w:val="9A7B45"/>
          <w:u w:val="single"/>
        </w:rPr>
        <w:t>Manual 9.4</w:t>
      </w:r>
      <w:r>
        <w:t xml:space="preserve">, </w:t>
      </w:r>
      <w:r>
        <w:rPr>
          <w:color w:val="9A7B45"/>
          <w:u w:val="single"/>
        </w:rPr>
        <w:t>Directory</w:t>
      </w:r>
      <w:r>
        <w:t xml:space="preserve"> recipient controls and </w:t>
      </w:r>
      <w:r>
        <w:rPr>
          <w:color w:val="9A7B45"/>
          <w:u w:val="single"/>
        </w:rPr>
        <w:t>records</w:t>
      </w:r>
      <w:r>
        <w:t>. Cloud rendering, AI image edits, uploads and public sharing each need approved data/service/rights scope before transfer. Inspect metadata/file paths, annotations, location/security content, thumbnails and embedded dependencies. Scrub only the authorised derivative, retain original evidence, and verify allowed/denied access, expiry/revocation and download/retention. A private checkbox/password is not tested access control.</w:t>
      </w:r>
    </w:p>
    <w:p>
      <w:pPr>
        <w:pStyle w:val="Heading1"/>
      </w:pPr>
      <w:r>
        <w:t>5 Technical review, comments and approval trace</w:t>
      </w:r>
    </w:p>
    <w:p>
      <w:pPr/>
      <w:r>
        <w:t>Compare authoritative source and final output: dimensions/phase/option/visibility and object counts; material/specification/appearance mapping; orientation/camera projection and clipping; lighting/sun assumptions; complete licensed dependencies; colour/alpha/encoding/resolution; text legibility and actual delivery-viewer appearance. Fixture checks require BOX80 dimensions 2x1x1 m, opaque neutral materials, visible box/plane, no missing dependency. Check geometry in the source; perspective appearance is not a measurement. Colour cannot establish U-value, fire resistance, daylight or energy performance.</w:t>
      </w:r>
    </w:p>
    <w:p>
      <w:pPr/>
      <w:r>
        <w:t>Actual client/user comments need CommentID, commenter authority, dated image/source revision and region, requested change, owner, response/disposition, correction and independent retest. Design approval, visualisation approval, issue authorisation and receiving acceptance have distinct scopes/signatures. SYN-COM80-01 changes box length 2 to 2.2 m; record SYN-CH80-01/SYN-MOD80 R02, new scene/output revisions, rerun source/material/camera/output checks, and resubmit. No real client or sign-off is invented. Retain R01; approval never silently transfers to altered output.</w:t>
      </w:r>
    </w:p>
    <w:p>
      <w:pPr>
        <w:pStyle w:val="Heading1"/>
      </w:pPr>
      <w:r>
        <w:t>6 Repeatability, adverse cases and release</w:t>
      </w:r>
    </w:p>
    <w:p>
      <w:pPr/>
      <w:r>
        <w:t>Workbook Brief, Scene, Assets, Output, Review, Comments, Repeatability, Acceptance tabs have paired empty forms. Recipe/settings are specifications; native scene, render runs and recipient tests remain Not executed. Future operator creates and freezes SYN-SCENE80 R01, records builds/input/config hashes, and renders twice unchanged on the same pinned environment. Compare manifests, dimensions/profile, dependency warnings and full/crop views. This deterministic training test requires identical decoded pixel buffers on that same environment; exclude container timestamps/metadata. If different, report Fail and obtain investigated/reviewer-approved criterion change before claiming repeatability. No cross-device pixel identity is assumed.</w:t>
      </w:r>
    </w:p>
    <w:p>
      <w:pPr/>
      <w:r>
        <w:t>Reset each adverse case independently. T80-01 puts near clip through box: Fail; restore 0.1 m, rerender. T80-02 uses unresolved texture path: Fail even if fallback looks plausible; restore procedural material. T80-03 applies display transform twice: Fail; restore once-only transform and compare decoded output. T80-04 omits frame 120: 239/240, Fail; rerender 120 and verify 240/240. T80-05 substitutes R02 source under R01 caption: Hold; correct source/scene/output/approval lineage. T80-06 allows unapproved public access: Hold; use approved incident/revocation process and requalify permitted/denied access without publishing real sensitive data.</w:t>
      </w:r>
    </w:p>
    <w:p>
      <w:pPr/>
      <w:r>
        <w:t>Release exact source/scene/output revisions only after producer checks, independent design/material/visual QA, licensing/data review, scoped delivery authorisation and recipient viewing evidence. Mandatory defects hold affected issue regardless of average visual score. Register dependencies/output hashes/comments/sign-offs and unresolved exclusions. Office adoption, build/licence qualification, actual scene repeatability and real design/receiving decisions remain activation holds; quick-render exercises never close them.</w:t>
      </w:r>
    </w:p>
    <w:p>
      <w:pPr>
        <w:pStyle w:val="Heading1"/>
      </w:pPr>
      <w:r>
        <w:t>References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Matrix SG-090, plan 33; office guide 29 quick renders, guide 37 review images and linked BoD/template/family/material/record owners.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15">
        <w:r>
          <w:rPr>
            <w:color w:val="9A7B45"/>
            <w:u w:val="single"/>
          </w:rPr>
          <w:t>Blender LTS releases</w:t>
        </w:r>
      </w:hyperlink>
      <w:r>
        <w:t xml:space="preserve"> and </w:t>
      </w:r>
      <w:hyperlink r:id="rId16">
        <w:r>
          <w:rPr>
            <w:color w:val="9A7B45"/>
            <w:u w:val="single"/>
          </w:rPr>
          <w:t>current render manual</w:t>
        </w:r>
      </w:hyperlink>
      <w:r>
        <w:t xml:space="preserve">, checked 2026-11-04 (the 4.0 manual is kept only as history of the first draft), compared with </w:t>
      </w:r>
      <w:hyperlink r:id="rId17">
        <w:r>
          <w:rPr>
            <w:color w:val="9A7B45"/>
            <w:u w:val="single"/>
          </w:rPr>
          <w:t>Autodesk render sharing</w:t>
        </w:r>
      </w:hyperlink>
      <w:r>
        <w:t>: technical/recipient questions, not installed capability. No source imagery copied.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18">
        <w:r>
          <w:rPr>
            <w:color w:val="9A7B45"/>
            <w:u w:val="single"/>
          </w:rPr>
          <w:t>NIBS v4 BEP</w:t>
        </w:r>
      </w:hyperlink>
      <w:r>
        <w:t xml:space="preserve"> and </w:t>
      </w:r>
      <w:hyperlink r:id="rId19">
        <w:r>
          <w:rPr>
            <w:color w:val="9A7B45"/>
            <w:u w:val="single"/>
          </w:rPr>
          <w:t>BCA Guide v2, historic benchmark (2013)</w:t>
        </w:r>
      </w:hyperlink>
      <w:r>
        <w:t>, use-led review context; office procedures here are original.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20">
        <w:r>
          <w:rPr>
            <w:color w:val="9A7B45"/>
            <w:u w:val="single"/>
          </w:rPr>
          <w:t>ISO 19650-2</w:t>
        </w:r>
      </w:hyperlink>
      <w:r>
        <w:t xml:space="preserve"> clauses 5.6/5.7 and </w:t>
      </w:r>
      <w:hyperlink r:id="rId21">
        <w:r>
          <w:rPr>
            <w:color w:val="9A7B45"/>
            <w:u w:val="single"/>
          </w:rPr>
          <w:t>IMI Framework (formerly UK BIM Framework, renamed May 2025) archived Guidance Part A ed2</w:t>
        </w:r>
      </w:hyperlink>
      <w:r>
        <w:t xml:space="preserve"> are reading pointers; verify licensed text before conformity claims. </w:t>
      </w:r>
      <w:hyperlink r:id="rId22">
        <w:r>
          <w:rPr>
            <w:color w:val="9A7B45"/>
            <w:u w:val="single"/>
          </w:rPr>
          <w:t>ISO 19650-1</w:t>
        </w:r>
      </w:hyperlink>
      <w:r>
        <w:t xml:space="preserve">, </w:t>
      </w:r>
      <w:hyperlink r:id="rId23">
        <w:r>
          <w:rPr>
            <w:color w:val="9A7B45"/>
            <w:u w:val="single"/>
          </w:rPr>
          <w:t>-3</w:t>
        </w:r>
      </w:hyperlink>
      <w:r>
        <w:t xml:space="preserve">, </w:t>
      </w:r>
      <w:hyperlink r:id="rId24">
        <w:r>
          <w:rPr>
            <w:color w:val="9A7B45"/>
            <w:u w:val="single"/>
          </w:rPr>
          <w:t>-5</w:t>
        </w:r>
      </w:hyperlink>
      <w:r>
        <w:t xml:space="preserve">, </w:t>
      </w:r>
      <w:hyperlink r:id="rId25">
        <w:r>
          <w:rPr>
            <w:color w:val="9A7B45"/>
            <w:u w:val="single"/>
          </w:rPr>
          <w:t>ISO 7817-1</w:t>
        </w:r>
      </w:hyperlink>
      <w:r>
        <w:t xml:space="preserve"> support lifecycle/security/current LOIN context; BS EN 17412-1 is legacy predecessor where appointed.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 xml:space="preserve">UAE applicability remains with </w:t>
      </w:r>
      <w:r>
        <w:rPr>
          <w:color w:val="9A7B45"/>
          <w:u w:val="single"/>
        </w:rPr>
        <w:t>BBM-STD-57</w:t>
      </w:r>
      <w:r>
        <w:t xml:space="preserve"> and </w:t>
      </w:r>
      <w:r>
        <w:rPr>
          <w:color w:val="9A7B45"/>
          <w:u w:val="single"/>
        </w:rPr>
        <w:t>BBM-STD-85</w:t>
      </w:r>
      <w:r>
        <w:t xml:space="preserve">: </w:t>
      </w:r>
      <w:hyperlink r:id="rId26">
        <w:r>
          <w:rPr>
            <w:color w:val="9A7B45"/>
            <w:u w:val="single"/>
          </w:rPr>
          <w:t>DM building permit circulars index</w:t>
        </w:r>
      </w:hyperlink>
      <w:r>
        <w:t xml:space="preserve">, </w:t>
      </w:r>
      <w:hyperlink r:id="rId27">
        <w:r>
          <w:rPr>
            <w:color w:val="9A7B45"/>
            <w:u w:val="single"/>
          </w:rPr>
          <w:t>ADM BIM Code of Practice, October 2020</w:t>
        </w:r>
      </w:hyperlink>
      <w:r>
        <w:t xml:space="preserve">, </w:t>
      </w:r>
      <w:hyperlink r:id="rId28">
        <w:r>
          <w:rPr>
            <w:color w:val="9A7B45"/>
            <w:u w:val="single"/>
          </w:rPr>
          <w:t>DDA design</w:t>
        </w:r>
      </w:hyperlink>
      <w:r>
        <w:t xml:space="preserve">; </w:t>
      </w:r>
      <w:hyperlink r:id="rId29">
        <w:r>
          <w:rPr>
            <w:color w:val="9A7B45"/>
            <w:u w:val="single"/>
          </w:rPr>
          <w:t>Dubai Land Department</w:t>
        </w:r>
      </w:hyperlink>
      <w:r>
        <w:t xml:space="preserve"> for the real-estate advertising permit route (requirement confirmed by the client per project). Visual review is not statutory approval. Primary research checked 16 October 2026; no paid-standard paragraphs reproduced.</w:t>
      </w:r>
    </w:p>
    <w:sectPr w:rsidR="00922C46" w:rsidSect="00922C46">
      <w:headerReference w:type="default" r:id="rId8"/>
      <w:footerReference w:type="default" r:id="rId9"/>
      <w:headerReference w:type="first" r:id="rId10"/>
      <w:pgSz w:w="11906" w:h="16838"/>
      <w:pgMar w:top="1701" w:right="720" w:bottom="720" w:left="720" w:header="454" w:footer="20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3B23" w14:textId="77777777" w:rsidR="00721C27" w:rsidRDefault="00721C27" w:rsidP="00CB352A">
      <w:pPr>
        <w:spacing w:after="0" w:line="240" w:lineRule="auto"/>
      </w:pPr>
      <w:r>
        <w:separator/>
      </w:r>
    </w:p>
  </w:endnote>
  <w:endnote w:type="continuationSeparator" w:id="0">
    <w:p w14:paraId="311C7F5C" w14:textId="77777777" w:rsidR="00721C27" w:rsidRDefault="00721C27" w:rsidP="00CB3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nter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403874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1233345" w14:textId="16A281E0" w:rsidR="00F66F4B" w:rsidRDefault="00F66F4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B1D756A" w14:textId="666CA5D8" w:rsidR="00F66F4B" w:rsidRDefault="00F66F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EE4E" w14:textId="77777777" w:rsidR="00721C27" w:rsidRDefault="00721C27" w:rsidP="00CB352A">
      <w:pPr>
        <w:spacing w:after="0" w:line="240" w:lineRule="auto"/>
      </w:pPr>
      <w:r>
        <w:separator/>
      </w:r>
    </w:p>
  </w:footnote>
  <w:footnote w:type="continuationSeparator" w:id="0">
    <w:p w14:paraId="12244030" w14:textId="77777777" w:rsidR="00721C27" w:rsidRDefault="00721C27" w:rsidP="00CB3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8C6C" w14:textId="515D1FCF" w:rsidR="00CB352A" w:rsidRDefault="009C7B28">
    <w:pPr>
      <w:pStyle w:val="Header"/>
      <w:rPr>
        <w:b/>
        <w:bCs/>
      </w:rPr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58240" behindDoc="0" locked="0" layoutInCell="1" allowOverlap="1" wp14:anchorId="0228A8AB" wp14:editId="336A9345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923870934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320F" w:rsidRPr="0089320F">
      <w:rPr>
        <w:b/>
        <w:bCs/>
      </w:rPr>
      <w:t>BBM-BIM | BBM-STD-80-VISUALISATION-V0.2</w:t>
    </w:r>
    <w:r w:rsidR="00A018A2">
      <w:rPr>
        <w:b/>
        <w:bCs/>
      </w:rPr>
    </w:r>
    <w:r w:rsidR="00050B13">
      <w:rPr>
        <w:b/>
        <w:bCs/>
      </w:rPr>
    </w:r>
  </w:p>
  <w:p w14:paraId="6DEDEFD4" w14:textId="77777777" w:rsidR="00F66F4B" w:rsidRDefault="00F66F4B">
    <w:pPr>
      <w:pStyle w:val="Header"/>
      <w:rPr>
        <w:b/>
        <w:bCs/>
      </w:rPr>
    </w:pPr>
  </w:p>
  <w:p w14:paraId="1F087E3B" w14:textId="77777777" w:rsidR="0089320F" w:rsidRPr="0089320F" w:rsidRDefault="0089320F">
    <w:pPr>
      <w:pStyle w:val="Header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3CAFC" w14:textId="11F1D81D" w:rsidR="0038312B" w:rsidRDefault="0038312B">
    <w:pPr>
      <w:pStyle w:val="Header"/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60288" behindDoc="0" locked="0" layoutInCell="1" allowOverlap="1" wp14:anchorId="05FC8F1B" wp14:editId="450AA59F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1296434436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CB5"/>
    <w:multiLevelType w:val="multilevel"/>
    <w:tmpl w:val="A9BE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E5580"/>
    <w:multiLevelType w:val="multilevel"/>
    <w:tmpl w:val="9F8C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10C3F"/>
    <w:multiLevelType w:val="multilevel"/>
    <w:tmpl w:val="FDB4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F5278"/>
    <w:multiLevelType w:val="multilevel"/>
    <w:tmpl w:val="D27A30C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E607D4"/>
    <w:multiLevelType w:val="multilevel"/>
    <w:tmpl w:val="0F58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D22449"/>
    <w:multiLevelType w:val="multilevel"/>
    <w:tmpl w:val="7FDA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291BE1"/>
    <w:multiLevelType w:val="multilevel"/>
    <w:tmpl w:val="9A98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B16DFE"/>
    <w:multiLevelType w:val="multilevel"/>
    <w:tmpl w:val="10F8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480DBE"/>
    <w:multiLevelType w:val="multilevel"/>
    <w:tmpl w:val="C850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E3636F"/>
    <w:multiLevelType w:val="multilevel"/>
    <w:tmpl w:val="DA9E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1543BB"/>
    <w:multiLevelType w:val="multilevel"/>
    <w:tmpl w:val="19F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B2324D"/>
    <w:multiLevelType w:val="multilevel"/>
    <w:tmpl w:val="FC38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3A2E07"/>
    <w:multiLevelType w:val="multilevel"/>
    <w:tmpl w:val="E2403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EBD2A97"/>
    <w:multiLevelType w:val="multilevel"/>
    <w:tmpl w:val="43A2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C43213"/>
    <w:multiLevelType w:val="multilevel"/>
    <w:tmpl w:val="8480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B110E8"/>
    <w:multiLevelType w:val="multilevel"/>
    <w:tmpl w:val="8052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C465B0"/>
    <w:multiLevelType w:val="multilevel"/>
    <w:tmpl w:val="C050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9A7D33"/>
    <w:multiLevelType w:val="hybridMultilevel"/>
    <w:tmpl w:val="ACE66CBA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187B4E90"/>
    <w:multiLevelType w:val="multilevel"/>
    <w:tmpl w:val="5EAA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F47AEF"/>
    <w:multiLevelType w:val="multilevel"/>
    <w:tmpl w:val="0CD4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651B91"/>
    <w:multiLevelType w:val="multilevel"/>
    <w:tmpl w:val="9998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8076E0"/>
    <w:multiLevelType w:val="multilevel"/>
    <w:tmpl w:val="9A4E1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916E4C"/>
    <w:multiLevelType w:val="multilevel"/>
    <w:tmpl w:val="7308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983E25"/>
    <w:multiLevelType w:val="multilevel"/>
    <w:tmpl w:val="9FD6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9F27FC"/>
    <w:multiLevelType w:val="multilevel"/>
    <w:tmpl w:val="4310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CE0CD0"/>
    <w:multiLevelType w:val="hybridMultilevel"/>
    <w:tmpl w:val="877C0468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 w15:restartNumberingAfterBreak="0">
    <w:nsid w:val="25E45045"/>
    <w:multiLevelType w:val="multilevel"/>
    <w:tmpl w:val="6D22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BD15BC"/>
    <w:multiLevelType w:val="multilevel"/>
    <w:tmpl w:val="E4B2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054ACD"/>
    <w:multiLevelType w:val="multilevel"/>
    <w:tmpl w:val="A5BE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BE48F0"/>
    <w:multiLevelType w:val="multilevel"/>
    <w:tmpl w:val="A142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DA1723"/>
    <w:multiLevelType w:val="hybridMultilevel"/>
    <w:tmpl w:val="1AD011EC"/>
    <w:lvl w:ilvl="0" w:tplc="498CDA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B418A3"/>
    <w:multiLevelType w:val="multilevel"/>
    <w:tmpl w:val="9328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13038C1"/>
    <w:multiLevelType w:val="multilevel"/>
    <w:tmpl w:val="252A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1D27B7E"/>
    <w:multiLevelType w:val="multilevel"/>
    <w:tmpl w:val="BB3A3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33824DB"/>
    <w:multiLevelType w:val="hybridMultilevel"/>
    <w:tmpl w:val="BD40DAA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AC3C79"/>
    <w:multiLevelType w:val="hybridMultilevel"/>
    <w:tmpl w:val="743EF4B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E442A6"/>
    <w:multiLevelType w:val="hybridMultilevel"/>
    <w:tmpl w:val="25DCC4CC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203C6B"/>
    <w:multiLevelType w:val="multilevel"/>
    <w:tmpl w:val="482E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80033A"/>
    <w:multiLevelType w:val="multilevel"/>
    <w:tmpl w:val="F54C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990FD6"/>
    <w:multiLevelType w:val="multilevel"/>
    <w:tmpl w:val="5DB6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5B207C1"/>
    <w:multiLevelType w:val="multilevel"/>
    <w:tmpl w:val="3F58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74743A6"/>
    <w:multiLevelType w:val="multilevel"/>
    <w:tmpl w:val="0464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89D6270"/>
    <w:multiLevelType w:val="multilevel"/>
    <w:tmpl w:val="493859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4B37442B"/>
    <w:multiLevelType w:val="multilevel"/>
    <w:tmpl w:val="DCC4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D4D4C7F"/>
    <w:multiLevelType w:val="multilevel"/>
    <w:tmpl w:val="F8B8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D6C620A"/>
    <w:multiLevelType w:val="multilevel"/>
    <w:tmpl w:val="D01A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DA02F28"/>
    <w:multiLevelType w:val="hybridMultilevel"/>
    <w:tmpl w:val="89589A58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10A30BE"/>
    <w:multiLevelType w:val="multilevel"/>
    <w:tmpl w:val="387A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1D07053"/>
    <w:multiLevelType w:val="hybridMultilevel"/>
    <w:tmpl w:val="753CE6EA"/>
    <w:lvl w:ilvl="0" w:tplc="137A815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1F9764D"/>
    <w:multiLevelType w:val="hybridMultilevel"/>
    <w:tmpl w:val="6D90A5F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3257493"/>
    <w:multiLevelType w:val="multilevel"/>
    <w:tmpl w:val="1862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55033D6"/>
    <w:multiLevelType w:val="multilevel"/>
    <w:tmpl w:val="C024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DF1E1A"/>
    <w:multiLevelType w:val="multilevel"/>
    <w:tmpl w:val="EA0A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7897B19"/>
    <w:multiLevelType w:val="hybridMultilevel"/>
    <w:tmpl w:val="C5142CA6"/>
    <w:lvl w:ilvl="0" w:tplc="D1F2EE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987667"/>
    <w:multiLevelType w:val="multilevel"/>
    <w:tmpl w:val="4428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A4841AC"/>
    <w:multiLevelType w:val="multilevel"/>
    <w:tmpl w:val="65D4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C154B9E"/>
    <w:multiLevelType w:val="multilevel"/>
    <w:tmpl w:val="3EDC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CF446D6"/>
    <w:multiLevelType w:val="multilevel"/>
    <w:tmpl w:val="9AE83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DA12C63"/>
    <w:multiLevelType w:val="multilevel"/>
    <w:tmpl w:val="19BA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EA64FFB"/>
    <w:multiLevelType w:val="multilevel"/>
    <w:tmpl w:val="4BEC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F26775D"/>
    <w:multiLevelType w:val="multilevel"/>
    <w:tmpl w:val="0DCC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F4C2599"/>
    <w:multiLevelType w:val="multilevel"/>
    <w:tmpl w:val="13B8F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07C44F1"/>
    <w:multiLevelType w:val="multilevel"/>
    <w:tmpl w:val="3CC6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43467FE"/>
    <w:multiLevelType w:val="multilevel"/>
    <w:tmpl w:val="9522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DB57CDF"/>
    <w:multiLevelType w:val="multilevel"/>
    <w:tmpl w:val="72E6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E964972"/>
    <w:multiLevelType w:val="multilevel"/>
    <w:tmpl w:val="C3AC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511F6D"/>
    <w:multiLevelType w:val="multilevel"/>
    <w:tmpl w:val="9BEC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123172F"/>
    <w:multiLevelType w:val="multilevel"/>
    <w:tmpl w:val="12B6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4BE5B37"/>
    <w:multiLevelType w:val="multilevel"/>
    <w:tmpl w:val="27C6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8180DFE"/>
    <w:multiLevelType w:val="multilevel"/>
    <w:tmpl w:val="176C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83555A3"/>
    <w:multiLevelType w:val="multilevel"/>
    <w:tmpl w:val="1EF2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9CD7C91"/>
    <w:multiLevelType w:val="multilevel"/>
    <w:tmpl w:val="0FC4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D12550"/>
    <w:multiLevelType w:val="multilevel"/>
    <w:tmpl w:val="5F00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9FC1C66"/>
    <w:multiLevelType w:val="hybridMultilevel"/>
    <w:tmpl w:val="6246873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BAE16B6"/>
    <w:multiLevelType w:val="hybridMultilevel"/>
    <w:tmpl w:val="E8164416"/>
    <w:lvl w:ilvl="0" w:tplc="D52ED5B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3F25B3"/>
    <w:multiLevelType w:val="multilevel"/>
    <w:tmpl w:val="EA48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EC23B7E"/>
    <w:multiLevelType w:val="multilevel"/>
    <w:tmpl w:val="416C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EF26A17"/>
    <w:multiLevelType w:val="hybridMultilevel"/>
    <w:tmpl w:val="E7F42ABC"/>
    <w:lvl w:ilvl="0" w:tplc="51D0EC10">
      <w:start w:val="2"/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EFD14F4"/>
    <w:multiLevelType w:val="hybridMultilevel"/>
    <w:tmpl w:val="1E98011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F303287"/>
    <w:multiLevelType w:val="multilevel"/>
    <w:tmpl w:val="2EBA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8837531">
    <w:abstractNumId w:val="11"/>
  </w:num>
  <w:num w:numId="2" w16cid:durableId="1351297986">
    <w:abstractNumId w:val="53"/>
  </w:num>
  <w:num w:numId="3" w16cid:durableId="1365397943">
    <w:abstractNumId w:val="56"/>
  </w:num>
  <w:num w:numId="4" w16cid:durableId="2071027318">
    <w:abstractNumId w:val="75"/>
  </w:num>
  <w:num w:numId="5" w16cid:durableId="210533793">
    <w:abstractNumId w:val="32"/>
  </w:num>
  <w:num w:numId="6" w16cid:durableId="445732298">
    <w:abstractNumId w:val="61"/>
  </w:num>
  <w:num w:numId="7" w16cid:durableId="133573405">
    <w:abstractNumId w:val="30"/>
  </w:num>
  <w:num w:numId="8" w16cid:durableId="574585613">
    <w:abstractNumId w:val="74"/>
  </w:num>
  <w:num w:numId="9" w16cid:durableId="1349478103">
    <w:abstractNumId w:val="59"/>
  </w:num>
  <w:num w:numId="10" w16cid:durableId="2110003057">
    <w:abstractNumId w:val="45"/>
  </w:num>
  <w:num w:numId="11" w16cid:durableId="1874147494">
    <w:abstractNumId w:val="28"/>
  </w:num>
  <w:num w:numId="12" w16cid:durableId="2079087691">
    <w:abstractNumId w:val="3"/>
  </w:num>
  <w:num w:numId="13" w16cid:durableId="1823153762">
    <w:abstractNumId w:val="36"/>
  </w:num>
  <w:num w:numId="14" w16cid:durableId="1909921589">
    <w:abstractNumId w:val="12"/>
  </w:num>
  <w:num w:numId="15" w16cid:durableId="641083692">
    <w:abstractNumId w:val="77"/>
  </w:num>
  <w:num w:numId="16" w16cid:durableId="1245065181">
    <w:abstractNumId w:val="21"/>
  </w:num>
  <w:num w:numId="17" w16cid:durableId="398945280">
    <w:abstractNumId w:val="14"/>
  </w:num>
  <w:num w:numId="18" w16cid:durableId="16122890">
    <w:abstractNumId w:val="42"/>
  </w:num>
  <w:num w:numId="19" w16cid:durableId="1635210469">
    <w:abstractNumId w:val="25"/>
  </w:num>
  <w:num w:numId="20" w16cid:durableId="218126872">
    <w:abstractNumId w:val="17"/>
  </w:num>
  <w:num w:numId="21" w16cid:durableId="1801800760">
    <w:abstractNumId w:val="34"/>
  </w:num>
  <w:num w:numId="22" w16cid:durableId="1988775808">
    <w:abstractNumId w:val="47"/>
  </w:num>
  <w:num w:numId="23" w16cid:durableId="471681732">
    <w:abstractNumId w:val="27"/>
  </w:num>
  <w:num w:numId="24" w16cid:durableId="1064639593">
    <w:abstractNumId w:val="72"/>
  </w:num>
  <w:num w:numId="25" w16cid:durableId="2090497845">
    <w:abstractNumId w:val="23"/>
  </w:num>
  <w:num w:numId="26" w16cid:durableId="1181160950">
    <w:abstractNumId w:val="66"/>
  </w:num>
  <w:num w:numId="27" w16cid:durableId="1095247099">
    <w:abstractNumId w:val="26"/>
  </w:num>
  <w:num w:numId="28" w16cid:durableId="1520775121">
    <w:abstractNumId w:val="55"/>
  </w:num>
  <w:num w:numId="29" w16cid:durableId="600991068">
    <w:abstractNumId w:val="29"/>
  </w:num>
  <w:num w:numId="30" w16cid:durableId="1683556577">
    <w:abstractNumId w:val="51"/>
  </w:num>
  <w:num w:numId="31" w16cid:durableId="974061579">
    <w:abstractNumId w:val="43"/>
  </w:num>
  <w:num w:numId="32" w16cid:durableId="1131433968">
    <w:abstractNumId w:val="50"/>
  </w:num>
  <w:num w:numId="33" w16cid:durableId="512912934">
    <w:abstractNumId w:val="58"/>
  </w:num>
  <w:num w:numId="34" w16cid:durableId="1647661682">
    <w:abstractNumId w:val="5"/>
  </w:num>
  <w:num w:numId="35" w16cid:durableId="973022565">
    <w:abstractNumId w:val="24"/>
  </w:num>
  <w:num w:numId="36" w16cid:durableId="2025981299">
    <w:abstractNumId w:val="37"/>
  </w:num>
  <w:num w:numId="37" w16cid:durableId="60642266">
    <w:abstractNumId w:val="31"/>
  </w:num>
  <w:num w:numId="38" w16cid:durableId="2132359830">
    <w:abstractNumId w:val="9"/>
  </w:num>
  <w:num w:numId="39" w16cid:durableId="313875134">
    <w:abstractNumId w:val="38"/>
  </w:num>
  <w:num w:numId="40" w16cid:durableId="1400589230">
    <w:abstractNumId w:val="1"/>
  </w:num>
  <w:num w:numId="41" w16cid:durableId="2120292575">
    <w:abstractNumId w:val="22"/>
  </w:num>
  <w:num w:numId="42" w16cid:durableId="1371876170">
    <w:abstractNumId w:val="57"/>
  </w:num>
  <w:num w:numId="43" w16cid:durableId="1466267942">
    <w:abstractNumId w:val="62"/>
  </w:num>
  <w:num w:numId="44" w16cid:durableId="3631326">
    <w:abstractNumId w:val="4"/>
  </w:num>
  <w:num w:numId="45" w16cid:durableId="1991057930">
    <w:abstractNumId w:val="41"/>
  </w:num>
  <w:num w:numId="46" w16cid:durableId="664094968">
    <w:abstractNumId w:val="76"/>
  </w:num>
  <w:num w:numId="47" w16cid:durableId="1739940048">
    <w:abstractNumId w:val="49"/>
  </w:num>
  <w:num w:numId="48" w16cid:durableId="286551571">
    <w:abstractNumId w:val="16"/>
  </w:num>
  <w:num w:numId="49" w16cid:durableId="846596105">
    <w:abstractNumId w:val="40"/>
  </w:num>
  <w:num w:numId="50" w16cid:durableId="510607186">
    <w:abstractNumId w:val="63"/>
  </w:num>
  <w:num w:numId="51" w16cid:durableId="12155379">
    <w:abstractNumId w:val="2"/>
  </w:num>
  <w:num w:numId="52" w16cid:durableId="1045834822">
    <w:abstractNumId w:val="54"/>
  </w:num>
  <w:num w:numId="53" w16cid:durableId="804196552">
    <w:abstractNumId w:val="73"/>
  </w:num>
  <w:num w:numId="54" w16cid:durableId="178736295">
    <w:abstractNumId w:val="10"/>
  </w:num>
  <w:num w:numId="55" w16cid:durableId="1877966397">
    <w:abstractNumId w:val="46"/>
  </w:num>
  <w:num w:numId="56" w16cid:durableId="1944485735">
    <w:abstractNumId w:val="8"/>
  </w:num>
  <w:num w:numId="57" w16cid:durableId="1237714374">
    <w:abstractNumId w:val="35"/>
  </w:num>
  <w:num w:numId="58" w16cid:durableId="165638271">
    <w:abstractNumId w:val="78"/>
  </w:num>
  <w:num w:numId="59" w16cid:durableId="881479234">
    <w:abstractNumId w:val="48"/>
  </w:num>
  <w:num w:numId="60" w16cid:durableId="861405408">
    <w:abstractNumId w:val="18"/>
  </w:num>
  <w:num w:numId="61" w16cid:durableId="1968507311">
    <w:abstractNumId w:val="52"/>
  </w:num>
  <w:num w:numId="62" w16cid:durableId="726805067">
    <w:abstractNumId w:val="7"/>
  </w:num>
  <w:num w:numId="63" w16cid:durableId="694841789">
    <w:abstractNumId w:val="19"/>
  </w:num>
  <w:num w:numId="64" w16cid:durableId="628516054">
    <w:abstractNumId w:val="69"/>
  </w:num>
  <w:num w:numId="65" w16cid:durableId="1222668138">
    <w:abstractNumId w:val="65"/>
  </w:num>
  <w:num w:numId="66" w16cid:durableId="1019281562">
    <w:abstractNumId w:val="70"/>
  </w:num>
  <w:num w:numId="67" w16cid:durableId="1271547946">
    <w:abstractNumId w:val="20"/>
  </w:num>
  <w:num w:numId="68" w16cid:durableId="726295327">
    <w:abstractNumId w:val="64"/>
  </w:num>
  <w:num w:numId="69" w16cid:durableId="831221370">
    <w:abstractNumId w:val="68"/>
  </w:num>
  <w:num w:numId="70" w16cid:durableId="137649203">
    <w:abstractNumId w:val="44"/>
  </w:num>
  <w:num w:numId="71" w16cid:durableId="1085299768">
    <w:abstractNumId w:val="71"/>
  </w:num>
  <w:num w:numId="72" w16cid:durableId="1020814749">
    <w:abstractNumId w:val="79"/>
  </w:num>
  <w:num w:numId="73" w16cid:durableId="1082262486">
    <w:abstractNumId w:val="33"/>
  </w:num>
  <w:num w:numId="74" w16cid:durableId="1776947863">
    <w:abstractNumId w:val="67"/>
  </w:num>
  <w:num w:numId="75" w16cid:durableId="115297018">
    <w:abstractNumId w:val="60"/>
  </w:num>
  <w:num w:numId="76" w16cid:durableId="23871195">
    <w:abstractNumId w:val="39"/>
  </w:num>
  <w:num w:numId="77" w16cid:durableId="2099859680">
    <w:abstractNumId w:val="13"/>
  </w:num>
  <w:num w:numId="78" w16cid:durableId="900794897">
    <w:abstractNumId w:val="0"/>
  </w:num>
  <w:num w:numId="79" w16cid:durableId="2037386573">
    <w:abstractNumId w:val="15"/>
  </w:num>
  <w:num w:numId="80" w16cid:durableId="11658962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A1"/>
    <w:rsid w:val="00011DE7"/>
    <w:rsid w:val="00014181"/>
    <w:rsid w:val="00015002"/>
    <w:rsid w:val="00031E93"/>
    <w:rsid w:val="00050B13"/>
    <w:rsid w:val="00071679"/>
    <w:rsid w:val="000B77CC"/>
    <w:rsid w:val="000D2CAD"/>
    <w:rsid w:val="000D3F31"/>
    <w:rsid w:val="000E40BB"/>
    <w:rsid w:val="00106139"/>
    <w:rsid w:val="001344DE"/>
    <w:rsid w:val="00135631"/>
    <w:rsid w:val="001455B9"/>
    <w:rsid w:val="00166022"/>
    <w:rsid w:val="001921A6"/>
    <w:rsid w:val="001C3FBF"/>
    <w:rsid w:val="001E35E1"/>
    <w:rsid w:val="0024151C"/>
    <w:rsid w:val="00244E2A"/>
    <w:rsid w:val="002B62CB"/>
    <w:rsid w:val="002B72A5"/>
    <w:rsid w:val="002E22B1"/>
    <w:rsid w:val="002E26B1"/>
    <w:rsid w:val="002E7B1C"/>
    <w:rsid w:val="003465B5"/>
    <w:rsid w:val="00381C02"/>
    <w:rsid w:val="0038312B"/>
    <w:rsid w:val="00384EA1"/>
    <w:rsid w:val="00386C78"/>
    <w:rsid w:val="003E3D4A"/>
    <w:rsid w:val="003F0FED"/>
    <w:rsid w:val="0044196E"/>
    <w:rsid w:val="0046252B"/>
    <w:rsid w:val="004A6153"/>
    <w:rsid w:val="004B0410"/>
    <w:rsid w:val="004C5116"/>
    <w:rsid w:val="004F0F2D"/>
    <w:rsid w:val="00584E33"/>
    <w:rsid w:val="005C3D0B"/>
    <w:rsid w:val="005C6025"/>
    <w:rsid w:val="00603D1F"/>
    <w:rsid w:val="00606DB4"/>
    <w:rsid w:val="00670C60"/>
    <w:rsid w:val="00675752"/>
    <w:rsid w:val="006A3C85"/>
    <w:rsid w:val="006F2333"/>
    <w:rsid w:val="00721C27"/>
    <w:rsid w:val="0072403D"/>
    <w:rsid w:val="00811E67"/>
    <w:rsid w:val="0081580C"/>
    <w:rsid w:val="008246ED"/>
    <w:rsid w:val="00832F4E"/>
    <w:rsid w:val="00836FBF"/>
    <w:rsid w:val="008449E9"/>
    <w:rsid w:val="00872D61"/>
    <w:rsid w:val="00884127"/>
    <w:rsid w:val="0089320F"/>
    <w:rsid w:val="00922C46"/>
    <w:rsid w:val="009C7B28"/>
    <w:rsid w:val="009E6369"/>
    <w:rsid w:val="009F2E66"/>
    <w:rsid w:val="009F657F"/>
    <w:rsid w:val="00A018A2"/>
    <w:rsid w:val="00A11121"/>
    <w:rsid w:val="00A267E2"/>
    <w:rsid w:val="00A8584F"/>
    <w:rsid w:val="00AA67BF"/>
    <w:rsid w:val="00AA7E9A"/>
    <w:rsid w:val="00AB36A2"/>
    <w:rsid w:val="00AD592D"/>
    <w:rsid w:val="00B26407"/>
    <w:rsid w:val="00B82C0A"/>
    <w:rsid w:val="00BA4935"/>
    <w:rsid w:val="00BB2E0C"/>
    <w:rsid w:val="00BF5F8A"/>
    <w:rsid w:val="00BF6C96"/>
    <w:rsid w:val="00C10D76"/>
    <w:rsid w:val="00C128AF"/>
    <w:rsid w:val="00C47258"/>
    <w:rsid w:val="00C62CFE"/>
    <w:rsid w:val="00C90F45"/>
    <w:rsid w:val="00CB352A"/>
    <w:rsid w:val="00CC064F"/>
    <w:rsid w:val="00CF67A1"/>
    <w:rsid w:val="00D04E04"/>
    <w:rsid w:val="00D50B5A"/>
    <w:rsid w:val="00D676C0"/>
    <w:rsid w:val="00D76C48"/>
    <w:rsid w:val="00DD0AC6"/>
    <w:rsid w:val="00DE2E50"/>
    <w:rsid w:val="00E070CA"/>
    <w:rsid w:val="00E07122"/>
    <w:rsid w:val="00E61CAC"/>
    <w:rsid w:val="00E74AA0"/>
    <w:rsid w:val="00E86154"/>
    <w:rsid w:val="00E868BF"/>
    <w:rsid w:val="00E94A0E"/>
    <w:rsid w:val="00EA0679"/>
    <w:rsid w:val="00EA3575"/>
    <w:rsid w:val="00EC0C97"/>
    <w:rsid w:val="00ED53F1"/>
    <w:rsid w:val="00F3602F"/>
    <w:rsid w:val="00F66F4B"/>
    <w:rsid w:val="00F861B0"/>
    <w:rsid w:val="00F93E7C"/>
    <w:rsid w:val="00FA2C09"/>
    <w:rsid w:val="00FA42A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A9A19"/>
  <w15:chartTrackingRefBased/>
  <w15:docId w15:val="{97BBD25F-B166-4413-9BF0-9496AD41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C78"/>
    <w:rPr>
      <w:rFonts w:ascii="Inter" w:hAnsi="Inter" w:eastAsia="Inter" w:cs="Inter"/>
      <w:color w:val="14130F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C7B28"/>
    <w:pPr>
      <w:keepNext/>
      <w:keepLines/>
      <w:spacing w:before="360" w:after="80"/>
      <w:outlineLvl w:val="0"/>
    </w:pPr>
    <w:rPr>
      <w:rFonts w:ascii="Inter" w:eastAsiaTheme="majorEastAsia" w:hAnsi="Inter" w:cstheme="majorBidi" w:eastAsia="Inter" w:cs="Inter"/>
      <w:b/>
      <w:color w:val="9A7B45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86C78"/>
    <w:pPr>
      <w:keepNext/>
      <w:keepLines/>
      <w:tabs>
        <w:tab w:val="left" w:pos="1080"/>
      </w:tabs>
      <w:spacing w:before="280" w:after="200"/>
      <w:outlineLvl w:val="1"/>
    </w:pPr>
    <w:rPr>
      <w:rFonts w:ascii="Inter" w:eastAsiaTheme="majorEastAsia" w:hAnsi="Inter" w:cstheme="majorBidi" w:eastAsia="Inter" w:cs="Inter"/>
      <w:b/>
      <w:color w:val="14130F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26B1"/>
    <w:pPr>
      <w:keepNext/>
      <w:keepLines/>
      <w:spacing w:before="160" w:after="80"/>
      <w:outlineLvl w:val="2"/>
    </w:pPr>
    <w:rPr>
      <w:rFonts w:eastAsiaTheme="majorEastAsia" w:cstheme="majorBidi" w:ascii="Inter" w:hAnsi="Inter" w:eastAsia="Inter" w:cs="Inter"/>
      <w:b/>
      <w:color w:val="111113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28"/>
    <w:rPr>
      <w:rFonts w:ascii="Verdana" w:eastAsiaTheme="majorEastAsia" w:hAnsi="Verdana" w:cstheme="majorBidi"/>
      <w:b/>
      <w:color w:val="FF3300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151C"/>
    <w:rPr>
      <w:rFonts w:ascii="Verdana" w:eastAsiaTheme="majorEastAsia" w:hAnsi="Verdana" w:cstheme="majorBidi"/>
      <w:b/>
      <w:color w:val="1C1C1C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E26B1"/>
    <w:rPr>
      <w:rFonts w:eastAsiaTheme="majorEastAsia" w:cstheme="majorBidi"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C7B28"/>
    <w:pPr>
      <w:spacing w:after="80" w:line="240" w:lineRule="auto"/>
      <w:contextualSpacing/>
      <w:jc w:val="center"/>
    </w:pPr>
    <w:rPr>
      <w:rFonts w:ascii="Inter" w:eastAsiaTheme="majorEastAsia" w:hAnsi="Inter" w:cstheme="majorBidi" w:eastAsia="Inter" w:cs="Inter"/>
      <w:b/>
      <w:color w:val="9A7B45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28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7A1"/>
    <w:pPr>
      <w:ind w:left="720"/>
      <w:contextualSpacing/>
    </w:pPr>
    <w:rPr>
      <w:rFonts w:ascii="Inter" w:hAnsi="Inter" w:eastAsia="Inter" w:cs="Inter"/>
    </w:rPr>
  </w:style>
  <w:style w:type="character" w:styleId="IntenseEmphasis">
    <w:name w:val="Intense Emphasis"/>
    <w:basedOn w:val="DefaultParagraphFont"/>
    <w:uiPriority w:val="21"/>
    <w:qFormat/>
    <w:rsid w:val="00CF6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7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CB352A"/>
  </w:style>
  <w:style w:type="paragraph" w:styleId="Footer">
    <w:name w:val="footer"/>
    <w:basedOn w:val="Normal"/>
    <w:link w:val="Foot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B352A"/>
  </w:style>
  <w:style w:type="character" w:styleId="Strong">
    <w:name w:val="Strong"/>
    <w:basedOn w:val="DefaultParagraphFont"/>
    <w:uiPriority w:val="22"/>
    <w:qFormat/>
    <w:rsid w:val="009C7B28"/>
    <w:rPr>
      <w:rFonts w:ascii="Verdana" w:hAnsi="Verdana"/>
      <w:b/>
      <w:bCs/>
      <w:sz w:val="20"/>
    </w:rPr>
  </w:style>
  <w:style w:type="table" w:styleId="TableGrid">
    <w:name w:val="Table Grid"/>
    <w:basedOn w:val="TableNormal"/>
    <w:uiPriority w:val="39"/>
    <w:rsid w:val="00AD5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22C46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22C46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E63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www.notion.so/286f57b4e72f80118816ff4385350a98" TargetMode="External"/><Relationship Id="rId14" Type="http://schemas.openxmlformats.org/officeDocument/2006/relationships/hyperlink" Target="https://github.com/Fargaly/baboom-bim-standard/blob/main/04-DOCUMENTS/BBM-STD-80-VISUALISATION-V0.2.docx" TargetMode="External"/><Relationship Id="rId15" Type="http://schemas.openxmlformats.org/officeDocument/2006/relationships/hyperlink" Target="https://www.blender.org/download/lts/" TargetMode="External"/><Relationship Id="rId16" Type="http://schemas.openxmlformats.org/officeDocument/2006/relationships/hyperlink" Target="https://docs.blender.org/manual/en/latest/render/" TargetMode="External"/><Relationship Id="rId17" Type="http://schemas.openxmlformats.org/officeDocument/2006/relationships/hyperlink" Target="https://www.autodesk.com/support/technical/article/caas/sfdcarticles/sfdcarticles/Autodesk-Rendering-How-to-privately-share-renderings.html" TargetMode="External"/><Relationship Id="rId18" Type="http://schemas.openxmlformats.org/officeDocument/2006/relationships/hyperlink" Target="https://nibs.org/nbims/v4/bep/" TargetMode="External"/><Relationship Id="rId19" Type="http://schemas.openxmlformats.org/officeDocument/2006/relationships/hyperlink" Target="https://info.corenet.gov.sg/docs/default-source/bim-guides/singapore/singapore-bim-guide_v2.pdf" TargetMode="External"/><Relationship Id="rId20" Type="http://schemas.openxmlformats.org/officeDocument/2006/relationships/hyperlink" Target="https://www.iso.org/standard/68080.html" TargetMode="External"/><Relationship Id="rId21" Type="http://schemas.openxmlformats.org/officeDocument/2006/relationships/hyperlink" Target="https://www.ukbimframework.org/wp-content/uploads/2021/02/Guidance-Part-A_The-information-management-function-and-resources_Edition-2.pdf" TargetMode="External"/><Relationship Id="rId22" Type="http://schemas.openxmlformats.org/officeDocument/2006/relationships/hyperlink" Target="https://www.iso.org/standard/68078.html" TargetMode="External"/><Relationship Id="rId23" Type="http://schemas.openxmlformats.org/officeDocument/2006/relationships/hyperlink" Target="https://www.iso.org/standard/75109.html" TargetMode="External"/><Relationship Id="rId24" Type="http://schemas.openxmlformats.org/officeDocument/2006/relationships/hyperlink" Target="https://www.iso.org/standard/74206.html" TargetMode="External"/><Relationship Id="rId25" Type="http://schemas.openxmlformats.org/officeDocument/2006/relationships/hyperlink" Target="https://www.iso.org/standard/82914.html" TargetMode="External"/><Relationship Id="rId26" Type="http://schemas.openxmlformats.org/officeDocument/2006/relationships/hyperlink" Target="https://www.dm.gov.ae/building-planning-circulars-2/" TargetMode="External"/><Relationship Id="rId27" Type="http://schemas.openxmlformats.org/officeDocument/2006/relationships/hyperlink" Target="https://www.dmt.gov.ae/adm/-/media/Project/DMT/ADM/E-Library/0001-Jan-2022-Doc/ADM-BIM-005Code-of-Practice.pdf" TargetMode="External"/><Relationship Id="rId28" Type="http://schemas.openxmlformats.org/officeDocument/2006/relationships/hyperlink" Target="https://dda.gov.ae/en/planning-development/design/final-design-approval" TargetMode="External"/><Relationship Id="rId29" Type="http://schemas.openxmlformats.org/officeDocument/2006/relationships/hyperlink" Target="https://dubailand.gov.ae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21</Pages>
  <Words>4872</Words>
  <Characters>27773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GLOSSARY</vt:lpstr>
    </vt:vector>
  </TitlesOfParts>
  <Company/>
  <LinksUpToDate>false</LinksUpToDate>
  <CharactersWithSpaces>32580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GLOSSARY</dc:title>
  <dc:subject>Bep</dc:subject>
  <dc:creator>Fargaly</dc:creator>
  <cp:keywords/>
  <dc:description/>
  <cp:lastModifiedBy>Fargaly</cp:lastModifiedBy>
  <cp:revision>20</cp:revision>
  <dcterms:created xsi:type="dcterms:W3CDTF">2024-11-06T10:52:00Z</dcterms:created>
  <dcterms:modified xsi:type="dcterms:W3CDTF">2025-10-21T13:40:00Z</dcterms:modified>
</cp:coreProperties>
</file>