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Analysis, performance and sustainability exchanges</w:t>
      </w:r>
    </w:p>
    <w:p>
      <w:pPr/>
      <w:r>
        <w:t xml:space="preserve">Linked copies: ID STD-81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BBM-STD-81-ANALYSIS_AND_SUSTAINABILITY-V0.2 | Office standard | 4 November 2026 | V0.2 | Private controlled WIP draft</w:t>
      </w:r>
    </w:p>
    <w:p>
      <w:pPr>
        <w:pStyle w:val="Heading1"/>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501"/>
        <w:gridCol w:w="8191"/>
      </w:tblGrid>
      <w:tr>
        <w:trPr>
          <w:cantSplit/>
          <w:tblHeader/>
        </w:trPr>
        <w:tc>
          <w:tcPr>
            <w:tcW w:type="dxa" w:w="775"/>
            <w:shd w:val="clear" w:color="auto" w:fill="111113"/>
          </w:tcPr>
          <w:p>
            <w:r>
              <w:rPr>
                <w:b/>
                <w:color w:val="FFFFFF"/>
                <w:sz w:val="17"/>
              </w:rPr>
            </w:r>
            <w:r>
              <w:rPr>
                <w:b/>
                <w:color w:val="FFFFFF"/>
                <w:sz w:val="17"/>
              </w:rPr>
              <w:t>Version</w:t>
            </w:r>
          </w:p>
        </w:tc>
        <w:tc>
          <w:tcPr>
            <w:tcW w:type="dxa" w:w="1501"/>
            <w:shd w:val="clear" w:color="auto" w:fill="111113"/>
          </w:tcPr>
          <w:p>
            <w:r>
              <w:rPr>
                <w:b/>
                <w:color w:val="FFFFFF"/>
                <w:sz w:val="17"/>
              </w:rPr>
            </w:r>
            <w:r>
              <w:rPr>
                <w:b/>
                <w:color w:val="FFFFFF"/>
                <w:sz w:val="17"/>
              </w:rPr>
              <w:t>Date</w:t>
            </w:r>
          </w:p>
        </w:tc>
        <w:tc>
          <w:tcPr>
            <w:tcW w:type="dxa" w:w="8191"/>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501"/>
          </w:tcPr>
          <w:p>
            <w:r>
              <w:rPr>
                <w:sz w:val="17"/>
              </w:rPr>
            </w:r>
            <w:r>
              <w:rPr>
                <w:sz w:val="17"/>
              </w:rPr>
              <w:t>16 October 2026</w:t>
            </w:r>
          </w:p>
        </w:tc>
        <w:tc>
          <w:tcPr>
            <w:tcW w:type="dxa" w:w="8191"/>
          </w:tcPr>
          <w:p>
            <w:r>
              <w:rPr>
                <w:sz w:val="17"/>
              </w:rPr>
            </w:r>
            <w:r>
              <w:rPr>
                <w:sz w:val="17"/>
              </w:rPr>
              <w:t>First controlled draft.</w:t>
            </w:r>
          </w:p>
        </w:tc>
      </w:tr>
      <w:tr>
        <w:trPr>
          <w:cantSplit/>
        </w:trPr>
        <w:tc>
          <w:tcPr>
            <w:tcW w:type="dxa" w:w="775"/>
          </w:tcPr>
          <w:p>
            <w:r>
              <w:rPr>
                <w:sz w:val="17"/>
              </w:rPr>
            </w:r>
            <w:r>
              <w:rPr>
                <w:sz w:val="17"/>
              </w:rPr>
              <w:t>V0.2</w:t>
            </w:r>
          </w:p>
        </w:tc>
        <w:tc>
          <w:tcPr>
            <w:tcW w:type="dxa" w:w="1501"/>
          </w:tcPr>
          <w:p>
            <w:r>
              <w:rPr>
                <w:sz w:val="17"/>
              </w:rPr>
            </w:r>
            <w:r>
              <w:rPr>
                <w:sz w:val="17"/>
              </w:rPr>
              <w:t>4 November 2026</w:t>
            </w:r>
          </w:p>
        </w:tc>
        <w:tc>
          <w:tcPr>
            <w:tcW w:type="dxa" w:w="8191"/>
          </w:tcPr>
          <w:p>
            <w:r>
              <w:rPr>
                <w:sz w:val="17"/>
              </w:rPr>
            </w:r>
            <w:r>
              <w:rPr>
                <w:sz w:val="17"/>
              </w:rPr>
              <w:t>Audit res-026 closure: G277 statutory minimum ratings (Estidama 1/​2 Pearl, Al Sa'fat Silver) in §5; G278 ISO 22057:2022 EPD data templates for carbon factors; G279 EN 15804+A2 and EN 15978 module definitions; G280 RICS WLCA exact title/​edition/​effective date; IMI Framework naming; link to BBM-STD-78 V0.2; spacing fixed. + cross-doc pointer pass.</w:t>
            </w:r>
          </w:p>
        </w:tc>
      </w:tr>
    </w:tbl>
    <w:p/>
    <w:p>
      <w:pPr>
        <w:pStyle w:val="Heading1"/>
      </w:pPr>
      <w:r>
        <w:t>1 Decision, methodology and specialist ownership</w:t>
      </w:r>
    </w:p>
    <w:p>
      <w:pPr/>
      <w:r>
        <w:t>This standard addresses SG-091. Each analysis has an AnalysisID/revision, intended decision, criterion/source/clause and unit, scope/period, methodology/edition and responsible competent specialist. The sustainability lead coordinates environmental claims and rating evidence; structural/MEP/acoustic/fire/other analysis stays with its appointed discipline lead. An independent competent checker reviews assumptions/calculation/result; delivery authoriser and appointed recipient separately accept the information for its scoped use. A modeller, exchange validator or visualisation does not grant technical approval.</w:t>
      </w:r>
    </w:p>
    <w:p>
      <w:pPr/>
      <w:r>
        <w:t xml:space="preserve">Use </w:t>
      </w:r>
      <w:r>
        <w:rPr>
          <w:color w:val="9A7B45"/>
          <w:u w:val="single"/>
        </w:rPr>
        <w:t>BoD</w:t>
      </w:r>
      <w:r>
        <w:t xml:space="preserve">, </w:t>
      </w:r>
      <w:r>
        <w:rPr>
          <w:color w:val="9A7B45"/>
          <w:u w:val="single"/>
        </w:rPr>
        <w:t>EIR/LOIN</w:t>
      </w:r>
      <w:r>
        <w:t xml:space="preserve">, </w:t>
      </w:r>
      <w:r>
        <w:rPr>
          <w:color w:val="9A7B45"/>
          <w:u w:val="single"/>
        </w:rPr>
        <w:t>survey/coordinates</w:t>
      </w:r>
      <w:r>
        <w:t xml:space="preserve">, </w:t>
      </w:r>
      <w:r>
        <w:rPr>
          <w:color w:val="9A7B45"/>
          <w:u w:val="single"/>
        </w:rPr>
        <w:t>dictionary</w:t>
      </w:r>
      <w:r>
        <w:t xml:space="preserve">, </w:t>
      </w:r>
      <w:r>
        <w:rPr>
          <w:color w:val="9A7B45"/>
          <w:u w:val="single"/>
        </w:rPr>
        <w:t>exchange profiles</w:t>
      </w:r>
      <w:r>
        <w:t xml:space="preserve"> and </w:t>
      </w:r>
      <w:r>
        <w:rPr>
          <w:color w:val="9A7B45"/>
          <w:u w:val="single"/>
        </w:rPr>
        <w:t>quality plan</w:t>
      </w:r>
      <w:r>
        <w:t xml:space="preserve">. </w:t>
      </w:r>
      <w:r>
        <w:rPr>
          <w:color w:val="9A7B45"/>
          <w:u w:val="single"/>
        </w:rPr>
        <w:t>Material properties</w:t>
      </w:r>
      <w:r>
        <w:t xml:space="preserve"> retain technical source identity; colour/texture is never a thermal/structural input. </w:t>
      </w:r>
      <w:r>
        <w:rPr>
          <w:color w:val="9A7B45"/>
          <w:u w:val="single"/>
        </w:rPr>
        <w:t>Quantity measurement</w:t>
      </w:r>
      <w:r>
        <w:t xml:space="preserve"> governs measured quantities, not environmental factors or analysis judgement. </w:t>
      </w:r>
      <w:r>
        <w:rPr>
          <w:color w:val="9A7B45"/>
          <w:u w:val="single"/>
        </w:rPr>
        <w:t>Editable provenance, validation and review forms</w:t>
      </w:r>
      <w:r>
        <w:t xml:space="preserve"> contain synthetic specifications and empty templates.</w:t>
      </w:r>
    </w:p>
    <w:p>
      <w:pPr/>
      <w:r>
        <w:t xml:space="preserve">Record requirements and applicable stage in BoD/EIR, AnalysisBriefID, named specialist/competence/authority, chosen method, decision limits and review dates before transferring geometry. Energy load/sizing, annual energy, thermal comfort, daylight/glare, embodied/operational carbon, water and other analyses require different boundaries and metrics; define them individually. Regulatory/rating use needs the adopted jurisdiction/instrument/version, amendments, methodology and exact criterion, reviewed by its competent function under </w:t>
      </w:r>
      <w:r>
        <w:rPr>
          <w:color w:val="9A7B45"/>
          <w:u w:val="single"/>
        </w:rPr>
        <w:t>BBM-STD-57</w:t>
      </w:r>
      <w:r>
        <w:t>. No target, rating or certification follows from a model-use label.</w:t>
      </w:r>
    </w:p>
    <w:p>
      <w:pPr/>
      <w:r>
        <w:t>SYN-AN81 R01 is a numerical exchange-training pack only: a single rectangular zone plus independent energy/daylight/carbon post-processing cases. Every value and criterion below is invented. No weather file, solver model, EPD, calibrated observation, specialist approval or actual performance claim is delivered. These cases test identity/units/calculation lineage; they do not constitute a valid energy model or sustainability assessment.</w:t>
      </w:r>
    </w:p>
    <w:p>
      <w:pPr>
        <w:pStyle w:val="Heading1"/>
      </w:pPr>
      <w:r>
        <w:t>2 Source-to-analytical geometry and properties</w:t>
      </w:r>
    </w:p>
    <w:p>
      <w:pPr/>
      <w:r>
        <w:t>Freeze source container/native IDs/revisions/hashes, phase/options and linked disciplines, analytical simplification revision, coordinate transform/direction/units, north, floors/zones/boundary surfaces and openings. Keep original and analytical geometry separate with an explicit many-to-one/one-to-many crosswalk. Record removed detail, merged/split spaces, adjacency/outdoor/ground/adiabatic assumptions, orientation, surface normals, openings/shading and excluded/unconditioned scope. Room name matching alone does not establish thermal adjacency or a closed volume. Presentation meshes/entourage must never silently become analytical surfaces.</w:t>
      </w:r>
    </w:p>
    <w:p>
      <w:pPr/>
      <w:r>
        <w:t>SYN-Z81 comes from SYN-MOD81 R01; local origin (0,0,0), metres, Z-up, no geodetic tie; zone extends 10x5x3 m. Floor 50 m2, volume 150 m3, walls 90 m2, roof 50 m2, floor 50 m2, total six boundary surfaces 190 m2. SOUTH81 at y=0 has gross 30 m2, normal (0,-1,0), WIN81-A 4 m2, opaque 26 m2. NORTH81 at y=5 has gross 30 m2, normal (0,1,0), WIN81-B 2 m2, opaque 28 m2. WEST81 at x=0 and EAST81 at x=10 each have 15 m2, no openings, normals (-1,0,0)/(1,0,0). Roof normal (0,0,1), floor (0,0,-1). WIN81-A is 2x2 m at x=2..4, z=0.5..2.5 on SOUTH81; WIN81-B is 2x1 m at x=2..4, z=1..2 on NORTH81. Opaque walls 26+28+15+15=84 m2; openings 4+2=6 m2. Zone-summary and opening rows are not additional boundary surfaces; windows are wall subsets. All walls/outside, roof/outside, floor/ground are synthetic labels, not real ground/weather conditions.</w:t>
      </w:r>
    </w:p>
    <w:p>
      <w:pPr/>
      <w:r>
        <w:t>Technical properties need dictionary PropertyID, source declaration/test/calculation and exact revision/page, value/unit, range/conditions/uncertainty, binding and receiver mapping. Keep layers/thicknesses/conductivity, assembly U-value, glazing solar/visible transmittance, infiltration/ventilation and systems separate. Unit conversions retain original values and transformations. SYN-PROP81 sets opaque-wall U=0.5 W/(m2 K) solely for a steady-state unit check. With 84 m2 and 10 K difference, transmission 420 W; it excludes windows/roof/floor/bridges/ventilation/solar/storage and is not a heating/cooling load or annual-energy result. Unknown required properties hold analysis; never use 0 or infer performance from appearance.</w:t>
      </w:r>
    </w:p>
    <w:p>
      <w:pPr>
        <w:pStyle w:val="Heading1"/>
      </w:pPr>
      <w:r>
        <w:t>3 Input datasets, operating assumptions and uncertainty</w:t>
      </w:r>
    </w:p>
    <w:p>
      <w:pPr/>
      <w:r>
        <w:t>Dataset register records DatasetID/version/hash, provider/rights, geographic/time coverage, weather station/location/elevation/time zone and weather-file format/period; design days versus typical/measured climate are distinct. Record load sources/combinations, occupancy/activity density, schedules/weekends/holidays, lighting/equipment gains, setpoints, ventilation/infiltration, system efficiencies/control, soil/ground/shading and all applicable units. For daylight record location/north, sky/date/time or climate metric, sensor plane/grid, obstructions, reflectance/transmittance, threshold/occupied hours and solver settings. A picturesque sky is not an analysis sky.</w:t>
      </w:r>
    </w:p>
    <w:p>
      <w:pPr/>
      <w:r>
        <w:t>Pin authoring/exporter/solver/checker/receiver full builds, schemas/presets, material/library versions, calculation settings/time steps, run period/convergence, warnings, random seed if used, and reproducible input/output manifests. Live current-schema pages do not authorise upgrades; gbXML 8.01 January 2026 is researched availability only. Project schema/IFC/gbXML/API/CSV profile must be selected and qualified under BBM-STD-74. A supported extension does not establish semantic transfer.</w:t>
      </w:r>
    </w:p>
    <w:p>
      <w:pPr/>
      <w:r>
        <w:t>SYN-OCC81 fixture: 5 people at 75 W/person = 375 W; lighting 8 W/m2 over 50 m2 = 400 W; equipment 250 W; instantaneous sensible total 1025 W. Schedule 8 h/day for 200 days yields 8000 person-hours for people only. These do not define actual occupancy, annual loads or HVAC energy. No climate dataset is supplied; real climate-dependent simulation is Hold until the specialist supplies and validates its applicable source. Carbon dataset SYN-FACTOR81 R01 is invented 0.2 kgCO2e/kg for A1-A3 only; not an EPD or a whole-life factor. Real carbon factor records use the ISO 22057:2022 data-template fields for EPD data in BIM (via BBM-STD-71/72), so each factor keeps its EPD identity, declared unit, modules and validity.</w:t>
      </w:r>
    </w:p>
    <w:p>
      <w:pPr/>
      <w:r>
        <w:t>State calibration basis separately: real measured outputs, period/coverage, instrument uncertainty, method, independent validation data and residual diagnostics, where calibrated claims are intended. An uncalibrated design comparison stays labelled uncalibrated. Maintain sensitivity ranges/source, scenario identity and effects; do not describe an invented band as statistical confidence. Carbon factor+20% sensitivity in the fixture is a deterministic scenario, not a probability. Avoid false precision and identify unknowns, excluded systems and unmodelled stages before any reliance decision.</w:t>
      </w:r>
    </w:p>
    <w:p>
      <w:pPr>
        <w:pStyle w:val="Heading1"/>
      </w:pPr>
      <w:r>
        <w:t>4 Transfer, reconciliation and result return</w:t>
      </w:r>
    </w:p>
    <w:p>
      <w:pPr/>
      <w:r>
        <w:t>Exchange profile joins AnalysisID, RequirementID/ExchangeID, source and analytical manifests, mapping/preset revision, geometry/property/unit/coordinate rules, tool builds and purpose. Export an isolated approved snapshot; retain raw transfer and solver input, then compare identities/counts, zone areas/volumes, surface normals/closure, adjacency/openings, materials/properties and operating datasets. Check warnings and failure logs, not just schema validity. Required source objects cannot disappear as an unexplained clean export. For multi-zone cases check reciprocal shared boundaries and unintended duplicated exterior surfaces.</w:t>
      </w:r>
    </w:p>
    <w:p>
      <w:pPr/>
      <w:r>
        <w:t xml:space="preserve">Return results by AnalysisID/RunID and stable space/object/system/criterion key, scenario, period, metric/unit/denominator, source/tool revisions, uncertainty/limitations, output hash and specialist review. Keep results as derived records; never overwrite authoritative design properties without an approved ChangeID and owner review. Identify any interpretation of divergent geometries; material replacements or zoning changes invalidate affected assumptions/results and require rerun. A coloured overlay must link the numerical record and source revision; </w:t>
      </w:r>
      <w:r>
        <w:rPr>
          <w:color w:val="9A7B45"/>
          <w:u w:val="single"/>
        </w:rPr>
        <w:t>BBM-STD-80</w:t>
      </w:r>
      <w:r>
        <w:t xml:space="preserve"> governs communication, not analysis acceptance.</w:t>
      </w:r>
    </w:p>
    <w:p>
      <w:pPr/>
      <w:r>
        <w:t>Synthetic transfer test expects 1 zone, 50 m2 floor, 150 m3 volume, 6 boundary surfaces, 2 openings, 84 m2 opaque wall. Export with only WIN81-A fails opening count/area; restore both 4+2=6 m2. A factor 1000 mismatch in coordinate units fails length/area/volume checks even if shape looks similar. Exact fixture agreement is a training criterion; real geometric simplification/tolerance comes from specialist purpose and source uncertainty, not a blanket ISO number. SYN-RES81 R01 is the result collection with five members SYN-Q81, SYN-E81, SYN-D81, SYN-C81, SYN-C81-S1. The additional Result lineage form and matching blank join each member to SYN-AN81 R01, RunID SYN-RUN81 R01, ZoneID SYN-Z81 and source SYN-MOD81 R01. Scenario FACTOR-PLUS20 applies to the sensitivity member, BASE to all others. These are expected training records, not an executed solver run. Reject missing/orphan members and stale R00 source keys.</w:t>
      </w:r>
    </w:p>
    <w:p>
      <w:pPr>
        <w:pStyle w:val="Heading1"/>
      </w:pPr>
      <w:r>
        <w:t>5 Criteria, comparable results and sustainable claims</w:t>
      </w:r>
    </w:p>
    <w:p>
      <w:pPr/>
      <w:r>
        <w:t xml:space="preserve">Maintain criterion/source matrix through BoD with value/unit/comparison, edition/clause/credit, applicable stage, jurisdiction, method, owner, evidence and decision. DM Al Sa'fat, DMT Estidama and DDA routes differ; confirm actual plot/authority/appointment and scheme version/bulletins. Rating evidence comes from the model properties defined in </w:t>
      </w:r>
      <w:r>
        <w:rPr>
          <w:color w:val="9A7B45"/>
          <w:u w:val="single"/>
        </w:rPr>
        <w:t>BBM-STD-60</w:t>
      </w:r>
      <w:r>
        <w:t xml:space="preserve"> §2.1 (efficiency, flow rates, metering), </w:t>
      </w:r>
      <w:r>
        <w:rPr>
          <w:color w:val="9A7B45"/>
          <w:u w:val="single"/>
        </w:rPr>
        <w:t>BBM-STD-61</w:t>
      </w:r>
      <w:r>
        <w:t xml:space="preserve"> §2 (plant and irrigation) and </w:t>
      </w:r>
      <w:r>
        <w:rPr>
          <w:color w:val="9A7B45"/>
          <w:u w:val="single"/>
        </w:rPr>
        <w:t>BBM-STD-62</w:t>
      </w:r>
      <w:r>
        <w:t xml:space="preserve"> §2 (finish credits), each joined to the criterion row here. The statutory minimum ratings are criterion rows in every applicable brief, recorded as minimums and never as targets met: Abu Dhabi private projects at least 1 Pearl and government-funded projects at least 2 Pearl (Estidama Pearl Rating System, DMT, 8 Jan 2025); Dubai new buildings at least Silver Sa'fa (Al Sa'fat, 2nd edition, January 2023; Golden and Platinum optional); DDA free-zone plots follow the DDA route recorded in BBM-STD-57 and </w:t>
      </w:r>
      <w:r>
        <w:rPr>
          <w:color w:val="9A7B45"/>
          <w:u w:val="single"/>
        </w:rPr>
        <w:t>BBM-STD-85</w:t>
      </w:r>
      <w:r>
        <w:t>. Never combine a Dubai threshold with an Abu Dhabi rating or treat an authority information receipt as certification. An unresolved applicable criterion holds the affected performance claim. RICS WLCA methodology selection and lifecycle scope do not themselves set a project carbon target. Lifecycle modules (A1-A3, A4-A5, B, C, D) are defined by EN 15978 (building level; edition recorded at adoption, revision in progress) and EN 15804:2012+A2:2019 (EPD core rules), as used by the RICS method.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31"/>
        <w:gridCol w:w="4751"/>
        <w:gridCol w:w="3484"/>
      </w:tblGrid>
      <w:tr>
        <w:trPr>
          <w:cantSplit/>
          <w:tblHeader/>
        </w:trPr>
        <w:tc>
          <w:tcPr>
            <w:tcW w:type="dxa" w:w="2231"/>
            <w:shd w:val="clear" w:color="auto" w:fill="111113"/>
          </w:tcPr>
          <w:p>
            <w:r>
              <w:rPr>
                <w:b/>
                <w:color w:val="FFFFFF"/>
                <w:sz w:val="17"/>
              </w:rPr>
            </w:r>
            <w:r>
              <w:rPr>
                <w:b/>
                <w:color w:val="FFFFFF"/>
                <w:sz w:val="17"/>
              </w:rPr>
              <w:t>Synthetic result /​ requirement</w:t>
            </w:r>
          </w:p>
        </w:tc>
        <w:tc>
          <w:tcPr>
            <w:tcW w:type="dxa" w:w="4751"/>
            <w:shd w:val="clear" w:color="auto" w:fill="111113"/>
          </w:tcPr>
          <w:p>
            <w:r>
              <w:rPr>
                <w:b/>
                <w:color w:val="FFFFFF"/>
                <w:sz w:val="17"/>
              </w:rPr>
            </w:r>
            <w:r>
              <w:rPr>
                <w:b/>
                <w:color w:val="FFFFFF"/>
                <w:sz w:val="17"/>
              </w:rPr>
              <w:t>Reproducible arithmetic</w:t>
            </w:r>
          </w:p>
        </w:tc>
        <w:tc>
          <w:tcPr>
            <w:tcW w:type="dxa" w:w="3484"/>
            <w:shd w:val="clear" w:color="auto" w:fill="111113"/>
          </w:tcPr>
          <w:p>
            <w:r>
              <w:rPr>
                <w:b/>
                <w:color w:val="FFFFFF"/>
                <w:sz w:val="17"/>
              </w:rPr>
            </w:r>
            <w:r>
              <w:rPr>
                <w:b/>
                <w:color w:val="FFFFFF"/>
                <w:sz w:val="17"/>
              </w:rPr>
              <w:t>Decision boundary</w:t>
            </w:r>
          </w:p>
        </w:tc>
      </w:tr>
      <w:tr>
        <w:trPr>
          <w:cantSplit/>
        </w:trPr>
        <w:tc>
          <w:tcPr>
            <w:tcW w:type="dxa" w:w="2231"/>
          </w:tcPr>
          <w:p>
            <w:r>
              <w:rPr>
                <w:sz w:val="17"/>
              </w:rPr>
            </w:r>
            <w:r>
              <w:rPr>
                <w:sz w:val="17"/>
              </w:rPr>
              <w:t>SYN-E81 /​ SYN-CR81-E</w:t>
            </w:r>
          </w:p>
        </w:tc>
        <w:tc>
          <w:tcPr>
            <w:tcW w:type="dxa" w:w="4751"/>
          </w:tcPr>
          <w:p>
            <w:r>
              <w:rPr>
                <w:sz w:val="17"/>
              </w:rPr>
            </w:r>
            <w:r>
              <w:rPr>
                <w:sz w:val="17"/>
              </w:rPr>
              <w:t>Invented annual delivered energy 10000 kWh divided by 50 m2 = 200 kWh/​(m2 year); fictional criterion &lt;= 210</w:t>
            </w:r>
          </w:p>
        </w:tc>
        <w:tc>
          <w:tcPr>
            <w:tcW w:type="dxa" w:w="3484"/>
          </w:tcPr>
          <w:p>
            <w:r>
              <w:rPr>
                <w:sz w:val="17"/>
              </w:rPr>
            </w:r>
            <w:r>
              <w:rPr>
                <w:sz w:val="17"/>
              </w:rPr>
              <w:t>Arithmetic meets invented criterion; no solver/​calibration/​specialist acceptance</w:t>
            </w:r>
          </w:p>
        </w:tc>
      </w:tr>
      <w:tr>
        <w:trPr>
          <w:cantSplit/>
        </w:trPr>
        <w:tc>
          <w:tcPr>
            <w:tcW w:type="dxa" w:w="2231"/>
          </w:tcPr>
          <w:p>
            <w:r>
              <w:rPr>
                <w:sz w:val="17"/>
              </w:rPr>
            </w:r>
            <w:r>
              <w:rPr>
                <w:sz w:val="17"/>
              </w:rPr>
              <w:t>SYN-D81 /​ SYN-CR81-D</w:t>
            </w:r>
          </w:p>
        </w:tc>
        <w:tc>
          <w:tcPr>
            <w:tcW w:type="dxa" w:w="4751"/>
          </w:tcPr>
          <w:p>
            <w:r>
              <w:rPr>
                <w:sz w:val="17"/>
              </w:rPr>
            </w:r>
            <w:r>
              <w:rPr>
                <w:sz w:val="17"/>
              </w:rPr>
              <w:t>Instant sensor values 350, 400, 320, 300, 280, 450, 500, 310, 290, 600, 330, 200 lux; 9/​12 &gt;= 300 lux = 75%; fictional criterion &gt;= 70%</w:t>
            </w:r>
          </w:p>
        </w:tc>
        <w:tc>
          <w:tcPr>
            <w:tcW w:type="dxa" w:w="3484"/>
          </w:tcPr>
          <w:p>
            <w:r>
              <w:rPr>
                <w:sz w:val="17"/>
              </w:rPr>
            </w:r>
            <w:r>
              <w:rPr>
                <w:sz w:val="17"/>
              </w:rPr>
              <w:t>Instantaneous test only; not climate daylight autonomy/​rating</w:t>
            </w:r>
          </w:p>
        </w:tc>
      </w:tr>
      <w:tr>
        <w:trPr>
          <w:cantSplit/>
        </w:trPr>
        <w:tc>
          <w:tcPr>
            <w:tcW w:type="dxa" w:w="2231"/>
          </w:tcPr>
          <w:p>
            <w:r>
              <w:rPr>
                <w:sz w:val="17"/>
              </w:rPr>
            </w:r>
            <w:r>
              <w:rPr>
                <w:sz w:val="17"/>
              </w:rPr>
              <w:t>SYN-C81 /​ SYN-CR81-C</w:t>
            </w:r>
          </w:p>
        </w:tc>
        <w:tc>
          <w:tcPr>
            <w:tcW w:type="dxa" w:w="4751"/>
          </w:tcPr>
          <w:p>
            <w:r>
              <w:rPr>
                <w:sz w:val="17"/>
              </w:rPr>
            </w:r>
            <w:r>
              <w:rPr>
                <w:sz w:val="17"/>
              </w:rPr>
              <w:t>2 m3 x 1000 kg/​m3 x 0.2 kgCO2e/​kg = 400 kgCO2e; fictional A1-A3 limit 450</w:t>
            </w:r>
          </w:p>
        </w:tc>
        <w:tc>
          <w:tcPr>
            <w:tcW w:type="dxa" w:w="3484"/>
          </w:tcPr>
          <w:p>
            <w:r>
              <w:rPr>
                <w:sz w:val="17"/>
              </w:rPr>
            </w:r>
            <w:r>
              <w:rPr>
                <w:sz w:val="17"/>
              </w:rPr>
              <w:t>Not whole-life carbon; other stages/​quantities unassessed</w:t>
            </w:r>
          </w:p>
        </w:tc>
      </w:tr>
    </w:tbl>
    <w:p/>
    <w:p>
      <w:pPr/>
      <w:r>
        <w:t>Keep energy denominator/area method, delivered versus primary energy, period and end-use boundary explicit. Comparable baseline/proposed options need same boundary, weather/occupancy/method/area conventions except approved declared differences. Carbon records require quantity/material/source revision, declared unit/EPD or generic dataset source/validity/geography, PCR/system boundary, lifecycle stages, service life, replacements/end-of-life, biogenic/module-D and uncertainty treatment as applicable. Do not add avoided emissions or module-D values into A1-A3 without the adopted method's separate treatment. A factor-only product comparison is not an equivalent whole-building assessment.</w:t>
      </w:r>
    </w:p>
    <w:p>
      <w:pPr/>
      <w:r>
        <w:t>Fixture sensitivity changes only carbon factor 0.2 to 0.24: 400 to 480 kgCO2e, +80, +20%, exceeding fictional 450 by 30; the decision flips. Missing carbon factor is Hold, not zero impact. A real competent reviewer checks source fitness, method, all mandatory stages/credits, uncertainty and exclusions before accepting any claim. Schemas and attractive graphics cannot establish regulatory/rating compliance. Keep measured operation distinct from design prediction and separately link commissioning/operational evidence when available.</w:t>
      </w:r>
    </w:p>
    <w:p>
      <w:pPr>
        <w:pStyle w:val="Heading1"/>
      </w:pPr>
      <w:r>
        <w:t>6 Templates, validation cases and release</w:t>
      </w:r>
    </w:p>
    <w:p>
      <w:pPr/>
      <w:r>
        <w:t xml:space="preserve">Workbook forms: Brief, Geometry, Datasets, Mapping, Results, Result lineage, Validation, Review, Acceptance with paired empty tabs. Expected arithmetic is manually maintained training data; recompute after edits. No executable analysis or live performance result is delivered. Production record fields include exact input/output hashes, run log/warnings, criterion revisions, full tool/profile builds, operator/date, independent specialist reviewer, scope/limitations and separate submission/receiving decisions. Apply Manual 9.4 sensitivity and </w:t>
      </w:r>
      <w:r>
        <w:rPr>
          <w:color w:val="9A7B45"/>
          <w:u w:val="single"/>
        </w:rPr>
        <w:t>BBM-STD-76</w:t>
      </w:r>
      <w:r>
        <w:t xml:space="preserve"> custody for geometry and occupancy data.</w:t>
      </w:r>
    </w:p>
    <w:p>
      <w:pPr/>
      <w:r>
        <w:t>Reset adverse cases independently: T81-01 omit WIN81-B: count 1/2, opening 4/6, opaque 86/84; Fail, restore 2 m2. T81-02 use floor 500 m2 for the unchanged annual 10000 kWh: EUI 20 rather than 200; Fail denominator/source check, restore 50. T81-03 blank factor: Hold, no carbon total; restore documented 0.2 fixture. T81-04 use output R00 against R01 source: Hold, rerun/rejoin current baseline. T81-05 label 9/12 instant lux checks as annual daylight autonomy: Fail metric interpretation, restore instantaneous caption. T81-06 assert 400 kg A1-A3 as whole-life result: Fail boundary claim, restore limited scope or perform the actual full adopted assessment. T81-07 change unit metres to millimetres without transform: Fail, restore qualified conversion and dimensions. Positive/retested values are expected specifications; actual host, solver, return and receiving tests remain Not executed.</w:t>
      </w:r>
    </w:p>
    <w:p>
      <w:pPr/>
      <w:r>
        <w:t>Author checks; independent competent specialist reviews; authorised delivery role submits; appointed recipient accepts/rejects/holds the exact result for its intended decision. Retain failed and corrected runs, uncertainty and unresolved issues; do not average away a mandatory assumption/criterion failure. Office adoption, actual datasets/builds/native fixtures, real calculation validation, specialist acceptance and authority/rating decisions are explicit activation holds. No model-derived performance claim is permitted without reproducible calculation and competent acceptance.</w:t>
      </w:r>
    </w:p>
    <w:p>
      <w:pPr>
        <w:pStyle w:val="Heading1"/>
      </w:pPr>
      <w:r>
        <w:t>References</w:t>
      </w:r>
    </w:p>
    <w:p>
      <w:pPr>
        <w:pStyle w:val="ListParagraph"/>
        <w:spacing w:after="40"/>
        <w:ind w:left="360" w:hanging="240"/>
      </w:pPr>
      <w:r>
        <w:t xml:space="preserve">•  </w:t>
      </w:r>
      <w:r>
        <w:t>Matrix SG-091, plan 34; office Glossary 6.3/6.5, OIR 3.3, BoD B5, linked requirements/coordinate/dictionary/exchange/material owners.</w:t>
      </w:r>
    </w:p>
    <w:p>
      <w:pPr>
        <w:pStyle w:val="ListParagraph"/>
        <w:spacing w:after="40"/>
        <w:ind w:left="360" w:hanging="240"/>
      </w:pPr>
      <w:r>
        <w:t xml:space="preserve">•  </w:t>
      </w:r>
      <w:hyperlink r:id="rId15">
        <w:r>
          <w:rPr>
            <w:color w:val="9A7B45"/>
            <w:u w:val="single"/>
          </w:rPr>
          <w:t>gbXML current schema</w:t>
        </w:r>
      </w:hyperlink>
      <w:r>
        <w:t xml:space="preserve"> and </w:t>
      </w:r>
      <w:hyperlink r:id="rId16">
        <w:r>
          <w:rPr>
            <w:color w:val="9A7B45"/>
            <w:u w:val="single"/>
          </w:rPr>
          <w:t>DOE EnergyPlus input/output reference</w:t>
        </w:r>
      </w:hyperlink>
      <w:r>
        <w:t xml:space="preserve"> compared for exchange and calculation provenance; availability is not project qualification. No solver result fabricated.</w:t>
      </w:r>
    </w:p>
    <w:p>
      <w:pPr>
        <w:pStyle w:val="ListParagraph"/>
        <w:spacing w:after="40"/>
        <w:ind w:left="360" w:hanging="240"/>
      </w:pPr>
      <w:r>
        <w:t xml:space="preserve">•  </w:t>
      </w:r>
      <w:hyperlink r:id="rId17">
        <w:r>
          <w:rPr>
            <w:color w:val="9A7B45"/>
            <w:u w:val="single"/>
          </w:rPr>
          <w:t>RICS Whole life carbon assessment for the built environment, 2nd edition, effective 1 July 2024</w:t>
        </w:r>
      </w:hyperlink>
      <w:r>
        <w:t xml:space="preserve">, checked 2026-11-04; </w:t>
      </w:r>
      <w:hyperlink r:id="rId18">
        <w:r>
          <w:rPr>
            <w:color w:val="9A7B45"/>
            <w:u w:val="single"/>
          </w:rPr>
          <w:t>ISO 22057:2022</w:t>
        </w:r>
      </w:hyperlink>
      <w:r>
        <w:t xml:space="preserve"> (under revision); EN 15804:2012+A2:2019 and EN 15978 via the adopting national body (CEN; editions recorded at adoption). Adopt exact current appointment method, not the limited arithmetic fixture as compliant WLCA. </w:t>
      </w:r>
      <w:hyperlink r:id="rId19">
        <w:r>
          <w:rPr>
            <w:color w:val="9A7B45"/>
            <w:u w:val="single"/>
          </w:rPr>
          <w:t>NIBS v4 BEP</w:t>
        </w:r>
      </w:hyperlink>
      <w:r>
        <w:t xml:space="preserve"> and </w:t>
      </w:r>
      <w:hyperlink r:id="rId20">
        <w:r>
          <w:rPr>
            <w:color w:val="9A7B45"/>
            <w:u w:val="single"/>
          </w:rPr>
          <w:t>BCA Guide v2, historic benchmark (2013)</w:t>
        </w:r>
      </w:hyperlink>
      <w:r>
        <w:t xml:space="preserve"> inform analysis-use planning.</w:t>
      </w:r>
    </w:p>
    <w:p>
      <w:pPr>
        <w:pStyle w:val="ListParagraph"/>
        <w:spacing w:after="40"/>
        <w:ind w:left="360" w:hanging="240"/>
      </w:pPr>
      <w:r>
        <w:t xml:space="preserve">•  </w:t>
      </w:r>
      <w:hyperlink r:id="rId21">
        <w:r>
          <w:rPr>
            <w:color w:val="9A7B45"/>
            <w:u w:val="single"/>
          </w:rPr>
          <w:t>ISO 19650-2</w:t>
        </w:r>
      </w:hyperlink>
      <w:r>
        <w:t xml:space="preserve"> clauses 5.6/5.7 and </w:t>
      </w:r>
      <w:hyperlink r:id="rId22">
        <w:r>
          <w:rPr>
            <w:color w:val="9A7B45"/>
            <w:u w:val="single"/>
          </w:rPr>
          <w:t>IMI Framework (formerly UK BIM Framework, renamed May 2025) archived Guidance Part A ed2</w:t>
        </w:r>
      </w:hyperlink>
      <w:r>
        <w:t xml:space="preserve"> are production/delivery reading pointers; verify licensed clauses for conformity. </w:t>
      </w:r>
      <w:hyperlink r:id="rId23">
        <w:r>
          <w:rPr>
            <w:color w:val="9A7B45"/>
            <w:u w:val="single"/>
          </w:rPr>
          <w:t>ISO 19650-1</w:t>
        </w:r>
      </w:hyperlink>
      <w:r>
        <w:t xml:space="preserve">, </w:t>
      </w:r>
      <w:hyperlink r:id="rId24">
        <w:r>
          <w:rPr>
            <w:color w:val="9A7B45"/>
            <w:u w:val="single"/>
          </w:rPr>
          <w:t>-3</w:t>
        </w:r>
      </w:hyperlink>
      <w:r>
        <w:t xml:space="preserve">, </w:t>
      </w:r>
      <w:hyperlink r:id="rId25">
        <w:r>
          <w:rPr>
            <w:color w:val="9A7B45"/>
            <w:u w:val="single"/>
          </w:rPr>
          <w:t>-5</w:t>
        </w:r>
      </w:hyperlink>
      <w:r>
        <w:t xml:space="preserve">, </w:t>
      </w:r>
      <w:hyperlink r:id="rId26">
        <w:r>
          <w:rPr>
            <w:color w:val="9A7B45"/>
            <w:u w:val="single"/>
          </w:rPr>
          <w:t>ISO 7817-1</w:t>
        </w:r>
      </w:hyperlink>
      <w:r>
        <w:t xml:space="preserve"> support lifecycle/security/current LOIN context; BS EN 17412-1:2020 is legacy predecessor where appointed.</w:t>
      </w:r>
    </w:p>
    <w:p>
      <w:pPr>
        <w:pStyle w:val="ListParagraph"/>
        <w:spacing w:after="40"/>
        <w:ind w:left="360" w:hanging="240"/>
      </w:pPr>
      <w:r>
        <w:t xml:space="preserve">•  </w:t>
      </w:r>
      <w:hyperlink r:id="rId27">
        <w:r>
          <w:rPr>
            <w:color w:val="9A7B45"/>
            <w:u w:val="single"/>
          </w:rPr>
          <w:t>DM Al Sa'fat (2nd edition, January 2023)</w:t>
        </w:r>
      </w:hyperlink>
      <w:r>
        <w:t xml:space="preserve">, </w:t>
      </w:r>
      <w:hyperlink r:id="rId28">
        <w:r>
          <w:rPr>
            <w:color w:val="9A7B45"/>
            <w:u w:val="single"/>
          </w:rPr>
          <w:t>DMT Estidama Pearl minimums, 8 Jan 2025</w:t>
        </w:r>
      </w:hyperlink>
      <w:r>
        <w:t xml:space="preserve">, checked 2026-11-04; </w:t>
      </w:r>
      <w:hyperlink r:id="rId29">
        <w:r>
          <w:rPr>
            <w:color w:val="9A7B45"/>
            <w:u w:val="single"/>
          </w:rPr>
          <w:t>DDA design service</w:t>
        </w:r>
      </w:hyperlink>
      <w:r>
        <w:t>: confirm current applicability/edition/criteria via BBM-STD-57. Primary research 16 October 2026; no paid paragraphs, regulatory limits or legal advice reproduced.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BBM-STD-81-ANALYSIS_AND_SUSTAINABILITY-V0.2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6f57b4e72f80118816ff4385350a98" TargetMode="External"/><Relationship Id="rId14" Type="http://schemas.openxmlformats.org/officeDocument/2006/relationships/hyperlink" Target="https://github.com/Fargaly/baboom-bim-standard/blob/main/04-DOCUMENTS/BBM-STD-81-ANALYSIS_AND_SUSTAINABILITY-V0.2.docx" TargetMode="External"/><Relationship Id="rId15" Type="http://schemas.openxmlformats.org/officeDocument/2006/relationships/hyperlink" Target="https://www.gbxml.org/Schema_Current_GreenBuildingXML_gbXML" TargetMode="External"/><Relationship Id="rId16" Type="http://schemas.openxmlformats.org/officeDocument/2006/relationships/hyperlink" Target="https://energyplus.readthedocs.io/en/latest/guides/input-output-reference/index.html" TargetMode="External"/><Relationship Id="rId17" Type="http://schemas.openxmlformats.org/officeDocument/2006/relationships/hyperlink" Target="https://www.rics.org/profession-standards/rics-standards-and-guidance/sector-standards/construction-standards/whole-life-carbon-assessment" TargetMode="External"/><Relationship Id="rId18" Type="http://schemas.openxmlformats.org/officeDocument/2006/relationships/hyperlink" Target="https://committee.iso.org/standard/72463.html" TargetMode="External"/><Relationship Id="rId19" Type="http://schemas.openxmlformats.org/officeDocument/2006/relationships/hyperlink" Target="https://nibs.org/nbims/v4/bep/" TargetMode="External"/><Relationship Id="rId20" Type="http://schemas.openxmlformats.org/officeDocument/2006/relationships/hyperlink" Target="https://info.corenet.gov.sg/docs/default-source/bim-guides/singapore/singapore-bim-guide_v2.pdf" TargetMode="External"/><Relationship Id="rId21" Type="http://schemas.openxmlformats.org/officeDocument/2006/relationships/hyperlink" Target="https://www.iso.org/standard/68080.html" TargetMode="External"/><Relationship Id="rId22" Type="http://schemas.openxmlformats.org/officeDocument/2006/relationships/hyperlink" Target="https://www.ukbimframework.org/wp-content/uploads/2021/02/Guidance-Part-A_The-information-management-function-and-resources_Edition-2.pdf" TargetMode="External"/><Relationship Id="rId23" Type="http://schemas.openxmlformats.org/officeDocument/2006/relationships/hyperlink" Target="https://www.iso.org/standard/68078.html" TargetMode="External"/><Relationship Id="rId24" Type="http://schemas.openxmlformats.org/officeDocument/2006/relationships/hyperlink" Target="https://www.iso.org/standard/75109.html" TargetMode="External"/><Relationship Id="rId25" Type="http://schemas.openxmlformats.org/officeDocument/2006/relationships/hyperlink" Target="https://www.iso.org/standard/74206.html" TargetMode="External"/><Relationship Id="rId26" Type="http://schemas.openxmlformats.org/officeDocument/2006/relationships/hyperlink" Target="https://www.iso.org/standard/82914.html" TargetMode="External"/><Relationship Id="rId27" Type="http://schemas.openxmlformats.org/officeDocument/2006/relationships/hyperlink" Target="https://www.dm.gov.ae/municipality-business/al-safat-dubai-green-building-system/" TargetMode="External"/><Relationship Id="rId28" Type="http://schemas.openxmlformats.org/officeDocument/2006/relationships/hyperlink" Target="https://www.dmt.gov.ae/en/adm/Media-Centre/News/08Jan2025" TargetMode="External"/><Relationship Id="rId29" Type="http://schemas.openxmlformats.org/officeDocument/2006/relationships/hyperlink" Target="https://dda.gov.ae/en/planning-development/design/final-design-approv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