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training competence and assessment</w:t>
      </w:r>
    </w:p>
    <w:p>
      <w:pPr/>
      <w:r>
        <w:t xml:space="preserve">Linked copies: ID STD-82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BBM-STD-82-TRAINING_AND_ASSESSMENT-V0.2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5"/>
        <w:gridCol w:w="1515"/>
        <w:gridCol w:w="8136"/>
      </w:tblGrid>
      <w:tr>
        <w:trPr>
          <w:cantSplit/>
          <w:tblHeader/>
        </w:trPr>
        <w:tc>
          <w:tcPr>
            <w:tcW w:type="dxa" w:w="815"/>
            <w:shd w:val="clear" w:color="auto" w:fill="111113"/>
          </w:tcPr>
          <w:p>
            <w:r>
              <w:rPr>
                <w:b/>
                <w:color w:val="FFFFFF"/>
                <w:sz w:val="17"/>
              </w:rPr>
            </w:r>
            <w:r>
              <w:rPr>
                <w:b/>
                <w:color w:val="FFFFFF"/>
                <w:sz w:val="17"/>
              </w:rPr>
              <w:t>Version</w:t>
            </w:r>
          </w:p>
        </w:tc>
        <w:tc>
          <w:tcPr>
            <w:tcW w:type="dxa" w:w="1515"/>
            <w:shd w:val="clear" w:color="auto" w:fill="111113"/>
          </w:tcPr>
          <w:p>
            <w:r>
              <w:rPr>
                <w:b/>
                <w:color w:val="FFFFFF"/>
                <w:sz w:val="17"/>
              </w:rPr>
            </w:r>
            <w:r>
              <w:rPr>
                <w:b/>
                <w:color w:val="FFFFFF"/>
                <w:sz w:val="17"/>
              </w:rPr>
              <w:t>Date</w:t>
            </w:r>
          </w:p>
        </w:tc>
        <w:tc>
          <w:tcPr>
            <w:tcW w:type="dxa" w:w="8136"/>
            <w:shd w:val="clear" w:color="auto" w:fill="111113"/>
          </w:tcPr>
          <w:p>
            <w:r>
              <w:rPr>
                <w:b/>
                <w:color w:val="FFFFFF"/>
                <w:sz w:val="17"/>
              </w:rPr>
            </w:r>
            <w:r>
              <w:rPr>
                <w:b/>
                <w:color w:val="FFFFFF"/>
                <w:sz w:val="17"/>
              </w:rPr>
              <w:t>Change</w:t>
            </w:r>
          </w:p>
        </w:tc>
      </w:tr>
      <w:tr>
        <w:trPr>
          <w:cantSplit/>
        </w:trPr>
        <w:tc>
          <w:tcPr>
            <w:tcW w:type="dxa" w:w="815"/>
          </w:tcPr>
          <w:p>
            <w:r>
              <w:rPr>
                <w:sz w:val="17"/>
              </w:rPr>
            </w:r>
            <w:r>
              <w:rPr>
                <w:sz w:val="17"/>
              </w:rPr>
              <w:t>V0.1</w:t>
            </w:r>
          </w:p>
        </w:tc>
        <w:tc>
          <w:tcPr>
            <w:tcW w:type="dxa" w:w="1515"/>
          </w:tcPr>
          <w:p>
            <w:r>
              <w:rPr>
                <w:sz w:val="17"/>
              </w:rPr>
            </w:r>
            <w:r>
              <w:rPr>
                <w:sz w:val="17"/>
              </w:rPr>
              <w:t>16 October 2026</w:t>
            </w:r>
          </w:p>
        </w:tc>
        <w:tc>
          <w:tcPr>
            <w:tcW w:type="dxa" w:w="8136"/>
          </w:tcPr>
          <w:p>
            <w:r>
              <w:rPr>
                <w:sz w:val="17"/>
              </w:rPr>
            </w:r>
            <w:r>
              <w:rPr>
                <w:sz w:val="17"/>
              </w:rPr>
              <w:t>First controlled draft.</w:t>
            </w:r>
          </w:p>
        </w:tc>
      </w:tr>
      <w:tr>
        <w:trPr/>
        <w:tc>
          <w:tcPr>
            <w:tcW w:type="dxa" w:w="815"/>
          </w:tcPr>
          <w:p>
            <w:r>
              <w:rPr>
                <w:sz w:val="17"/>
              </w:rPr>
            </w:r>
            <w:r>
              <w:rPr>
                <w:sz w:val="17"/>
              </w:rPr>
              <w:t>V0.2</w:t>
            </w:r>
          </w:p>
        </w:tc>
        <w:tc>
          <w:tcPr>
            <w:tcW w:type="dxa" w:w="1515"/>
          </w:tcPr>
          <w:p>
            <w:r>
              <w:rPr>
                <w:sz w:val="17"/>
              </w:rPr>
            </w:r>
            <w:r>
              <w:rPr>
                <w:sz w:val="17"/>
              </w:rPr>
              <w:t>4 November 2026</w:t>
            </w:r>
          </w:p>
        </w:tc>
        <w:tc>
          <w:tcPr>
            <w:tcW w:type="dxa" w:w="8136"/>
          </w:tcPr>
          <w:p>
            <w:r>
              <w:rPr>
                <w:sz w:val="17"/>
              </w:rPr>
            </w:r>
            <w:r>
              <w:rPr>
                <w:sz w:val="17"/>
              </w:rPr>
              <w:t xml:space="preserve">Audit res-026 closure: G281 guide-to-Manual V0.4/​BEP V0.5 mapping (W1-C01) made an enrolment gate and summative assessments blocked until it is published; G282 PDPL lawful-basis/​consent/​retention fields on the Learner record via </w:t>
            </w:r>
            <w:r>
              <w:rPr>
                <w:color w:val="9A7B45"/>
                <w:sz w:val="17"/>
                <w:u w:val="single"/>
              </w:rPr>
              <w:t>BBM-STD-90</w:t>
            </w:r>
            <w:r>
              <w:rPr>
                <w:sz w:val="17"/>
              </w:rPr>
              <w:t>; G283 UAE authority-submission capstone (Dubai BIM permit, Abu Dhabi route); 06-ASSESSMENTS spelling and share state updated; IMI Framework naming; links to Manual V0.4/​BEP V0.5/​Directory V0.3; spacing fixed. + cross-doc pointer pass. + folder names without dots (O-DEC-149)</w:t>
            </w:r>
          </w:p>
        </w:tc>
      </w:tr>
    </w:tbl>
    <w:p/>
    <w:p>
      <w:pPr>
        <w:pStyle w:val="Heading1"/>
      </w:pPr>
      <w:r>
        <w:t>1 Purpose roles and proficiency</w:t>
      </w:r>
    </w:p>
    <w:p>
      <w:pPr/>
      <w:r>
        <w:t xml:space="preserve">Provide a controlled route from assigned office tasks to demonstrated competence and scoped authorisation. This pack covers SG-092/093 and extends </w:t>
      </w:r>
      <w:r>
        <w:rPr>
          <w:color w:val="9A7B45"/>
          <w:u w:val="single"/>
        </w:rPr>
        <w:t>Directory 6</w:t>
      </w:r>
      <w:r>
        <w:t xml:space="preserve">, </w:t>
      </w:r>
      <w:r>
        <w:rPr>
          <w:color w:val="9A7B45"/>
          <w:u w:val="single"/>
        </w:rPr>
        <w:t>BEP V0.5 training 3.4</w:t>
      </w:r>
      <w:r>
        <w:t xml:space="preserve">, </w:t>
      </w:r>
      <w:r>
        <w:rPr>
          <w:color w:val="9A7B45"/>
          <w:u w:val="single"/>
        </w:rPr>
        <w:t>Manual V0.5 nine phases 1.5</w:t>
      </w:r>
      <w:r>
        <w:t xml:space="preserve">, </w:t>
      </w:r>
      <w:r>
        <w:rPr>
          <w:color w:val="9A7B45"/>
          <w:u w:val="single"/>
        </w:rPr>
        <w:t>register</w:t>
      </w:r>
      <w:r>
        <w:t xml:space="preserve">, </w:t>
      </w:r>
      <w:r>
        <w:rPr>
          <w:color w:val="9A7B45"/>
          <w:u w:val="single"/>
        </w:rPr>
        <w:t>roles</w:t>
      </w:r>
      <w:r>
        <w:t xml:space="preserve">, </w:t>
      </w:r>
      <w:r>
        <w:rPr>
          <w:color w:val="9A7B45"/>
          <w:u w:val="single"/>
        </w:rPr>
        <w:t>templates</w:t>
      </w:r>
      <w:r>
        <w:t xml:space="preserve">, </w:t>
      </w:r>
      <w:r>
        <w:rPr>
          <w:color w:val="9A7B45"/>
          <w:u w:val="single"/>
        </w:rPr>
        <w:t>CAD</w:t>
      </w:r>
      <w:r>
        <w:t xml:space="preserve"> and </w:t>
      </w:r>
      <w:r>
        <w:rPr>
          <w:color w:val="9A7B45"/>
          <w:u w:val="single"/>
        </w:rPr>
        <w:t>quality</w:t>
      </w:r>
      <w:r>
        <w:t xml:space="preserve">. Use the </w:t>
      </w:r>
      <w:r>
        <w:rPr>
          <w:color w:val="9A7B45"/>
          <w:u w:val="single"/>
        </w:rPr>
        <w:t>editable curriculum and competence pack</w:t>
      </w:r>
      <w:r>
        <w:t xml:space="preserve">. Seventeen matching assessment DOCX and assessor KEY.xlsx files were staged locally in office-rev/assessments; on 2026-11-04 the share was observed (read-only) to hold the seventeen DOCX in </w:t>
      </w:r>
      <w:r>
        <w:rPr>
          <w:rFonts w:ascii="JetBrains Mono" w:hAnsi="JetBrains Mono"/>
        </w:rPr>
        <w:t>BABOOM-BIM-STANDARD/06-ASSESSMENTS</w:t>
      </w:r>
      <w:r>
        <w:t xml:space="preserve"> and the seventeen keys in </w:t>
      </w:r>
      <w:r>
        <w:rPr>
          <w:rFonts w:ascii="JetBrains Mono" w:hAnsi="JetBrains Mono"/>
        </w:rPr>
        <w:t>06-ASSESSMENTS/01-ANSWER-KEYS</w:t>
      </w:r>
      <w:r>
        <w:t>. The key folder must be restricted to assessors before any summative use; no share write is authorised here.</w:t>
      </w:r>
    </w:p>
    <w:p>
      <w:pPr/>
      <w:r>
        <w:t>The training lead owns the curriculum/resource baseline; task-team leads allocate actual capacity and supervised work; competent assessors independent of the learner mark evidence; a moderator resolves inconsistent marking; the actual project role authoriser grants limited task scope. A trainer or reviewer title is not evidence of competence. Record role/deputy, qualifying evidence, scope, conflicts and capacity under BBM-STD-55 before assessment. External credentials support an evidence record but do not establish office-task competence or appointment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45"/>
        <w:gridCol w:w="5212"/>
        <w:gridCol w:w="3609"/>
      </w:tblGrid>
      <w:tr>
        <w:trPr>
          <w:cantSplit/>
          <w:tblHeader/>
        </w:trPr>
        <w:tc>
          <w:tcPr>
            <w:tcW w:type="dxa" w:w="1645"/>
            <w:shd w:val="clear" w:color="auto" w:fill="111113"/>
          </w:tcPr>
          <w:p>
            <w:r>
              <w:rPr>
                <w:b/>
                <w:color w:val="FFFFFF"/>
                <w:sz w:val="17"/>
              </w:rPr>
            </w:r>
            <w:r>
              <w:rPr>
                <w:b/>
                <w:color w:val="FFFFFF"/>
                <w:sz w:val="17"/>
              </w:rPr>
              <w:t>Office proficiency</w:t>
            </w:r>
          </w:p>
        </w:tc>
        <w:tc>
          <w:tcPr>
            <w:tcW w:type="dxa" w:w="5212"/>
            <w:shd w:val="clear" w:color="auto" w:fill="111113"/>
          </w:tcPr>
          <w:p>
            <w:r>
              <w:rPr>
                <w:b/>
                <w:color w:val="FFFFFF"/>
                <w:sz w:val="17"/>
              </w:rPr>
            </w:r>
            <w:r>
              <w:rPr>
                <w:b/>
                <w:color w:val="FFFFFF"/>
                <w:sz w:val="17"/>
              </w:rPr>
              <w:t>Meaning and evidence</w:t>
            </w:r>
          </w:p>
        </w:tc>
        <w:tc>
          <w:tcPr>
            <w:tcW w:type="dxa" w:w="3609"/>
            <w:shd w:val="clear" w:color="auto" w:fill="111113"/>
          </w:tcPr>
          <w:p>
            <w:r>
              <w:rPr>
                <w:b/>
                <w:color w:val="FFFFFF"/>
                <w:sz w:val="17"/>
              </w:rPr>
            </w:r>
            <w:r>
              <w:rPr>
                <w:b/>
                <w:color w:val="FFFFFF"/>
                <w:sz w:val="17"/>
              </w:rPr>
              <w:t>Authorisation boundary</w:t>
            </w:r>
          </w:p>
        </w:tc>
      </w:tr>
      <w:tr>
        <w:trPr>
          <w:cantSplit/>
        </w:trPr>
        <w:tc>
          <w:tcPr>
            <w:tcW w:type="dxa" w:w="1645"/>
          </w:tcPr>
          <w:p>
            <w:r>
              <w:rPr>
                <w:sz w:val="17"/>
              </w:rPr>
            </w:r>
            <w:r>
              <w:rPr>
                <w:sz w:val="17"/>
              </w:rPr>
              <w:t>L0 Awareness</w:t>
            </w:r>
          </w:p>
        </w:tc>
        <w:tc>
          <w:tcPr>
            <w:tcW w:type="dxa" w:w="5212"/>
          </w:tcPr>
          <w:p>
            <w:r>
              <w:rPr>
                <w:sz w:val="17"/>
              </w:rPr>
            </w:r>
            <w:r>
              <w:rPr>
                <w:sz w:val="17"/>
              </w:rPr>
              <w:t>Explain purpose, roles, privacy, naming and when to hold/​escalate</w:t>
            </w:r>
          </w:p>
        </w:tc>
        <w:tc>
          <w:tcPr>
            <w:tcW w:type="dxa" w:w="3609"/>
          </w:tcPr>
          <w:p>
            <w:r>
              <w:rPr>
                <w:sz w:val="17"/>
              </w:rPr>
            </w:r>
            <w:r>
              <w:rPr>
                <w:sz w:val="17"/>
              </w:rPr>
              <w:t>No independent production authority</w:t>
            </w:r>
          </w:p>
        </w:tc>
      </w:tr>
      <w:tr>
        <w:trPr>
          <w:cantSplit/>
        </w:trPr>
        <w:tc>
          <w:tcPr>
            <w:tcW w:type="dxa" w:w="1645"/>
          </w:tcPr>
          <w:p>
            <w:r>
              <w:rPr>
                <w:sz w:val="17"/>
              </w:rPr>
            </w:r>
            <w:r>
              <w:rPr>
                <w:sz w:val="17"/>
              </w:rPr>
              <w:t>L1 Supervised performance</w:t>
            </w:r>
          </w:p>
        </w:tc>
        <w:tc>
          <w:tcPr>
            <w:tcW w:type="dxa" w:w="5212"/>
          </w:tcPr>
          <w:p>
            <w:r>
              <w:rPr>
                <w:sz w:val="17"/>
              </w:rPr>
            </w:r>
            <w:r>
              <w:rPr>
                <w:sz w:val="17"/>
              </w:rPr>
              <w:t>Complete controlled tasks under a named competent supervisor with observed corrections</w:t>
            </w:r>
          </w:p>
        </w:tc>
        <w:tc>
          <w:tcPr>
            <w:tcW w:type="dxa" w:w="3609"/>
          </w:tcPr>
          <w:p>
            <w:r>
              <w:rPr>
                <w:sz w:val="17"/>
              </w:rPr>
            </w:r>
            <w:r>
              <w:rPr>
                <w:sz w:val="17"/>
              </w:rPr>
              <w:t>Only the recorded supervised scope</w:t>
            </w:r>
          </w:p>
        </w:tc>
      </w:tr>
      <w:tr>
        <w:trPr>
          <w:cantSplit/>
        </w:trPr>
        <w:tc>
          <w:tcPr>
            <w:tcW w:type="dxa" w:w="1645"/>
          </w:tcPr>
          <w:p>
            <w:r>
              <w:rPr>
                <w:sz w:val="17"/>
              </w:rPr>
            </w:r>
            <w:r>
              <w:rPr>
                <w:sz w:val="17"/>
              </w:rPr>
              <w:t>L2 Task competence</w:t>
            </w:r>
          </w:p>
        </w:tc>
        <w:tc>
          <w:tcPr>
            <w:tcW w:type="dxa" w:w="5212"/>
          </w:tcPr>
          <w:p>
            <w:r>
              <w:rPr>
                <w:sz w:val="17"/>
              </w:rPr>
            </w:r>
            <w:r>
              <w:rPr>
                <w:sz w:val="17"/>
              </w:rPr>
              <w:t>Independently produce/​reconcile required artifacts and correct adverse cases on approved builds</w:t>
            </w:r>
          </w:p>
        </w:tc>
        <w:tc>
          <w:tcPr>
            <w:tcW w:type="dxa" w:w="3609"/>
          </w:tcPr>
          <w:p>
            <w:r>
              <w:rPr>
                <w:sz w:val="17"/>
              </w:rPr>
            </w:r>
            <w:r>
              <w:rPr>
                <w:sz w:val="17"/>
              </w:rPr>
              <w:t>Actual authoriser may approve the assessed task/​build/​limits</w:t>
            </w:r>
          </w:p>
        </w:tc>
      </w:tr>
      <w:tr>
        <w:trPr>
          <w:cantSplit/>
        </w:trPr>
        <w:tc>
          <w:tcPr>
            <w:tcW w:type="dxa" w:w="1645"/>
          </w:tcPr>
          <w:p>
            <w:r>
              <w:rPr>
                <w:sz w:val="17"/>
              </w:rPr>
            </w:r>
            <w:r>
              <w:rPr>
                <w:sz w:val="17"/>
              </w:rPr>
              <w:t>L3 Review and coaching</w:t>
            </w:r>
          </w:p>
        </w:tc>
        <w:tc>
          <w:tcPr>
            <w:tcW w:type="dxa" w:w="5212"/>
          </w:tcPr>
          <w:p>
            <w:r>
              <w:rPr>
                <w:sz w:val="17"/>
              </w:rPr>
            </w:r>
            <w:r>
              <w:rPr>
                <w:sz w:val="17"/>
              </w:rPr>
              <w:t>L2 plus competent independent review and successful calibration/​moderation</w:t>
            </w:r>
          </w:p>
        </w:tc>
        <w:tc>
          <w:tcPr>
            <w:tcW w:type="dxa" w:w="3609"/>
          </w:tcPr>
          <w:p>
            <w:r>
              <w:rPr>
                <w:sz w:val="17"/>
              </w:rPr>
            </w:r>
            <w:r>
              <w:rPr>
                <w:sz w:val="17"/>
              </w:rPr>
              <w:t>Review only within recorded discipline/​task scope; no assumed regulatory powers</w:t>
            </w:r>
          </w:p>
        </w:tc>
      </w:tr>
    </w:tbl>
    <w:p/>
    <w:p>
      <w:pPr/>
      <w:r>
        <w:t>These are proposed office training levels, not ISO accreditation levels. ISO 19650-2:2018 clauses 5.3.2–5.3.3 and 5.5.1–5.5.2 are reading pointers for capability/capacity and mobilisation; ISO 19650-1:2018 clause 5 links work to information need; -3:2020 supplies operational context and -5:2020 security awareness. Verify licensed scope before conformity claims. IMI Framework (formerly UK BIM Framework, renamed May 2025) archived Guidance Part A edition 2 explains resource/function allocation. No paid-standard text is reproduced.</w:t>
      </w:r>
    </w:p>
    <w:p>
      <w:pPr>
        <w:pStyle w:val="Heading1"/>
      </w:pPr>
      <w:r>
        <w:t>2 Curriculum and nine-phase task mapping</w:t>
      </w:r>
    </w:p>
    <w:p>
      <w:pPr/>
      <w:r>
        <w:t>Use exactly the seventeen revised BBM-STD-21..37 guides in guides-v0.2 as the text baseline, pinning each filename, revision, bytes and SHA256. Record dependency reconciliation before adoption: guides retain historical Manual V0.1/BEP V0.2 citations; BBM-STD-51 W1-C01 requires an owner-reviewed mapping to the current adopted Manual V0.5/BEP V0.5, not silent rewriting. The training lead publishes that guide-to-Manual V0.5/BEP V0.5 mapping (one row per guide citation: old Manual/BEP section, current section, change note, reviewer) in the Resources form before enrolment opens; until it is published, guides may be used for supervised practice only and every summative assessment is blocked. Server recordings/models are read-only source resources; folder presence does not qualify rights, build, privacy or learning effectiveness.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31"/>
        <w:gridCol w:w="2688"/>
        <w:gridCol w:w="6547"/>
      </w:tblGrid>
      <w:tr>
        <w:trPr>
          <w:cantSplit/>
          <w:tblHeader/>
        </w:trPr>
        <w:tc>
          <w:tcPr>
            <w:tcW w:type="dxa" w:w="1231"/>
            <w:shd w:val="clear" w:color="auto" w:fill="111113"/>
          </w:tcPr>
          <w:p>
            <w:r>
              <w:rPr>
                <w:b/>
                <w:color w:val="FFFFFF"/>
                <w:sz w:val="17"/>
              </w:rPr>
            </w:r>
            <w:r>
              <w:rPr>
                <w:b/>
                <w:color w:val="FFFFFF"/>
                <w:sz w:val="17"/>
              </w:rPr>
              <w:t>Manual phase retained</w:t>
            </w:r>
          </w:p>
        </w:tc>
        <w:tc>
          <w:tcPr>
            <w:tcW w:type="dxa" w:w="2688"/>
            <w:shd w:val="clear" w:color="auto" w:fill="111113"/>
          </w:tcPr>
          <w:p>
            <w:r>
              <w:rPr>
                <w:b/>
                <w:color w:val="FFFFFF"/>
                <w:sz w:val="17"/>
              </w:rPr>
            </w:r>
            <w:r>
              <w:rPr>
                <w:b/>
                <w:color w:val="FFFFFF"/>
                <w:sz w:val="17"/>
              </w:rPr>
              <w:t>Guide/​module evidence</w:t>
            </w:r>
          </w:p>
        </w:tc>
        <w:tc>
          <w:tcPr>
            <w:tcW w:type="dxa" w:w="6547"/>
            <w:shd w:val="clear" w:color="auto" w:fill="111113"/>
          </w:tcPr>
          <w:p>
            <w:r>
              <w:rPr>
                <w:b/>
                <w:color w:val="FFFFFF"/>
                <w:sz w:val="17"/>
              </w:rPr>
            </w:r>
            <w:r>
              <w:rPr>
                <w:b/>
                <w:color w:val="FFFFFF"/>
                <w:sz w:val="17"/>
              </w:rPr>
              <w:t>Task/​role emphasis</w:t>
            </w:r>
          </w:p>
        </w:tc>
      </w:tr>
      <w:tr>
        <w:trPr>
          <w:cantSplit/>
        </w:trPr>
        <w:tc>
          <w:tcPr>
            <w:tcW w:type="dxa" w:w="1231"/>
          </w:tcPr>
          <w:p>
            <w:r>
              <w:rPr>
                <w:sz w:val="17"/>
              </w:rPr>
            </w:r>
            <w:r>
              <w:rPr>
                <w:sz w:val="17"/>
              </w:rPr>
              <w:t>Intro</w:t>
            </w:r>
          </w:p>
        </w:tc>
        <w:tc>
          <w:tcPr>
            <w:tcW w:type="dxa" w:w="2688"/>
          </w:tcPr>
          <w:p>
            <w:r>
              <w:rPr>
                <w:sz w:val="17"/>
              </w:rPr>
            </w:r>
            <w:r>
              <w:rPr>
                <w:sz w:val="17"/>
              </w:rPr>
              <w:t>21; induction/​requirements discussion</w:t>
            </w:r>
          </w:p>
        </w:tc>
        <w:tc>
          <w:tcPr>
            <w:tcW w:type="dxa" w:w="6547"/>
          </w:tcPr>
          <w:p>
            <w:r>
              <w:rPr>
                <w:sz w:val="17"/>
              </w:rPr>
            </w:r>
            <w:r>
              <w:rPr>
                <w:sz w:val="17"/>
              </w:rPr>
              <w:t>All staff and appointed participants: purpose, roles, privacy and escalation</w:t>
            </w:r>
          </w:p>
        </w:tc>
      </w:tr>
      <w:tr>
        <w:trPr>
          <w:cantSplit/>
        </w:trPr>
        <w:tc>
          <w:tcPr>
            <w:tcW w:type="dxa" w:w="1231"/>
          </w:tcPr>
          <w:p>
            <w:r>
              <w:rPr>
                <w:sz w:val="17"/>
              </w:rPr>
            </w:r>
            <w:r>
              <w:rPr>
                <w:sz w:val="17"/>
              </w:rPr>
              <w:t>Setup</w:t>
            </w:r>
          </w:p>
        </w:tc>
        <w:tc>
          <w:tcPr>
            <w:tcW w:type="dxa" w:w="2688"/>
          </w:tcPr>
          <w:p>
            <w:r>
              <w:rPr>
                <w:sz w:val="17"/>
              </w:rPr>
            </w:r>
            <w:r>
              <w:rPr>
                <w:sz w:val="17"/>
              </w:rPr>
              <w:t>21, 22, 25, 30</w:t>
            </w:r>
          </w:p>
        </w:tc>
        <w:tc>
          <w:tcPr>
            <w:tcW w:type="dxa" w:w="6547"/>
          </w:tcPr>
          <w:p>
            <w:r>
              <w:rPr>
                <w:sz w:val="17"/>
              </w:rPr>
            </w:r>
            <w:r>
              <w:rPr>
                <w:sz w:val="17"/>
              </w:rPr>
              <w:t>Author/​coordinator: baseline, worksharing, coordinate tests and mobilisation</w:t>
            </w:r>
          </w:p>
        </w:tc>
      </w:tr>
      <w:tr>
        <w:trPr>
          <w:cantSplit/>
        </w:trPr>
        <w:tc>
          <w:tcPr>
            <w:tcW w:type="dxa" w:w="1231"/>
          </w:tcPr>
          <w:p>
            <w:r>
              <w:rPr>
                <w:sz w:val="17"/>
              </w:rPr>
            </w:r>
            <w:r>
              <w:rPr>
                <w:sz w:val="17"/>
              </w:rPr>
              <w:t>Modeling</w:t>
            </w:r>
          </w:p>
        </w:tc>
        <w:tc>
          <w:tcPr>
            <w:tcW w:type="dxa" w:w="2688"/>
          </w:tcPr>
          <w:p>
            <w:r>
              <w:rPr>
                <w:sz w:val="17"/>
              </w:rPr>
            </w:r>
            <w:r>
              <w:rPr>
                <w:sz w:val="17"/>
              </w:rPr>
              <w:t>23, 24, 26, 27, 29, 34, 35, 37</w:t>
            </w:r>
          </w:p>
        </w:tc>
        <w:tc>
          <w:tcPr>
            <w:tcW w:type="dxa" w:w="6547"/>
          </w:tcPr>
          <w:p>
            <w:r>
              <w:rPr>
                <w:sz w:val="17"/>
              </w:rPr>
            </w:r>
            <w:r>
              <w:rPr>
                <w:sz w:val="17"/>
              </w:rPr>
              <w:t>Discipline/​content author: geometry, host/​constraints and controlled library</w:t>
            </w:r>
          </w:p>
        </w:tc>
      </w:tr>
      <w:tr>
        <w:trPr>
          <w:cantSplit/>
        </w:trPr>
        <w:tc>
          <w:tcPr>
            <w:tcW w:type="dxa" w:w="1231"/>
          </w:tcPr>
          <w:p>
            <w:r>
              <w:rPr>
                <w:sz w:val="17"/>
              </w:rPr>
            </w:r>
            <w:r>
              <w:rPr>
                <w:sz w:val="17"/>
              </w:rPr>
              <w:t>Delivery</w:t>
            </w:r>
          </w:p>
        </w:tc>
        <w:tc>
          <w:tcPr>
            <w:tcW w:type="dxa" w:w="2688"/>
          </w:tcPr>
          <w:p>
            <w:r>
              <w:rPr>
                <w:sz w:val="17"/>
              </w:rPr>
            </w:r>
            <w:r>
              <w:rPr>
                <w:sz w:val="17"/>
              </w:rPr>
              <w:t>28, 31, 36 plus issue capstone</w:t>
            </w:r>
          </w:p>
        </w:tc>
        <w:tc>
          <w:tcPr>
            <w:tcW w:type="dxa" w:w="6547"/>
          </w:tcPr>
          <w:p>
            <w:r>
              <w:rPr>
                <w:sz w:val="17"/>
              </w:rPr>
            </w:r>
            <w:r>
              <w:rPr>
                <w:sz w:val="17"/>
              </w:rPr>
              <w:t>Author/​document controller: checked sheets, data and receiving evidence</w:t>
            </w:r>
          </w:p>
        </w:tc>
      </w:tr>
      <w:tr>
        <w:trPr>
          <w:cantSplit/>
        </w:trPr>
        <w:tc>
          <w:tcPr>
            <w:tcW w:type="dxa" w:w="1231"/>
          </w:tcPr>
          <w:p>
            <w:r>
              <w:rPr>
                <w:sz w:val="17"/>
              </w:rPr>
            </w:r>
            <w:r>
              <w:rPr>
                <w:sz w:val="17"/>
              </w:rPr>
              <w:t>Information</w:t>
            </w:r>
          </w:p>
        </w:tc>
        <w:tc>
          <w:tcPr>
            <w:tcW w:type="dxa" w:w="2688"/>
          </w:tcPr>
          <w:p>
            <w:r>
              <w:rPr>
                <w:sz w:val="17"/>
              </w:rPr>
            </w:r>
            <w:r>
              <w:rPr>
                <w:sz w:val="17"/>
              </w:rPr>
              <w:t>26, 27, 31, 32, 36</w:t>
            </w:r>
          </w:p>
        </w:tc>
        <w:tc>
          <w:tcPr>
            <w:tcW w:type="dxa" w:w="6547"/>
          </w:tcPr>
          <w:p>
            <w:r>
              <w:rPr>
                <w:sz w:val="17"/>
              </w:rPr>
            </w:r>
            <w:r>
              <w:rPr>
                <w:sz w:val="17"/>
              </w:rPr>
              <w:t>Data owner: stable keys, dictionary, quantities and exception checks</w:t>
            </w:r>
          </w:p>
        </w:tc>
      </w:tr>
      <w:tr>
        <w:trPr>
          <w:cantSplit/>
        </w:trPr>
        <w:tc>
          <w:tcPr>
            <w:tcW w:type="dxa" w:w="1231"/>
          </w:tcPr>
          <w:p>
            <w:r>
              <w:rPr>
                <w:sz w:val="17"/>
              </w:rPr>
            </w:r>
            <w:r>
              <w:rPr>
                <w:sz w:val="17"/>
              </w:rPr>
              <w:t>Coordination</w:t>
            </w:r>
          </w:p>
        </w:tc>
        <w:tc>
          <w:tcPr>
            <w:tcW w:type="dxa" w:w="2688"/>
          </w:tcPr>
          <w:p>
            <w:r>
              <w:rPr>
                <w:sz w:val="17"/>
              </w:rPr>
            </w:r>
            <w:r>
              <w:rPr>
                <w:sz w:val="17"/>
              </w:rPr>
              <w:t>22, 24, 25, 30, 31</w:t>
            </w:r>
          </w:p>
        </w:tc>
        <w:tc>
          <w:tcPr>
            <w:tcW w:type="dxa" w:w="6547"/>
          </w:tcPr>
          <w:p>
            <w:r>
              <w:rPr>
                <w:sz w:val="17"/>
              </w:rPr>
            </w:r>
            <w:r>
              <w:rPr>
                <w:sz w:val="17"/>
              </w:rPr>
              <w:t>Coordinator/​designer: ownership, linked data, datum and discrepancy disposition</w:t>
            </w:r>
          </w:p>
        </w:tc>
      </w:tr>
      <w:tr>
        <w:trPr>
          <w:cantSplit/>
        </w:trPr>
        <w:tc>
          <w:tcPr>
            <w:tcW w:type="dxa" w:w="1231"/>
          </w:tcPr>
          <w:p>
            <w:r>
              <w:rPr>
                <w:sz w:val="17"/>
              </w:rPr>
            </w:r>
            <w:r>
              <w:rPr>
                <w:sz w:val="17"/>
              </w:rPr>
              <w:t>Discipline</w:t>
            </w:r>
          </w:p>
        </w:tc>
        <w:tc>
          <w:tcPr>
            <w:tcW w:type="dxa" w:w="2688"/>
          </w:tcPr>
          <w:p>
            <w:r>
              <w:rPr>
                <w:sz w:val="17"/>
              </w:rPr>
            </w:r>
            <w:r>
              <w:rPr>
                <w:sz w:val="17"/>
              </w:rPr>
              <w:t>23, 24, 29, 32, 33, 34, 35, 37</w:t>
            </w:r>
          </w:p>
        </w:tc>
        <w:tc>
          <w:tcPr>
            <w:tcW w:type="dxa" w:w="6547"/>
          </w:tcPr>
          <w:p>
            <w:r>
              <w:rPr>
                <w:sz w:val="17"/>
              </w:rPr>
            </w:r>
            <w:r>
              <w:rPr>
                <w:sz w:val="17"/>
              </w:rPr>
              <w:t>Competent discipline reviewer: fit-for-purpose design/​output checks</w:t>
            </w:r>
          </w:p>
        </w:tc>
      </w:tr>
      <w:tr>
        <w:trPr/>
        <w:tc>
          <w:tcPr>
            <w:tcW w:type="dxa" w:w="1231"/>
          </w:tcPr>
          <w:p>
            <w:r>
              <w:rPr>
                <w:sz w:val="17"/>
              </w:rPr>
            </w:r>
            <w:r>
              <w:rPr>
                <w:sz w:val="17"/>
              </w:rPr>
              <w:t>Authority</w:t>
            </w:r>
          </w:p>
        </w:tc>
        <w:tc>
          <w:tcPr>
            <w:tcW w:type="dxa" w:w="2688"/>
          </w:tcPr>
          <w:p>
            <w:r>
              <w:rPr>
                <w:sz w:val="17"/>
              </w:rPr>
            </w:r>
            <w:r>
              <w:rPr>
                <w:sz w:val="17"/>
              </w:rPr>
              <w:t>25, 28, 31 plus UAE authority-submission capstone</w:t>
            </w:r>
          </w:p>
        </w:tc>
        <w:tc>
          <w:tcPr>
            <w:tcW w:type="dxa" w:w="6547"/>
          </w:tcPr>
          <w:p>
            <w:r>
              <w:rPr>
                <w:sz w:val="17"/>
              </w:rPr>
            </w:r>
            <w:r>
              <w:rPr>
                <w:sz w:val="17"/>
              </w:rPr>
              <w:t xml:space="preserve">Scoped authoriser: distinguish technical check, receipt, acceptance and authority approval. Capstone: Dubai Municipality BIM permit submission under circulars 9-1-2/​9-1-3 (IFC export with the setup stated in the current Dubai BIM Standard, Model Attribute Matrix check, drawings extracted from the model, final BIM before the completion certificate where 9-1-3 requires it) and the Abu Dhabi submission route; content owned by BBM-STD-57 and </w:t>
            </w:r>
            <w:r>
              <w:rPr>
                <w:color w:val="9A7B45"/>
                <w:sz w:val="17"/>
                <w:u w:val="single"/>
              </w:rPr>
              <w:t>BBM-STD-85</w:t>
            </w:r>
          </w:p>
        </w:tc>
      </w:tr>
      <w:tr>
        <w:trPr>
          <w:cantSplit/>
        </w:trPr>
        <w:tc>
          <w:tcPr>
            <w:tcW w:type="dxa" w:w="1231"/>
          </w:tcPr>
          <w:p>
            <w:r>
              <w:rPr>
                <w:sz w:val="17"/>
              </w:rPr>
            </w:r>
            <w:r>
              <w:rPr>
                <w:sz w:val="17"/>
              </w:rPr>
              <w:t>Handover</w:t>
            </w:r>
          </w:p>
        </w:tc>
        <w:tc>
          <w:tcPr>
            <w:tcW w:type="dxa" w:w="2688"/>
          </w:tcPr>
          <w:p>
            <w:r>
              <w:rPr>
                <w:sz w:val="17"/>
              </w:rPr>
            </w:r>
            <w:r>
              <w:rPr>
                <w:sz w:val="17"/>
              </w:rPr>
              <w:t>35, 36 plus BBM-STD-75 operational capstone</w:t>
            </w:r>
          </w:p>
        </w:tc>
        <w:tc>
          <w:tcPr>
            <w:tcW w:type="dxa" w:w="6547"/>
          </w:tcPr>
          <w:p>
            <w:r>
              <w:rPr>
                <w:sz w:val="17"/>
              </w:rPr>
            </w:r>
            <w:r>
              <w:rPr>
                <w:sz w:val="17"/>
              </w:rPr>
              <w:t>Asset/​data recipient: document/​identity/​import/​update and acknowledged custody</w:t>
            </w:r>
          </w:p>
        </w:tc>
      </w:tr>
    </w:tbl>
    <w:p/>
    <w:p>
      <w:pPr/>
      <w:r>
        <w:t>Manual phases are navigation, not a replacement for RIBA0–7 stages and not a stage-to-LOD conversion. Guides alone do not establish specialist structural/MEP/CAD/FM competence. The Tracks form expands every core module's prerequisites transitively before enrolment; demonstrated prior learning may satisfy a prerequisite only with recorded assessor evidence and training-lead approval. Do not enrol on a dependent module with an unresolved prerequisite. No requirement to take every optional geometry workshop is imposed on all staff. CAD users must separately demonstrate BBM-STD-66 resource/Xref/plot tasks in an admitted host; operators demonstrate BBM-STD-75 receiving and update tasks.</w:t>
      </w:r>
    </w:p>
    <w:p>
      <w:pPr/>
      <w:r>
        <w:t>The Curriculum table fixes prerequisites, learning outcomes, guide/source hash, module practice specification, deliverables, proposed minutes, assessor/resources and rehearsal status. Proposed 180/240 minute workshops are planning assumptions divided into 90/120 minute sessions, with extra individual remediation agreed from actual capability. Retain Directory 6's 2 hours/week only where capacity and task-team approval permit. The training lead measures actual setup/practice/review time in a rehearsal, revises resource needs and schedules dates with delivery commitments before enrolment. Do not report these proposals as measured durations or approved capacity.</w:t>
      </w:r>
    </w:p>
    <w:p>
      <w:pPr>
        <w:pStyle w:val="Heading1"/>
      </w:pPr>
      <w:r>
        <w:t>3 Controlled resources and seventeen practical assessments</w:t>
      </w:r>
    </w:p>
    <w:p>
      <w:pPr/>
      <w:r>
        <w:t>Each module has one assessment DOCX and one restricted assessor key workbook: BBM-STD-nn-ASSESSMENT-V0.1.docx and BBM-STD-nn-ASSESSMENT-V0.1-KEY.xlsx. The curriculum resource index joins them to the exact guide hash and resource specification; a source hash identifies a revision, not a passed native exercise. Keys contain six criterion-specific expected results, scoring anchors, blank marking fields, resource recipe and synthetic calibration. Keep keys from learners during summative assessment; issue the task document and authorised practice resources only.</w:t>
      </w:r>
    </w:p>
    <w:p>
      <w:pPr/>
      <w:r>
        <w:t>The resource specification defines reproducible geometry/data, negative variant, expected numbers, required outputs and approved application baseline. The trainer prepares isolated native model/family/CAD inputs from the recipe, records their filenames/hashes/full builds/licences, cleans private metadata and rehearses each required action before issue. Required numeric/functional ranges or tool criteria not fixed by a guide must be agreed before testing and recorded; guessing them during marking invalidates the attempt. No real client names, models, images or identifying learner data belong in the specimens. Native exercise assets and classroom rehearsal remain Not executed in this editorial lane; the specification and answer keys are delivered, not a false tested-model claim.</w:t>
      </w:r>
    </w:p>
    <w:p>
      <w:pPr/>
      <w:r>
        <w:t>Representative preserved values: guide 21 internal 6x4 m starter room; 23 rectangular 230 mm wall volume 3.45 m3 before changes; 24 six curtain cells/five ordinary plus one door; 30 control-point separation 20 m and benchmark 10 m; 31 five room keys/75 m2; 32 room 50 m2 versus separate-area 55 m2; 33 completed floor 32 m2, not 52 m2; 34 stair 20x0.150 m and ramp 5%; 36 five walls/50 m2 with duplicate/blank Mark faults; 37 six chairs/three types, two each. These are synthetic arithmetic/geometry inputs, not design/code approval. A correct total cannot hide a missing ID or unsafe/unapproved operation.</w:t>
      </w:r>
    </w:p>
    <w:p>
      <w:pPr/>
      <w:r>
        <w:t>Each task requires baseline/source control, practical production, parameter/count/change reasoning, detection and correction of a deliberate fault, independent evidence reconciliation and a justified release/hold decision. Record full model/family/export/receiver builds, source/output hashes, actions/observations, IDs, views, tags/schedules, checked plotted output and receiving comparison as applicable. A screenshot/render alone fails where identity, quantities or actual software behavior are required.</w:t>
      </w:r>
    </w:p>
    <w:p>
      <w:pPr>
        <w:pStyle w:val="Heading1"/>
      </w:pPr>
      <w:r>
        <w:t>4 Scoring remediation and task authorisation</w:t>
      </w:r>
    </w:p>
    <w:p>
      <w:pPr/>
      <w:r>
        <w:t>Six criteria Q1..Q6 each score 0, 1 or 2: 0 absent/incorrect/unsafe; 1 partly demonstrated or unresolved defect; 2 complete evidence meets that criterion. Each is mandatory in these proposed assessments; all six must score 2, total 12/12, with no unresolved critical or required information/safety failure. Do not average partial mandatory performance into a pass. These are proposed office marking rules, not external exam thresholds. An assessor records specific actual observations and justified N/A decisions; removing a mandatory criterion requires the training lead's prior scope revision, not an after-the-fact scoring adjustment.</w:t>
      </w:r>
    </w:p>
    <w:p>
      <w:pPr/>
      <w:r>
        <w:t>If a critical unsafe action, unauthorised sharing or work on a live central occurs, stop the affected exercise, protect evidence and escalate; no destructive test is requested. Failed work receives criterion-level defect/remedy, competent coach, due date and a new attempt with its source/version identity. Repeat affected tests and dependencies; preserve original result and reassessment trace. Allow a documented supervised scope only through the actual project authoriser, with supervisor/limits/expiry, never by relabelling a failed attempt passed.</w:t>
      </w:r>
    </w:p>
    <w:p>
      <w:pPr/>
      <w:r>
        <w:t>After a demonstrated pass, record learner private ID, task, actual assessed builds/resources, restrictions, assessor/moderator, evidence/date and validity/review trigger. The project authority separately accepts competence/capacity and grants task scope; a workshop certificate is not that grant. Reassess on relevant role/build/standard/profile changes, long unpractised gap or actual quality incident according to approved role policy. No unsupported universal credential expiry or staffing number is introduced.</w:t>
      </w:r>
    </w:p>
    <w:p>
      <w:pPr>
        <w:pStyle w:val="Heading1"/>
      </w:pPr>
      <w:r>
        <w:t>5 Private evidence credentials and teaching tools</w:t>
      </w:r>
    </w:p>
    <w:p>
      <w:pPr/>
      <w:r>
        <w:t xml:space="preserve">Keep actual learner/assessor identities, recordings, accessibility arrangements, scores and credential identifiers in a restricted approved store; shared reports use minimum pseudonymous task status. Record authorised access/purpose, sensitivity, consent/recording conditions where required, source/version, retention trigger/duration/authority, holds, review/disposal and access removal under BBM-STD-76. Unknown retention/permission holds activation, not an invented default. The Learner record carries the UAE PDPL fields set in </w:t>
      </w:r>
      <w:r>
        <w:rPr>
          <w:color w:val="9A7B45"/>
          <w:u w:val="single"/>
        </w:rPr>
        <w:t>BBM-STD-90</w:t>
      </w:r>
      <w:r>
        <w:t xml:space="preserve"> §4 (Federal Decree-Law No. 45 of 2021): processing purpose, lawful basis, consent reference and date where consent is the basis (always for recordings), retention class RC-08 and its ruled period, and data-subject request log; retention and disposal route through BBM-STD-90 and BBM-STD-76. Never put passwords, identity documents or certificates into public materials.</w:t>
      </w:r>
    </w:p>
    <w:p>
      <w:pPr/>
      <w:r>
        <w:t>Credential verification records issuer, exact credential, scope, holder-match method, issue/expiry if present, verification date/evidence and restrictions; no credential is invented from attendance. Assessors disclose conflicts; the moderator must be competent and independent for disputed decisions. Approved reasonable assessment adjustments preserve the same task criteria and are recorded privately.</w:t>
      </w:r>
    </w:p>
    <w:p>
      <w:pPr/>
      <w:r>
        <w:t>AI/media teaching requires licensed and authorised synthetic inputs, verified technical output, clear limitations, checked captions/transcripts and an instructor-led rehearsal on supported builds. Record tool/service build, retention/disclosure terms, intended learner use, accessibility and source checks. Do not upload learner/client evidence to an unapproved service or claim a generated tutorial is an assessment result. Proposed channels remain unactivated until actual capability/privacy/rehearsal checks pass.</w:t>
      </w:r>
    </w:p>
    <w:p>
      <w:pPr>
        <w:pStyle w:val="Heading1"/>
      </w:pPr>
      <w:r>
        <w:t>6 Trial marking calibration and release</w:t>
      </w:r>
    </w:p>
    <w:p>
      <w:pPr/>
      <w:r>
        <w:t>The synthetic calibration scenario presents Q1/Q2/Q3/Q5/Q6 as fully evidenced but Q4's corrected-fault retest missing. Marker A proposes [2,2,2,1,2,2], total 11 and FAIL. Marker B's initial [2,2,2,2,2,2], total 12/PASS is inconsistent with the missing evidence. Applying the anchors gives moderated [2,2,2,1,2,2], 11/12 FAIL. The disagreement is one criterion; it is resolved by evidence, not averaging scores. This is a worked fictional comparison, not two completed human assessments or native trial marks. A real double-marked rehearsal with independent assessors is required before summative release.</w:t>
      </w:r>
    </w:p>
    <w:p>
      <w:pPr/>
      <w:r>
        <w:t>Curriculum, Tracks, Phases, Resources, Assessment index, Learner record, Rubric, Calibration, Credentials and Teaching review forms provide blank/populated specimens. Learner records require source/build, actual observations, per-criterion result, issue/remediation/reassessment, assessor/moderator/date, evidence URI/hash, separate task authoriser/limits/expiry and private access/retention. Keys provide no filled actual learner result. The source 06-ASSESSMENTS folder was observed empty on 2026-10-16 and holding the seventeen pairs on 2026-11-04; these pairs address the missing assessment documents without fabricating completed learner evidence.</w:t>
      </w:r>
    </w:p>
    <w:p>
      <w:pPr/>
      <w:r>
        <w:t>Adoption holds: curriculum/role approval, competent assessors and capacity, controlled native practice inputs, exact builds/rights, rehearsal and actual double marking, private-record access/retention, specialised capstones and real scoped task authorisation. The editorial deliverable is a complete specification/forms/assessment set; actual competence or classroom readiness is not asserted.</w:t>
      </w:r>
    </w:p>
    <w:p>
      <w:pPr>
        <w:pStyle w:val="Heading1"/>
      </w:pPr>
      <w:r>
        <w:t>References</w:t>
      </w:r>
    </w:p>
    <w:p>
      <w:pPr>
        <w:pStyle w:val="ListParagraph"/>
        <w:spacing w:after="40"/>
        <w:ind w:left="360" w:hanging="240"/>
      </w:pPr>
      <w:r>
        <w:t xml:space="preserve">•  </w:t>
      </w:r>
      <w:r>
        <w:t>Office sources linked above; seventeen revised BBM-STD-21..37 V0.2 texts in guides-v0.2. Exact guide filenames/hashes in Resources/Assessment index and each assessor key. Matrix SG-092/093.</w:t>
      </w:r>
    </w:p>
    <w:p>
      <w:pPr>
        <w:pStyle w:val="ListParagraph"/>
        <w:spacing w:after="40"/>
        <w:ind w:left="360" w:hanging="240"/>
      </w:pPr>
      <w:r>
        <w:t xml:space="preserve">•  </w:t>
      </w:r>
      <w:hyperlink r:id="rId15">
        <w:r>
          <w:rPr>
            <w:color w:val="9A7B45"/>
            <w:u w:val="single"/>
          </w:rPr>
          <w:t>ISO 19650-1:2018</w:t>
        </w:r>
      </w:hyperlink>
      <w:r>
        <w:t xml:space="preserve">, </w:t>
      </w:r>
      <w:hyperlink r:id="rId16">
        <w:r>
          <w:rPr>
            <w:color w:val="9A7B45"/>
            <w:u w:val="single"/>
          </w:rPr>
          <w:t>19650-2:2018</w:t>
        </w:r>
      </w:hyperlink>
      <w:r>
        <w:t xml:space="preserve">, </w:t>
      </w:r>
      <w:hyperlink r:id="rId17">
        <w:r>
          <w:rPr>
            <w:color w:val="9A7B45"/>
            <w:u w:val="single"/>
          </w:rPr>
          <w:t>19650-3:2020</w:t>
        </w:r>
      </w:hyperlink>
      <w:r>
        <w:t xml:space="preserve">, </w:t>
      </w:r>
      <w:hyperlink r:id="rId18">
        <w:r>
          <w:rPr>
            <w:color w:val="9A7B45"/>
            <w:u w:val="single"/>
          </w:rPr>
          <w:t>19650-5:2020</w:t>
        </w:r>
      </w:hyperlink>
      <w:r>
        <w:t>; scope/edition checked 2026-10-16, clause pointers above require licensed review.</w:t>
      </w:r>
    </w:p>
    <w:p>
      <w:pPr>
        <w:pStyle w:val="ListParagraph"/>
        <w:spacing w:after="40"/>
        <w:ind w:left="360" w:hanging="240"/>
      </w:pPr>
      <w:r>
        <w:t xml:space="preserve">•  </w:t>
      </w:r>
      <w:hyperlink r:id="rId19">
        <w:r>
          <w:rPr>
            <w:color w:val="9A7B45"/>
            <w:u w:val="single"/>
          </w:rPr>
          <w:t>IMI Framework (formerly UK BIM Framework, renamed May 2025) archived Guidance Part A edition 2 February 2021</w:t>
        </w:r>
      </w:hyperlink>
      <w:r>
        <w:t xml:space="preserve">, information-management functions/resources. </w:t>
      </w:r>
      <w:hyperlink r:id="rId20">
        <w:r>
          <w:rPr>
            <w:color w:val="9A7B45"/>
            <w:u w:val="single"/>
          </w:rPr>
          <w:t>Autodesk learning pathways</w:t>
        </w:r>
      </w:hyperlink>
      <w:r>
        <w:t xml:space="preserve"> and </w:t>
      </w:r>
      <w:hyperlink r:id="rId21">
        <w:r>
          <w:rPr>
            <w:color w:val="9A7B45"/>
            <w:u w:val="single"/>
          </w:rPr>
          <w:t>buildingSMART education</w:t>
        </w:r>
      </w:hyperlink>
      <w:r>
        <w:t xml:space="preserve"> support learning-outcome structure, not office-task approval. Checked 2026-10-16.</w:t>
      </w:r>
    </w:p>
    <w:p>
      <w:pPr>
        <w:pStyle w:val="ListParagraph"/>
        <w:spacing w:after="40"/>
        <w:ind w:left="360" w:hanging="240"/>
      </w:pPr>
      <w:r>
        <w:t xml:space="preserve">•  </w:t>
      </w:r>
      <w:hyperlink r:id="rId22">
        <w:r>
          <w:rPr>
            <w:color w:val="9A7B45"/>
            <w:u w:val="single"/>
          </w:rPr>
          <w:t>ISO 7817-1:2024</w:t>
        </w:r>
      </w:hyperlink>
      <w:r>
        <w:t xml:space="preserve">, current purpose-led LOIN context; retained </w:t>
      </w:r>
      <w:hyperlink r:id="rId23">
        <w:r>
          <w:rPr>
            <w:color w:val="9A7B45"/>
            <w:u w:val="single"/>
          </w:rPr>
          <w:t>BS EN 17412-1:2020 predecessor</w:t>
        </w:r>
      </w:hyperlink>
      <w:r>
        <w:t>. Do not silently replace appointment editions.</w:t>
      </w:r>
    </w:p>
    <w:p>
      <w:pPr>
        <w:pStyle w:val="ListParagraph"/>
        <w:spacing w:after="40"/>
        <w:ind w:left="360" w:hanging="240"/>
      </w:pPr>
      <w:r>
        <w:t xml:space="preserve">•  </w:t>
      </w:r>
      <w:hyperlink r:id="rId24">
        <w:r>
          <w:rPr>
            <w:color w:val="9A7B45"/>
            <w:u w:val="single"/>
          </w:rPr>
          <w:t>DM circular 9-1-2</w:t>
        </w:r>
      </w:hyperlink>
      <w:r>
        <w:t xml:space="preserve"> and </w:t>
      </w:r>
      <w:hyperlink r:id="rId25">
        <w:r>
          <w:rPr>
            <w:color w:val="9A7B45"/>
            <w:u w:val="single"/>
          </w:rPr>
          <w:t>DM circular 9-1-3</w:t>
        </w:r>
      </w:hyperlink>
      <w:r>
        <w:t xml:space="preserve">, checked 2026-11-04, for the capstone; </w:t>
      </w:r>
      <w:hyperlink r:id="rId26">
        <w:r>
          <w:rPr>
            <w:color w:val="9A7B45"/>
            <w:u w:val="single"/>
          </w:rPr>
          <w:t>UAE PDPL</w:t>
        </w:r>
      </w:hyperlink>
      <w:r>
        <w:t xml:space="preserve">, checked 2026-11-04. </w:t>
      </w:r>
      <w:hyperlink r:id="rId27">
        <w:r>
          <w:rPr>
            <w:color w:val="9A7B45"/>
            <w:u w:val="single"/>
          </w:rPr>
          <w:t>DM circular index</w:t>
        </w:r>
      </w:hyperlink>
      <w:r>
        <w:t xml:space="preserve">, </w:t>
      </w:r>
      <w:hyperlink r:id="rId28">
        <w:r>
          <w:rPr>
            <w:color w:val="9A7B45"/>
            <w:u w:val="single"/>
          </w:rPr>
          <w:t>DMT infrastructure guidance</w:t>
        </w:r>
      </w:hyperlink>
      <w:r>
        <w:t xml:space="preserve">, DDA Circular 400 (held as a register row in </w:t>
      </w:r>
      <w:r>
        <w:rPr>
          <w:color w:val="9A7B45"/>
          <w:u w:val="single"/>
        </w:rPr>
        <w:t>BBM-STD-57</w:t>
      </w:r>
      <w:r>
        <w:t>; date and content not restated here). Use BBM-STD-57 for actual jurisdiction-specific submission training; no universal UAE exam or competence licence inferred.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BBM-STD-82-TRAINING_AND_ASSESSMENT-V0.2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4-DOCUMENTS/BBM-STD-82-TRAINING_AND_ASSESSMENT-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www.ukbimframework.org/wp-content/uploads/2021/02/Guidance-Part-A_The-information-management-function-and-resources_Edition-2.pdf" TargetMode="External"/><Relationship Id="rId20" Type="http://schemas.openxmlformats.org/officeDocument/2006/relationships/hyperlink" Target="https://www.autodesk.com/learning.autodesk" TargetMode="External"/><Relationship Id="rId21" Type="http://schemas.openxmlformats.org/officeDocument/2006/relationships/hyperlink" Target="https://education.buildingsmart.org/wp-content/uploads/2021/05/Foundation-Learning-Outcomes_Basic-1.pdf" TargetMode="External"/><Relationship Id="rId22" Type="http://schemas.openxmlformats.org/officeDocument/2006/relationships/hyperlink" Target="https://www.iso.org/standard/82914.html" TargetMode="External"/><Relationship Id="rId23" Type="http://schemas.openxmlformats.org/officeDocument/2006/relationships/hyperlink" Target="https://landingpage.bsigroup.com/LandingPage/Standard?UPI=000000000030382760" TargetMode="External"/><Relationship Id="rId24" Type="http://schemas.openxmlformats.org/officeDocument/2006/relationships/hyperlink" Target="https://dmpmedia.dm.gov.ae/uploads/2023/10/&#1578;&#1593;&#1605;&#1610;&#1605;-BIM-9-1-2.pdf" TargetMode="External"/><Relationship Id="rId25" Type="http://schemas.openxmlformats.org/officeDocument/2006/relationships/hyperlink" Target="https://www.dm.gov.ae/wp-content/uploads/2026/02/Circular-9-1-3.pdf" TargetMode="External"/><Relationship Id="rId26" Type="http://schemas.openxmlformats.org/officeDocument/2006/relationships/hyperlink" Target="https://uaelegislation.gov.ae/en/legislations/1972" TargetMode="External"/><Relationship Id="rId27" Type="http://schemas.openxmlformats.org/officeDocument/2006/relationships/hyperlink" Target="https://www.dm.gov.ae/municipality-business/circulars-of-constructions/" TargetMode="External"/><Relationship Id="rId28" Type="http://schemas.openxmlformats.org/officeDocument/2006/relationships/hyperlink" Target="https://www.dmt.gov.ae/adm/-/media/Project/DMT/ADM/E-Library/0001-Jan-2022-Doc/ADM-BIM-002Documentation-Guidelines-for-Infrastructure-project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