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UAE authority and submission annex</w:t>
      </w:r>
    </w:p>
    <w:p>
      <w:pPr/>
      <w:r>
        <w:t xml:space="preserve">Linked copies: ID STD-85 · </w:t>
      </w:r>
      <w:hyperlink r:id="rId13">
        <w:r>
          <w:rPr>
            <w:color w:val="9A7B45"/>
            <w:u w:val="single"/>
          </w:rPr>
          <w:t>BABOOM edition</w:t>
        </w:r>
      </w:hyperlink>
      <w:r>
        <w:t xml:space="preserve"> · ArchHub: BABOOM companion</w:t>
      </w:r>
    </w:p>
    <w:p>
      <w:pPr/>
      <w:r>
        <w:t>BBM-STD-85-UAE_AUTHORITY_SUBMISSIONS-V0.3 | Office standard | 5 November 2026 | V0.3 | Private controlled WIP draft for office review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tc>
          <w:tcPr>
            <w:tcW w:type="dxa" w:w="775"/>
          </w:tcPr>
          <w:p>
            <w:r>
              <w:rPr>
                <w:sz w:val="17"/>
              </w:rPr>
            </w:r>
            <w:r>
              <w:rPr>
                <w:sz w:val="17"/>
              </w:rPr>
              <w:t>V0.1</w:t>
            </w:r>
          </w:p>
        </w:tc>
        <w:tc>
          <w:tcPr>
            <w:tcW w:type="dxa" w:w="1033"/>
          </w:tcPr>
          <w:p>
            <w:r>
              <w:rPr>
                <w:sz w:val="17"/>
              </w:rPr>
            </w:r>
            <w:r>
              <w:rPr>
                <w:sz w:val="17"/>
              </w:rPr>
              <w:t>2026-11-04</w:t>
            </w:r>
          </w:p>
        </w:tc>
        <w:tc>
          <w:tcPr>
            <w:tcW w:type="dxa" w:w="8659"/>
          </w:tcPr>
          <w:p>
            <w:r>
              <w:rPr>
                <w:sz w:val="17"/>
              </w:rPr>
            </w:r>
            <w:r>
              <w:rPr>
                <w:sz w:val="17"/>
              </w:rPr>
              <w:t>First issue: closes audit res-026 rows G001, G002, G003, G014, G016, G047, G064, G066, G072, G109, G115, G117, G119, G122, G128, G129, G142, G153, G156, G172, G173, G174, G175, G176, G179, G185, G186, G188, G192, G203, G214, G233, G236, G238, G247, G250, G258, G277, G283, G286 (UAE requirement content; §1.2 gaps 1–4; §1.3 row "UAE authority &amp; submission annex") + cross-doc pointer pass: register IDs aligned to BBM-STD-51 §3 ED- IDs; new §10 other authority routes (fit-out, UAS, advertising, Arabic text, registration, automated portal checks) and §11 statutory records and completion list (G151, G165, G191, G213, G245, G258, G267, G276)</w:t>
            </w:r>
          </w:p>
        </w:tc>
      </w:tr>
      <w:tr>
        <w:trPr/>
        <w:tc>
          <w:tcPr>
            <w:tcW w:type="dxa" w:w="775"/>
          </w:tcPr>
          <w:p>
            <w:r>
              <w:rPr>
                <w:sz w:val="17"/>
              </w:rPr>
            </w:r>
            <w:r>
              <w:rPr>
                <w:sz w:val="17"/>
              </w:rPr>
              <w:t>V0.2</w:t>
            </w:r>
          </w:p>
        </w:tc>
        <w:tc>
          <w:tcPr>
            <w:tcW w:type="dxa" w:w="1033"/>
          </w:tcPr>
          <w:p>
            <w:r>
              <w:rPr>
                <w:sz w:val="17"/>
              </w:rPr>
            </w:r>
            <w:r>
              <w:rPr>
                <w:sz w:val="17"/>
              </w:rPr>
              <w:t>2026-11-05</w:t>
            </w:r>
          </w:p>
        </w:tc>
        <w:tc>
          <w:tcPr>
            <w:tcW w:type="dxa" w:w="8659"/>
          </w:tcPr>
          <w:p>
            <w:r>
              <w:rPr>
                <w:sz w:val="17"/>
              </w:rPr>
            </w:r>
            <w:r>
              <w:rPr>
                <w:sz w:val="17"/>
              </w:rPr>
              <w:t>Values settled from primary sources read 2026-11-05: §3 circular 9-1-1 thresholds (</w:t>
            </w:r>
            <w:r>
              <w:rPr>
                <w:color w:val="9A7B45"/>
                <w:sz w:val="17"/>
                <w:u w:val="single"/>
              </w:rPr>
              <w:t>O-DEC-153</w:t>
            </w:r>
            <w:r>
              <w:rPr>
                <w:sz w:val="17"/>
              </w:rPr>
              <w:t>) and Dubai BIM Standard 1.4, IFC4 schema, authority setup and Appendix B (</w:t>
            </w:r>
            <w:r>
              <w:rPr>
                <w:color w:val="9A7B45"/>
                <w:sz w:val="17"/>
                <w:u w:val="single"/>
              </w:rPr>
              <w:t>O-DEC-154</w:t>
            </w:r>
            <w:r>
              <w:rPr>
                <w:sz w:val="17"/>
              </w:rPr>
              <w:t>), portal reachable; §4 AR 225/​2024 parameters (</w:t>
            </w:r>
            <w:r>
              <w:rPr>
                <w:color w:val="9A7B45"/>
                <w:sz w:val="17"/>
                <w:u w:val="single"/>
              </w:rPr>
              <w:t>O-DEC-155</w:t>
            </w:r>
            <w:r>
              <w:rPr>
                <w:sz w:val="17"/>
              </w:rPr>
              <w:t>) and Law 3/​2026 gazette (</w:t>
            </w:r>
            <w:r>
              <w:rPr>
                <w:color w:val="9A7B45"/>
                <w:sz w:val="17"/>
                <w:u w:val="single"/>
              </w:rPr>
              <w:t>O-DEC-156</w:t>
            </w:r>
            <w:r>
              <w:rPr>
                <w:sz w:val="17"/>
              </w:rPr>
              <w:t>); §5, §6, §8, §10 rule-based rows named against their authority document (</w:t>
            </w:r>
            <w:r>
              <w:rPr>
                <w:color w:val="9A7B45"/>
                <w:sz w:val="17"/>
                <w:u w:val="single"/>
              </w:rPr>
              <w:t>O-DEC-160</w:t>
            </w:r>
            <w:r>
              <w:rPr>
                <w:sz w:val="17"/>
              </w:rPr>
              <w:t>); CRS pointers (</w:t>
            </w:r>
            <w:r>
              <w:rPr>
                <w:color w:val="9A7B45"/>
                <w:sz w:val="17"/>
                <w:u w:val="single"/>
              </w:rPr>
              <w:t>O-DEC-157</w:t>
            </w:r>
            <w:r>
              <w:rPr>
                <w:sz w:val="17"/>
              </w:rPr>
              <w:t xml:space="preserve">, </w:t>
            </w:r>
            <w:r>
              <w:rPr>
                <w:color w:val="9A7B45"/>
                <w:sz w:val="17"/>
                <w:u w:val="single"/>
              </w:rPr>
              <w:t>O-DEC-159</w:t>
            </w:r>
            <w:r>
              <w:rPr>
                <w:sz w:val="17"/>
              </w:rPr>
              <w:t>)</w:t>
            </w:r>
          </w:p>
        </w:tc>
      </w:tr>
      <w:tr>
        <w:trPr>
          <w:cantSplit/>
        </w:trPr>
        <w:tc>
          <w:tcPr>
            <w:tcW w:type="dxa" w:w="775"/>
          </w:tcPr>
          <w:p>
            <w:r>
              <w:rPr>
                <w:sz w:val="17"/>
              </w:rPr>
            </w:r>
            <w:r>
              <w:rPr>
                <w:sz w:val="17"/>
              </w:rPr>
              <w:t>V0.3</w:t>
            </w:r>
          </w:p>
        </w:tc>
        <w:tc>
          <w:tcPr>
            <w:tcW w:type="dxa" w:w="1033"/>
          </w:tcPr>
          <w:p>
            <w:r>
              <w:rPr>
                <w:sz w:val="17"/>
              </w:rPr>
            </w:r>
            <w:r>
              <w:rPr>
                <w:sz w:val="17"/>
              </w:rPr>
              <w:t>2026-11-05</w:t>
            </w:r>
          </w:p>
        </w:tc>
        <w:tc>
          <w:tcPr>
            <w:tcW w:type="dxa" w:w="8659"/>
          </w:tcPr>
          <w:p>
            <w:r>
              <w:rPr>
                <w:sz w:val="17"/>
              </w:rPr>
            </w:r>
            <w:r>
              <w:rPr>
                <w:sz w:val="17"/>
              </w:rPr>
              <w:t>Standard watch no. 1 (RES-017): §4 new row ED-DM-11-9-1, DM circular 11-9-1 of 2026 applying Law No. 3 of 2026, the office as assessing engineering office (</w:t>
            </w:r>
            <w:r>
              <w:rPr>
                <w:color w:val="9A7B45"/>
                <w:sz w:val="17"/>
                <w:u w:val="single"/>
              </w:rPr>
              <w:t>O-DEC-185</w:t>
            </w:r>
            <w:r>
              <w:rPr>
                <w:sz w:val="17"/>
              </w:rPr>
              <w:t>); §11 certificate row updated; §5 reported ADCDA amendments circular recorded, rule kept; §8 SIRA instrument settled on the Preventive Systems Manual and the SPC service (</w:t>
            </w:r>
            <w:r>
              <w:rPr>
                <w:color w:val="9A7B45"/>
                <w:sz w:val="17"/>
                <w:u w:val="single"/>
              </w:rPr>
              <w:t>O-DEC-186</w:t>
            </w:r>
            <w:r>
              <w:rPr>
                <w:sz w:val="17"/>
              </w:rPr>
              <w:t>)</w:t>
            </w:r>
          </w:p>
        </w:tc>
      </w:tr>
    </w:tbl>
    <w:p/>
    <w:p>
      <w:pPr>
        <w:pStyle w:val="Heading1"/>
      </w:pPr>
      <w:r>
        <w:t>1 Purpose ownership and boundaries</w:t>
      </w:r>
    </w:p>
    <w:p>
      <w:pPr/>
      <w:r>
        <w:t xml:space="preserve">This annex holds the UAE requirement detail that the set applies to authority submissions: the Dubai Municipality (DM) BIM permit profile, the Dubai Building Code, the Dubai building quality and safety law, the UAE Fire &amp; Life Safety Code, the Abu Dhabi code and ADM BIM instruments, and the statutory green-building minimums. It is an annex to </w:t>
      </w:r>
      <w:r>
        <w:rPr>
          <w:color w:val="9A7B45"/>
          <w:u w:val="single"/>
        </w:rPr>
        <w:t>BBM-STD-57</w:t>
      </w:r>
      <w:r>
        <w:t>: 57 keeps the project jurisdiction record, the submission register and the authority gates (O-DEC-109, O-DEC-110); this annex states what each UAE instrument requires and which model data and evidence it needs.</w:t>
      </w:r>
    </w:p>
    <w:p>
      <w:pPr/>
      <w:r>
        <w:t xml:space="preserve">The edition and adoption record of every instrument stays in the ONE edition register, </w:t>
      </w:r>
      <w:r>
        <w:rPr>
          <w:color w:val="9A7B45"/>
          <w:u w:val="single"/>
        </w:rPr>
        <w:t>BBM-STD-51</w:t>
      </w:r>
      <w:r>
        <w:t xml:space="preserve"> §3 (O-DEC-111). Each row below carries the BBM-STD-51 §3 register ID (ED-…), which holds the instrument, edition, date, URL and source-check date. </w:t>
      </w:r>
      <w:r>
        <w:rPr>
          <w:color w:val="9A7B45"/>
          <w:u w:val="single"/>
        </w:rPr>
        <w:t>BBM-STD-12</w:t>
      </w:r>
      <w:r>
        <w:t xml:space="preserve"> A3 and BBM-STD-57 §2 cite these keys and do not keep their own edition lists. Discipline codes follow </w:t>
      </w:r>
      <w:r>
        <w:rPr>
          <w:color w:val="9A7B45"/>
          <w:u w:val="single"/>
        </w:rPr>
        <w:t>BBM-STD-93</w:t>
      </w:r>
      <w:r>
        <w:t xml:space="preserve"> (O-DEC-103).</w:t>
      </w:r>
    </w:p>
    <w:p>
      <w:pPr/>
      <w:r>
        <w:t>The authority liaison owns the applicability test and the evidence; the design director decides applicability with competent specialists; the lead appointed party (LAP) authorises each submission. Nothing in this annex is legal advice or a permit. An instrument whose current text was not readable on the check date is written as a dependence-free rule: "the edition / setup stated by the authority, checked at project start and recorded in the BEP". Every row is re-checked at project start, at each stage gate and before each submission (§9).</w:t>
      </w:r>
    </w:p>
    <w:p>
      <w:pPr/>
      <w:r>
        <w:t>There is no federal UAE BIM mandate (none found; search checked 2026-11-04; register row ED-UAE-NATIONAL). BIM submission duties come from the emirate authority for the plot.</w:t>
      </w:r>
    </w:p>
    <w:p>
      <w:pPr>
        <w:pStyle w:val="Heading1"/>
      </w:pPr>
      <w:r>
        <w:t>2 Jurisdiction test</w:t>
      </w:r>
    </w:p>
    <w:p>
      <w:pPr/>
      <w:r>
        <w:t xml:space="preserve">Run this test at mobilisation and record the result in BBM-STD-57 §2 and </w:t>
      </w:r>
      <w:r>
        <w:rPr>
          <w:color w:val="9A7B45"/>
          <w:u w:val="single"/>
        </w:rPr>
        <w:t>BEP</w:t>
      </w:r>
      <w:r>
        <w:t xml:space="preserve"> §1.12. Unknown answers stay Unverified and hold the affected submission.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548"/>
        <w:gridCol w:w="4382"/>
        <w:gridCol w:w="5536"/>
      </w:tblGrid>
      <w:tr>
        <w:trPr>
          <w:cantSplit/>
          <w:tblHeader/>
        </w:trPr>
        <w:tc>
          <w:tcPr>
            <w:tcW w:type="dxa" w:w="548"/>
            <w:shd w:val="clear" w:color="auto" w:fill="111113"/>
          </w:tcPr>
          <w:p>
            <w:r>
              <w:rPr>
                <w:b/>
                <w:color w:val="FFFFFF"/>
                <w:sz w:val="17"/>
              </w:rPr>
            </w:r>
            <w:r>
              <w:rPr>
                <w:b/>
                <w:color w:val="FFFFFF"/>
                <w:sz w:val="17"/>
              </w:rPr>
              <w:t>Step</w:t>
            </w:r>
          </w:p>
        </w:tc>
        <w:tc>
          <w:tcPr>
            <w:tcW w:type="dxa" w:w="4382"/>
            <w:shd w:val="clear" w:color="auto" w:fill="111113"/>
          </w:tcPr>
          <w:p>
            <w:r>
              <w:rPr>
                <w:b/>
                <w:color w:val="FFFFFF"/>
                <w:sz w:val="17"/>
              </w:rPr>
            </w:r>
            <w:r>
              <w:rPr>
                <w:b/>
                <w:color w:val="FFFFFF"/>
                <w:sz w:val="17"/>
              </w:rPr>
              <w:t>Question</w:t>
            </w:r>
          </w:p>
        </w:tc>
        <w:tc>
          <w:tcPr>
            <w:tcW w:type="dxa" w:w="5536"/>
            <w:shd w:val="clear" w:color="auto" w:fill="111113"/>
          </w:tcPr>
          <w:p>
            <w:r>
              <w:rPr>
                <w:b/>
                <w:color w:val="FFFFFF"/>
                <w:sz w:val="17"/>
              </w:rPr>
            </w:r>
            <w:r>
              <w:rPr>
                <w:b/>
                <w:color w:val="FFFFFF"/>
                <w:sz w:val="17"/>
              </w:rPr>
              <w:t>Record</w:t>
            </w:r>
          </w:p>
        </w:tc>
      </w:tr>
      <w:tr>
        <w:trPr>
          <w:cantSplit/>
        </w:trPr>
        <w:tc>
          <w:tcPr>
            <w:tcW w:type="dxa" w:w="548"/>
          </w:tcPr>
          <w:p>
            <w:r>
              <w:rPr>
                <w:sz w:val="17"/>
              </w:rPr>
            </w:r>
            <w:r>
              <w:rPr>
                <w:sz w:val="17"/>
              </w:rPr>
              <w:t>J1</w:t>
            </w:r>
          </w:p>
        </w:tc>
        <w:tc>
          <w:tcPr>
            <w:tcW w:type="dxa" w:w="4382"/>
          </w:tcPr>
          <w:p>
            <w:r>
              <w:rPr>
                <w:sz w:val="17"/>
              </w:rPr>
            </w:r>
            <w:r>
              <w:rPr>
                <w:sz w:val="17"/>
              </w:rPr>
              <w:t>Which emirate, municipality, master developer or free zone controls the plot?</w:t>
            </w:r>
          </w:p>
        </w:tc>
        <w:tc>
          <w:tcPr>
            <w:tcW w:type="dxa" w:w="5536"/>
          </w:tcPr>
          <w:p>
            <w:r>
              <w:rPr>
                <w:sz w:val="17"/>
              </w:rPr>
            </w:r>
            <w:r>
              <w:rPr>
                <w:sz w:val="17"/>
              </w:rPr>
              <w:t>Plot /​ site-plan ID and revision; permit authority (DM, DDA, other Dubai authority, DMT/​ADM, other)</w:t>
            </w:r>
          </w:p>
        </w:tc>
      </w:tr>
      <w:tr>
        <w:trPr>
          <w:cantSplit/>
        </w:trPr>
        <w:tc>
          <w:tcPr>
            <w:tcW w:type="dxa" w:w="548"/>
          </w:tcPr>
          <w:p>
            <w:r>
              <w:rPr>
                <w:sz w:val="17"/>
              </w:rPr>
            </w:r>
            <w:r>
              <w:rPr>
                <w:sz w:val="17"/>
              </w:rPr>
              <w:t>J2</w:t>
            </w:r>
          </w:p>
        </w:tc>
        <w:tc>
          <w:tcPr>
            <w:tcW w:type="dxa" w:w="4382"/>
          </w:tcPr>
          <w:p>
            <w:r>
              <w:rPr>
                <w:sz w:val="17"/>
              </w:rPr>
            </w:r>
            <w:r>
              <w:rPr>
                <w:sz w:val="17"/>
              </w:rPr>
              <w:t>Is the work new building, alteration, fit-out or infrastructure?</w:t>
            </w:r>
          </w:p>
        </w:tc>
        <w:tc>
          <w:tcPr>
            <w:tcW w:type="dxa" w:w="5536"/>
          </w:tcPr>
          <w:p>
            <w:r>
              <w:rPr>
                <w:sz w:val="17"/>
              </w:rPr>
            </w:r>
            <w:r>
              <w:rPr>
                <w:sz w:val="17"/>
              </w:rPr>
              <w:t>Scope type, storeys (G+n), gross floor area (m²), alteration type</w:t>
            </w:r>
          </w:p>
        </w:tc>
      </w:tr>
      <w:tr>
        <w:trPr>
          <w:cantSplit/>
        </w:trPr>
        <w:tc>
          <w:tcPr>
            <w:tcW w:type="dxa" w:w="548"/>
          </w:tcPr>
          <w:p>
            <w:r>
              <w:rPr>
                <w:sz w:val="17"/>
              </w:rPr>
            </w:r>
            <w:r>
              <w:rPr>
                <w:sz w:val="17"/>
              </w:rPr>
              <w:t>J3</w:t>
            </w:r>
          </w:p>
        </w:tc>
        <w:tc>
          <w:tcPr>
            <w:tcW w:type="dxa" w:w="4382"/>
          </w:tcPr>
          <w:p>
            <w:r>
              <w:rPr>
                <w:sz w:val="17"/>
              </w:rPr>
            </w:r>
            <w:r>
              <w:rPr>
                <w:sz w:val="17"/>
              </w:rPr>
              <w:t>Does a BIM permit profile apply?</w:t>
            </w:r>
          </w:p>
        </w:tc>
        <w:tc>
          <w:tcPr>
            <w:tcW w:type="dxa" w:w="5536"/>
          </w:tcPr>
          <w:p>
            <w:r>
              <w:rPr>
                <w:sz w:val="17"/>
              </w:rPr>
            </w:r>
            <w:r>
              <w:rPr>
                <w:sz w:val="17"/>
              </w:rPr>
              <w:t>Dubai: §3 triggers, result with the reason. Abu Dhabi: appointment or municipality checklist only (§6)</w:t>
            </w:r>
          </w:p>
        </w:tc>
      </w:tr>
      <w:tr>
        <w:trPr>
          <w:cantSplit/>
        </w:trPr>
        <w:tc>
          <w:tcPr>
            <w:tcW w:type="dxa" w:w="548"/>
          </w:tcPr>
          <w:p>
            <w:r>
              <w:rPr>
                <w:sz w:val="17"/>
              </w:rPr>
            </w:r>
            <w:r>
              <w:rPr>
                <w:sz w:val="17"/>
              </w:rPr>
              <w:t>J4</w:t>
            </w:r>
          </w:p>
        </w:tc>
        <w:tc>
          <w:tcPr>
            <w:tcW w:type="dxa" w:w="4382"/>
          </w:tcPr>
          <w:p>
            <w:r>
              <w:rPr>
                <w:sz w:val="17"/>
              </w:rPr>
            </w:r>
            <w:r>
              <w:rPr>
                <w:sz w:val="17"/>
              </w:rPr>
              <w:t>Which building, fire and green-rating instruments apply?</w:t>
            </w:r>
          </w:p>
        </w:tc>
        <w:tc>
          <w:tcPr>
            <w:tcW w:type="dxa" w:w="5536"/>
          </w:tcPr>
          <w:p>
            <w:r>
              <w:rPr>
                <w:sz w:val="17"/>
              </w:rPr>
            </w:r>
            <w:r>
              <w:rPr>
                <w:sz w:val="17"/>
              </w:rPr>
              <w:t>ED- register IDs from §4–§7 with check date</w:t>
            </w:r>
          </w:p>
        </w:tc>
      </w:tr>
      <w:tr>
        <w:trPr>
          <w:cantSplit/>
        </w:trPr>
        <w:tc>
          <w:tcPr>
            <w:tcW w:type="dxa" w:w="548"/>
          </w:tcPr>
          <w:p>
            <w:r>
              <w:rPr>
                <w:sz w:val="17"/>
              </w:rPr>
            </w:r>
            <w:r>
              <w:rPr>
                <w:sz w:val="17"/>
              </w:rPr>
              <w:t>J5</w:t>
            </w:r>
          </w:p>
        </w:tc>
        <w:tc>
          <w:tcPr>
            <w:tcW w:type="dxa" w:w="4382"/>
          </w:tcPr>
          <w:p>
            <w:r>
              <w:rPr>
                <w:sz w:val="17"/>
              </w:rPr>
            </w:r>
            <w:r>
              <w:rPr>
                <w:sz w:val="17"/>
              </w:rPr>
              <w:t>Which coordinate system does the authority require?</w:t>
            </w:r>
          </w:p>
        </w:tc>
        <w:tc>
          <w:tcPr>
            <w:tcW w:type="dxa" w:w="5536"/>
          </w:tcPr>
          <w:p>
            <w:r>
              <w:rPr>
                <w:sz w:val="17"/>
              </w:rPr>
            </w:r>
            <w:r>
              <w:rPr>
                <w:sz w:val="17"/>
              </w:rPr>
              <w:t xml:space="preserve">Dubai EPSG:3997 with DMD heights (Dubai BIM Standard 1.4); Abu Dhabi EPSG:32640 /​ 32639 with Ras Ghumays heights; CRS record in </w:t>
            </w:r>
            <w:r>
              <w:rPr>
                <w:color w:val="9A7B45"/>
                <w:sz w:val="17"/>
                <w:u w:val="single"/>
              </w:rPr>
              <w:t>BBM-STD-86</w:t>
            </w:r>
          </w:p>
        </w:tc>
      </w:tr>
      <w:tr>
        <w:trPr>
          <w:cantSplit/>
        </w:trPr>
        <w:tc>
          <w:tcPr>
            <w:tcW w:type="dxa" w:w="548"/>
          </w:tcPr>
          <w:p>
            <w:r>
              <w:rPr>
                <w:sz w:val="17"/>
              </w:rPr>
            </w:r>
            <w:r>
              <w:rPr>
                <w:sz w:val="17"/>
              </w:rPr>
              <w:t>J6</w:t>
            </w:r>
          </w:p>
        </w:tc>
        <w:tc>
          <w:tcPr>
            <w:tcW w:type="dxa" w:w="4382"/>
          </w:tcPr>
          <w:p>
            <w:r>
              <w:rPr>
                <w:sz w:val="17"/>
              </w:rPr>
            </w:r>
            <w:r>
              <w:rPr>
                <w:sz w:val="17"/>
              </w:rPr>
              <w:t>Is any information security-sensitive (security systems, critical services)?</w:t>
            </w:r>
          </w:p>
        </w:tc>
        <w:tc>
          <w:tcPr>
            <w:tcW w:type="dxa" w:w="5536"/>
          </w:tcPr>
          <w:p>
            <w:r>
              <w:rPr>
                <w:sz w:val="17"/>
              </w:rPr>
            </w:r>
            <w:r>
              <w:rPr>
                <w:sz w:val="17"/>
              </w:rPr>
              <w:t xml:space="preserve">Triage per </w:t>
            </w:r>
            <w:r>
              <w:rPr>
                <w:color w:val="9A7B45"/>
                <w:sz w:val="17"/>
                <w:u w:val="single"/>
              </w:rPr>
              <w:t>BBM-STD-87</w:t>
            </w:r>
            <w:r>
              <w:rPr>
                <w:sz w:val="17"/>
              </w:rPr>
              <w:t>; SIRA rule §8</w:t>
            </w:r>
          </w:p>
        </w:tc>
      </w:tr>
    </w:tbl>
    <w:p/>
    <w:p>
      <w:pPr/>
      <w:r>
        <w:t>A DM profile is never applied to a DDA or Abu Dhabi plot, and an ADM profile is never applied to a Dubai plot, without adoption evidence for that plot. The DDA Final Design Approval route stays in BBM-STD-57 §3.</w:t>
      </w:r>
    </w:p>
    <w:p>
      <w:pPr>
        <w:pStyle w:val="Heading1"/>
      </w:pPr>
      <w:r>
        <w:t>3 Dubai BIM permit profile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45"/>
        <w:gridCol w:w="1359"/>
        <w:gridCol w:w="7330"/>
        <w:gridCol w:w="1033"/>
      </w:tblGrid>
      <w:tr>
        <w:trPr>
          <w:cantSplit/>
          <w:tblHeader/>
        </w:trPr>
        <w:tc>
          <w:tcPr>
            <w:tcW w:type="dxa" w:w="745"/>
            <w:shd w:val="clear" w:color="auto" w:fill="111113"/>
          </w:tcPr>
          <w:p>
            <w:r>
              <w:rPr>
                <w:b/>
                <w:color w:val="FFFFFF"/>
                <w:sz w:val="17"/>
              </w:rPr>
            </w:r>
            <w:r>
              <w:rPr>
                <w:b/>
                <w:color w:val="FFFFFF"/>
                <w:sz w:val="17"/>
              </w:rPr>
              <w:t>Key</w:t>
            </w:r>
          </w:p>
        </w:tc>
        <w:tc>
          <w:tcPr>
            <w:tcW w:type="dxa" w:w="1359"/>
            <w:shd w:val="clear" w:color="auto" w:fill="111113"/>
          </w:tcPr>
          <w:p>
            <w:r>
              <w:rPr>
                <w:b/>
                <w:color w:val="FFFFFF"/>
                <w:sz w:val="17"/>
              </w:rPr>
            </w:r>
            <w:r>
              <w:rPr>
                <w:b/>
                <w:color w:val="FFFFFF"/>
                <w:sz w:val="17"/>
              </w:rPr>
              <w:t>Instrument</w:t>
            </w:r>
          </w:p>
        </w:tc>
        <w:tc>
          <w:tcPr>
            <w:tcW w:type="dxa" w:w="7330"/>
            <w:shd w:val="clear" w:color="auto" w:fill="111113"/>
          </w:tcPr>
          <w:p>
            <w:r>
              <w:rPr>
                <w:b/>
                <w:color w:val="FFFFFF"/>
                <w:sz w:val="17"/>
              </w:rPr>
            </w:r>
            <w:r>
              <w:rPr>
                <w:b/>
                <w:color w:val="FFFFFF"/>
                <w:sz w:val="17"/>
              </w:rPr>
              <w:t>Requirement (as read on the check date)</w:t>
            </w:r>
          </w:p>
        </w:tc>
        <w:tc>
          <w:tcPr>
            <w:tcW w:type="dxa" w:w="1033"/>
            <w:shd w:val="clear" w:color="auto" w:fill="111113"/>
          </w:tcPr>
          <w:p>
            <w:r>
              <w:rPr>
                <w:b/>
                <w:color w:val="FFFFFF"/>
                <w:sz w:val="17"/>
              </w:rPr>
            </w:r>
            <w:r>
              <w:rPr>
                <w:b/>
                <w:color w:val="FFFFFF"/>
                <w:sz w:val="17"/>
              </w:rPr>
              <w:t>Checked</w:t>
            </w:r>
          </w:p>
        </w:tc>
      </w:tr>
      <w:tr>
        <w:trPr/>
        <w:tc>
          <w:tcPr>
            <w:tcW w:type="dxa" w:w="745"/>
          </w:tcPr>
          <w:p>
            <w:r>
              <w:rPr>
                <w:sz w:val="17"/>
              </w:rPr>
            </w:r>
            <w:r>
              <w:rPr>
                <w:sz w:val="17"/>
              </w:rPr>
              <w:t>ED-DM-9-1-1</w:t>
            </w:r>
          </w:p>
        </w:tc>
        <w:tc>
          <w:tcPr>
            <w:tcW w:type="dxa" w:w="1359"/>
          </w:tcPr>
          <w:p>
            <w:r>
              <w:rPr>
                <w:sz w:val="17"/>
              </w:rPr>
            </w:r>
            <w:r>
              <w:rPr>
                <w:sz w:val="17"/>
              </w:rPr>
              <w:t>DM circular (9-1-1) of 2021, dated 23 Aug 2021, applying BIM</w:t>
            </w:r>
          </w:p>
        </w:tc>
        <w:tc>
          <w:tcPr>
            <w:tcW w:type="dxa" w:w="7330"/>
          </w:tcPr>
          <w:p>
            <w:r>
              <w:rPr>
                <w:sz w:val="17"/>
              </w:rPr>
            </w:r>
            <w:r>
              <w:rPr>
                <w:sz w:val="17"/>
              </w:rPr>
              <w:t>BIM for the architectural and mechanical works of: buildings over 20 floors; complexes and buildings over 200,000 sq ft; specialised buildings such as hospitals and universities; all government projects; all projects submitted by a foreign office subsidiary. BIM for the structural works of: buildings over 40 floors; over 300,000 sq ft; specialised buildings; buildings submitted by a foreign office subsidiary (</w:t>
            </w:r>
            <w:r>
              <w:rPr>
                <w:color w:val="9A7B45"/>
                <w:sz w:val="17"/>
                <w:u w:val="single"/>
              </w:rPr>
              <w:t>O-DEC-153</w:t>
            </w:r>
            <w:r>
              <w:rPr>
                <w:sz w:val="17"/>
              </w:rPr>
              <w:t>). This is the BIM-use scope; the permit-submission scope is 9-1-2 and 9-1-3</w:t>
            </w:r>
          </w:p>
        </w:tc>
        <w:tc>
          <w:tcPr>
            <w:tcW w:type="dxa" w:w="1033"/>
          </w:tcPr>
          <w:p>
            <w:r>
              <w:rPr>
                <w:sz w:val="17"/>
              </w:rPr>
            </w:r>
            <w:r>
              <w:rPr>
                <w:sz w:val="17"/>
              </w:rPr>
              <w:t>2026-11-05</w:t>
            </w:r>
          </w:p>
        </w:tc>
      </w:tr>
      <w:tr>
        <w:trPr>
          <w:cantSplit/>
        </w:trPr>
        <w:tc>
          <w:tcPr>
            <w:tcW w:type="dxa" w:w="745"/>
          </w:tcPr>
          <w:p>
            <w:r>
              <w:rPr>
                <w:sz w:val="17"/>
              </w:rPr>
            </w:r>
            <w:r>
              <w:rPr>
                <w:sz w:val="17"/>
              </w:rPr>
              <w:t>ED-DM-9-1-2</w:t>
            </w:r>
          </w:p>
        </w:tc>
        <w:tc>
          <w:tcPr>
            <w:tcW w:type="dxa" w:w="1359"/>
          </w:tcPr>
          <w:p>
            <w:r>
              <w:rPr>
                <w:sz w:val="17"/>
              </w:rPr>
            </w:r>
            <w:r>
              <w:rPr>
                <w:sz w:val="17"/>
              </w:rPr>
              <w:t>DM circular (9-1-2), 13 Oct 2023</w:t>
            </w:r>
          </w:p>
        </w:tc>
        <w:tc>
          <w:tcPr>
            <w:tcW w:type="dxa" w:w="7330"/>
          </w:tcPr>
          <w:p>
            <w:r>
              <w:rPr>
                <w:sz w:val="17"/>
              </w:rPr>
            </w:r>
            <w:r>
              <w:rPr>
                <w:sz w:val="17"/>
              </w:rPr>
              <w:t>From 1 Jan 2024, Open BIM submission per the Dubai BIM Standard with new building permits for: buildings over 20 floors (architectural) or over 40 floors (structural); over 20,000 m² (architectural) or over 30,000 m² (structural); specialised buildings (e.g. hospitals, universities); government projects except utility projects. BIM runs in parallel with the drawings</w:t>
            </w:r>
          </w:p>
        </w:tc>
        <w:tc>
          <w:tcPr>
            <w:tcW w:type="dxa" w:w="1033"/>
          </w:tcPr>
          <w:p>
            <w:r>
              <w:rPr>
                <w:sz w:val="17"/>
              </w:rPr>
            </w:r>
            <w:r>
              <w:rPr>
                <w:sz w:val="17"/>
              </w:rPr>
              <w:t>2026-11-04</w:t>
            </w:r>
          </w:p>
        </w:tc>
      </w:tr>
      <w:tr>
        <w:trPr/>
        <w:tc>
          <w:tcPr>
            <w:tcW w:type="dxa" w:w="745"/>
          </w:tcPr>
          <w:p>
            <w:r>
              <w:rPr>
                <w:sz w:val="17"/>
              </w:rPr>
            </w:r>
            <w:r>
              <w:rPr>
                <w:sz w:val="17"/>
              </w:rPr>
              <w:t>ED-DM-9-1-3</w:t>
            </w:r>
          </w:p>
        </w:tc>
        <w:tc>
          <w:tcPr>
            <w:tcW w:type="dxa" w:w="1359"/>
          </w:tcPr>
          <w:p>
            <w:r>
              <w:rPr>
                <w:sz w:val="17"/>
              </w:rPr>
            </w:r>
            <w:r>
              <w:rPr>
                <w:sz w:val="17"/>
              </w:rPr>
              <w:t>DM circular (9-1-3), dated 15 Jan 2026, effective 1 Apr 2026</w:t>
            </w:r>
          </w:p>
        </w:tc>
        <w:tc>
          <w:tcPr>
            <w:tcW w:type="dxa" w:w="7330"/>
          </w:tcPr>
          <w:p>
            <w:r>
              <w:rPr>
                <w:sz w:val="17"/>
              </w:rPr>
            </w:r>
            <w:r>
              <w:rPr>
                <w:sz w:val="17"/>
              </w:rPr>
              <w:t>Architectural and structural BIM with the permit for new buildings above G+12 or of 15,000 m² or more. BIM with the application for licensed alterations: adding or removing floors, adding 1,500 m² or more, full redesign, change of main use, relocation on the plot. Other alterations: final (as-built) BIM before the completion certificate. BIM is submitted with the drawings, and the drawings must be extracted from the model</w:t>
            </w:r>
          </w:p>
        </w:tc>
        <w:tc>
          <w:tcPr>
            <w:tcW w:type="dxa" w:w="1033"/>
          </w:tcPr>
          <w:p>
            <w:r>
              <w:rPr>
                <w:sz w:val="17"/>
              </w:rPr>
            </w:r>
            <w:r>
              <w:rPr>
                <w:sz w:val="17"/>
              </w:rPr>
              <w:t>2026-11-04</w:t>
            </w:r>
          </w:p>
        </w:tc>
      </w:tr>
      <w:tr>
        <w:trPr/>
        <w:tc>
          <w:tcPr>
            <w:tcW w:type="dxa" w:w="745"/>
          </w:tcPr>
          <w:p>
            <w:r>
              <w:rPr>
                <w:sz w:val="17"/>
              </w:rPr>
            </w:r>
            <w:r>
              <w:rPr>
                <w:sz w:val="17"/>
              </w:rPr>
              <w:t>ED-DUBAI-BIM-STD</w:t>
            </w:r>
          </w:p>
        </w:tc>
        <w:tc>
          <w:tcPr>
            <w:tcW w:type="dxa" w:w="1359"/>
          </w:tcPr>
          <w:p>
            <w:r>
              <w:rPr>
                <w:sz w:val="17"/>
              </w:rPr>
            </w:r>
            <w:r>
              <w:rPr>
                <w:sz w:val="17"/>
              </w:rPr>
              <w:t>Dubai BIM Standard, Version 1.4 (changelog 8 Jun 2026), named by 9-1-2 and 9-1-3</w:t>
            </w:r>
          </w:p>
        </w:tc>
        <w:tc>
          <w:tcPr>
            <w:tcW w:type="dxa" w:w="7330"/>
          </w:tcPr>
          <w:p>
            <w:r>
              <w:rPr>
                <w:sz w:val="17"/>
              </w:rPr>
            </w:r>
            <w:r>
              <w:rPr>
                <w:sz w:val="17"/>
              </w:rPr>
              <w:t>IFC4 schema, .ifc files (§6.1.1), exported with the authority Revit setup "Dubai BIM E-Submission (IFC4)Reference View"; attributes per Appendix B Model Attribute Matrix issued with 1.4 (file 5 Jun 2026; BIMStandardVersion = 1.4.0), elements per Appendix A, usage codes per Appendix C, DM IDS DMBIM_IDS_V1; geo-referenced to EPSG:3997 with DMD elevations (§4.1.2, §7.7); one ZIP within the platform maximum (150 MB per the changelog); drawings generated from the model (</w:t>
            </w:r>
            <w:r>
              <w:rPr>
                <w:color w:val="9A7B45"/>
                <w:sz w:val="17"/>
                <w:u w:val="single"/>
              </w:rPr>
              <w:t>O-DEC-154</w:t>
            </w:r>
            <w:r>
              <w:rPr>
                <w:sz w:val="17"/>
              </w:rPr>
              <w:t>)</w:t>
            </w:r>
          </w:p>
        </w:tc>
        <w:tc>
          <w:tcPr>
            <w:tcW w:type="dxa" w:w="1033"/>
          </w:tcPr>
          <w:p>
            <w:r>
              <w:rPr>
                <w:sz w:val="17"/>
              </w:rPr>
            </w:r>
            <w:r>
              <w:rPr>
                <w:sz w:val="17"/>
              </w:rPr>
              <w:t>2026-11-05</w:t>
            </w:r>
          </w:p>
        </w:tc>
      </w:tr>
    </w:tbl>
    <w:p/>
    <w:p>
      <w:pPr/>
      <w:r>
        <w:rPr>
          <w:b/>
        </w:rPr>
        <w:t>Trigger record.</w:t>
      </w:r>
      <w:r>
        <w:t xml:space="preserve"> For each Dubai submission record storeys, GFA, use (specialised / government), scope type and alteration type, then the outcome "BIM with permit", "BIM with alteration application", "final BIM before completion certificate" or "no BIM duty", with the circular key that gives it. Where 9-1-2 and 9-1-3 both apply, record both and follow the wider scope.</w:t>
      </w:r>
    </w:p>
    <w:p>
      <w:pPr/>
      <w:r>
        <w:rPr>
          <w:b/>
        </w:rPr>
        <w:t>Model and exports.</w:t>
      </w:r>
      <w:r>
        <w:t xml:space="preserve"> Neither circular states an IFC version; the Dubai BIM Standard 1.4 does: IFC4 (</w:t>
      </w:r>
      <w:r>
        <w:rPr>
          <w:color w:val="9A7B45"/>
          <w:u w:val="single"/>
        </w:rPr>
        <w:t>O-DEC-154</w:t>
      </w:r>
      <w:r>
        <w:t xml:space="preserve">; O-DEC-105: authority submissions use the schema stated by the authority). It is recorded in BEP §7.4 as exchange EX-P06 and re-checked at project start and before each submission. The office export preset is </w:t>
      </w:r>
      <w:r>
        <w:rPr>
          <w:rFonts w:ascii="JetBrains Mono" w:hAnsi="JetBrains Mono"/>
        </w:rPr>
        <w:t>EXP-DM-PERMIT-IFC4-&lt;rev&gt;</w:t>
      </w:r>
      <w:r>
        <w:t xml:space="preserve">, built on the authority setup "Dubai BIM E-Submission (IFC4)Reference View" (template file "Dubai BIM E-Submission_Template_Revit 2023.rte", property-set and parameter-mapping files from the same package), each held with its mapping file and hash in </w:t>
      </w:r>
      <w:r>
        <w:rPr>
          <w:color w:val="9A7B45"/>
          <w:u w:val="single"/>
        </w:rPr>
        <w:t>BBM-STD-65</w:t>
      </w:r>
      <w:r>
        <w:t xml:space="preserve"> and tested in the qualified Revit build (</w:t>
      </w:r>
      <w:r>
        <w:rPr>
          <w:color w:val="9A7B45"/>
          <w:u w:val="single"/>
        </w:rPr>
        <w:t>BBM-STD-91</w:t>
      </w:r>
      <w:r>
        <w:t xml:space="preserve">). Permit attributes follow the matrix issued with that standard and map to office PropertyIDs in </w:t>
      </w:r>
      <w:r>
        <w:rPr>
          <w:color w:val="9A7B45"/>
          <w:u w:val="single"/>
        </w:rPr>
        <w:t>BBM-STD-72</w:t>
      </w:r>
      <w:r>
        <w:t xml:space="preserve"> (mapping profile "DM permit"); the matrix is recorded as "Appendix B, Dubai BIM Standard 1.4" with its file date. The IFC files go in one ZIP within the platform maximum (150 MB in the 1.4 changelog; the portal value at submission governs).</w:t>
      </w:r>
    </w:p>
    <w:p>
      <w:pPr/>
      <w:r>
        <w:rPr>
          <w:b/>
        </w:rPr>
        <w:t>Drawings from the model.</w:t>
      </w:r>
      <w:r>
        <w:t xml:space="preserve"> Permit sheets are generated from the submitted model revision; detached 2D sheets are not used for the permit set (</w:t>
      </w:r>
      <w:r>
        <w:rPr>
          <w:color w:val="9A7B45"/>
          <w:u w:val="single"/>
        </w:rPr>
        <w:t>BBM-STD-67</w:t>
      </w:r>
      <w:r>
        <w:t>). The sheet index records model container ID, revision and hash per sheet.</w:t>
      </w:r>
    </w:p>
    <w:p>
      <w:pPr/>
      <w:r>
        <w:rPr>
          <w:b/>
        </w:rPr>
        <w:t>Portal.</w:t>
      </w:r>
      <w:r>
        <w:t xml:space="preserve"> The circulars name buildindubai.gov.ae/bim (BIM/E-Checking service, reachable 2026-11-05; downloads: Dubai BIM Standards package, Roadmap, samples). Confirm uploader eligibility and the service checklist at project start.</w:t>
      </w:r>
    </w:p>
    <w:p>
      <w:pPr/>
      <w:r>
        <w:rPr>
          <w:b/>
        </w:rPr>
        <w:t>Evidence per submission.</w:t>
      </w:r>
      <w:r>
        <w:t xml:space="preserve"> Portal receipt (reference, date, uploader), portal validation result, authority comments and their closure, the exact IFC and drawing set submitted (container IDs, revisions, hashes), the export setup and matrix revision used, and the authority decision. A receipt proves upload only (BBM-STD-57 §4). Federation for the permit model uses the same export setup and the CRS record from BBM-STD-86 (</w:t>
      </w:r>
      <w:r>
        <w:rPr>
          <w:color w:val="9A7B45"/>
          <w:u w:val="single"/>
        </w:rPr>
        <w:t>BBM-STD-64</w:t>
      </w:r>
      <w:r>
        <w:t>); clash evidence is kept with the submission.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5806"/>
        <w:gridCol w:w="4660"/>
      </w:tblGrid>
      <w:tr>
        <w:trPr>
          <w:cantSplit/>
          <w:tblHeader/>
        </w:trPr>
        <w:tc>
          <w:tcPr>
            <w:tcW w:type="dxa" w:w="5806"/>
            <w:shd w:val="clear" w:color="auto" w:fill="111113"/>
          </w:tcPr>
          <w:p>
            <w:r>
              <w:rPr>
                <w:b/>
                <w:color w:val="FFFFFF"/>
                <w:sz w:val="17"/>
              </w:rPr>
            </w:r>
            <w:r>
              <w:rPr>
                <w:b/>
                <w:color w:val="FFFFFF"/>
                <w:sz w:val="17"/>
              </w:rPr>
              <w:t>Office record</w:t>
            </w:r>
          </w:p>
        </w:tc>
        <w:tc>
          <w:tcPr>
            <w:tcW w:type="dxa" w:w="4660"/>
            <w:shd w:val="clear" w:color="auto" w:fill="111113"/>
          </w:tcPr>
          <w:p>
            <w:r>
              <w:rPr>
                <w:b/>
                <w:color w:val="FFFFFF"/>
                <w:sz w:val="17"/>
              </w:rPr>
            </w:r>
            <w:r>
              <w:rPr>
                <w:b/>
                <w:color w:val="FFFFFF"/>
                <w:sz w:val="17"/>
              </w:rPr>
              <w:t>Where it lives</w:t>
            </w:r>
          </w:p>
        </w:tc>
      </w:tr>
      <w:tr>
        <w:trPr>
          <w:cantSplit/>
        </w:trPr>
        <w:tc>
          <w:tcPr>
            <w:tcW w:type="dxa" w:w="5806"/>
          </w:tcPr>
          <w:p>
            <w:r>
              <w:rPr>
                <w:sz w:val="17"/>
              </w:rPr>
            </w:r>
            <w:r>
              <w:rPr>
                <w:sz w:val="17"/>
              </w:rPr>
              <w:t>BIM use "Authority submission (e-permit)"</w:t>
            </w:r>
          </w:p>
        </w:tc>
        <w:tc>
          <w:tcPr>
            <w:tcW w:type="dxa" w:w="4660"/>
          </w:tcPr>
          <w:p>
            <w:r>
              <w:rPr>
                <w:sz w:val="17"/>
              </w:rPr>
            </w:r>
            <w:r>
              <w:rPr>
                <w:sz w:val="17"/>
              </w:rPr>
              <w:t xml:space="preserve">BEP §3.2; </w:t>
            </w:r>
            <w:r>
              <w:rPr>
                <w:color w:val="9A7B45"/>
                <w:sz w:val="17"/>
                <w:u w:val="single"/>
              </w:rPr>
              <w:t>Glossary</w:t>
            </w:r>
            <w:r>
              <w:rPr>
                <w:sz w:val="17"/>
              </w:rPr>
              <w:t xml:space="preserve"> term "Dubai BIM permit submission"</w:t>
            </w:r>
          </w:p>
        </w:tc>
      </w:tr>
      <w:tr>
        <w:trPr>
          <w:cantSplit/>
        </w:trPr>
        <w:tc>
          <w:tcPr>
            <w:tcW w:type="dxa" w:w="5806"/>
          </w:tcPr>
          <w:p>
            <w:r>
              <w:rPr>
                <w:sz w:val="17"/>
              </w:rPr>
            </w:r>
            <w:r>
              <w:rPr>
                <w:sz w:val="17"/>
              </w:rPr>
              <w:t>Exchange EX-P06 and the IDS for permit attributes</w:t>
            </w:r>
          </w:p>
        </w:tc>
        <w:tc>
          <w:tcPr>
            <w:tcW w:type="dxa" w:w="4660"/>
          </w:tcPr>
          <w:p>
            <w:r>
              <w:rPr>
                <w:sz w:val="17"/>
              </w:rPr>
            </w:r>
            <w:r>
              <w:rPr>
                <w:sz w:val="17"/>
              </w:rPr>
              <w:t xml:space="preserve">BEP §7.4; </w:t>
            </w:r>
            <w:r>
              <w:rPr>
                <w:color w:val="9A7B45"/>
                <w:sz w:val="17"/>
                <w:u w:val="single"/>
              </w:rPr>
              <w:t>BBM-STD-54</w:t>
            </w:r>
            <w:r>
              <w:rPr>
                <w:sz w:val="17"/>
              </w:rPr>
              <w:t xml:space="preserve">; </w:t>
            </w:r>
            <w:r>
              <w:rPr>
                <w:color w:val="9A7B45"/>
                <w:sz w:val="17"/>
                <w:u w:val="single"/>
              </w:rPr>
              <w:t>BBM-STD-74</w:t>
            </w:r>
            <w:r>
              <w:rPr>
                <w:sz w:val="17"/>
              </w:rPr>
              <w:t xml:space="preserve">; </w:t>
            </w:r>
            <w:r>
              <w:rPr>
                <w:color w:val="9A7B45"/>
                <w:sz w:val="17"/>
                <w:u w:val="single"/>
              </w:rPr>
              <w:t>BBM-STD-89</w:t>
            </w:r>
          </w:p>
        </w:tc>
      </w:tr>
      <w:tr>
        <w:trPr>
          <w:cantSplit/>
        </w:trPr>
        <w:tc>
          <w:tcPr>
            <w:tcW w:type="dxa" w:w="5806"/>
          </w:tcPr>
          <w:p>
            <w:r>
              <w:rPr>
                <w:sz w:val="17"/>
              </w:rPr>
            </w:r>
            <w:r>
              <w:rPr>
                <w:sz w:val="17"/>
              </w:rPr>
              <w:t>PIR row PIR-AUTH (threshold test, profile, milestone, owner)</w:t>
            </w:r>
          </w:p>
        </w:tc>
        <w:tc>
          <w:tcPr>
            <w:tcW w:type="dxa" w:w="4660"/>
          </w:tcPr>
          <w:p>
            <w:r>
              <w:rPr>
                <w:sz w:val="17"/>
              </w:rPr>
            </w:r>
            <w:r>
              <w:rPr>
                <w:color w:val="9A7B45"/>
                <w:sz w:val="17"/>
                <w:u w:val="single"/>
              </w:rPr>
              <w:t>BBM-STD-53</w:t>
            </w:r>
          </w:p>
        </w:tc>
      </w:tr>
      <w:tr>
        <w:trPr>
          <w:cantSplit/>
        </w:trPr>
        <w:tc>
          <w:tcPr>
            <w:tcW w:type="dxa" w:w="5806"/>
          </w:tcPr>
          <w:p>
            <w:r>
              <w:rPr>
                <w:sz w:val="17"/>
              </w:rPr>
            </w:r>
            <w:r>
              <w:rPr>
                <w:sz w:val="17"/>
              </w:rPr>
              <w:t>Delivery rows with AuthoritySubmissionID</w:t>
            </w:r>
          </w:p>
        </w:tc>
        <w:tc>
          <w:tcPr>
            <w:tcW w:type="dxa" w:w="4660"/>
          </w:tcPr>
          <w:p>
            <w:r>
              <w:rPr>
                <w:sz w:val="17"/>
              </w:rPr>
            </w:r>
            <w:r>
              <w:rPr>
                <w:color w:val="9A7B45"/>
                <w:sz w:val="17"/>
                <w:u w:val="single"/>
              </w:rPr>
              <w:t>MIDP</w:t>
            </w:r>
            <w:r>
              <w:rPr>
                <w:sz w:val="17"/>
              </w:rPr>
              <w:t xml:space="preserve">, </w:t>
            </w:r>
            <w:r>
              <w:rPr>
                <w:color w:val="9A7B45"/>
                <w:sz w:val="17"/>
                <w:u w:val="single"/>
              </w:rPr>
              <w:t>TIDP</w:t>
            </w:r>
          </w:p>
        </w:tc>
      </w:tr>
      <w:tr>
        <w:trPr>
          <w:cantSplit/>
        </w:trPr>
        <w:tc>
          <w:tcPr>
            <w:tcW w:type="dxa" w:w="5806"/>
          </w:tcPr>
          <w:p>
            <w:r>
              <w:rPr>
                <w:sz w:val="17"/>
              </w:rPr>
            </w:r>
            <w:r>
              <w:rPr>
                <w:sz w:val="17"/>
              </w:rPr>
              <w:t>Training module (permit export, attribute check, drawings from model, Abu Dhabi routes)</w:t>
            </w:r>
          </w:p>
        </w:tc>
        <w:tc>
          <w:tcPr>
            <w:tcW w:type="dxa" w:w="4660"/>
          </w:tcPr>
          <w:p>
            <w:r>
              <w:rPr>
                <w:sz w:val="17"/>
              </w:rPr>
            </w:r>
            <w:r>
              <w:rPr>
                <w:color w:val="9A7B45"/>
                <w:sz w:val="17"/>
                <w:u w:val="single"/>
              </w:rPr>
              <w:t>BBM-STD-82</w:t>
            </w:r>
          </w:p>
        </w:tc>
      </w:tr>
    </w:tbl>
    <w:p/>
    <w:p>
      <w:pPr>
        <w:pStyle w:val="Heading1"/>
      </w:pPr>
      <w:r>
        <w:t>4 Dubai building code and building law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611"/>
        <w:gridCol w:w="2312"/>
        <w:gridCol w:w="6484"/>
        <w:gridCol w:w="1058"/>
      </w:tblGrid>
      <w:tr>
        <w:trPr>
          <w:cantSplit/>
          <w:tblHeader/>
        </w:trPr>
        <w:tc>
          <w:tcPr>
            <w:tcW w:type="dxa" w:w="611"/>
            <w:shd w:val="clear" w:color="auto" w:fill="111113"/>
          </w:tcPr>
          <w:p>
            <w:r>
              <w:rPr>
                <w:b/>
                <w:color w:val="FFFFFF"/>
                <w:sz w:val="17"/>
              </w:rPr>
            </w:r>
            <w:r>
              <w:rPr>
                <w:b/>
                <w:color w:val="FFFFFF"/>
                <w:sz w:val="17"/>
              </w:rPr>
              <w:t>Key</w:t>
            </w:r>
          </w:p>
        </w:tc>
        <w:tc>
          <w:tcPr>
            <w:tcW w:type="dxa" w:w="2312"/>
            <w:shd w:val="clear" w:color="auto" w:fill="111113"/>
          </w:tcPr>
          <w:p>
            <w:r>
              <w:rPr>
                <w:b/>
                <w:color w:val="FFFFFF"/>
                <w:sz w:val="17"/>
              </w:rPr>
            </w:r>
            <w:r>
              <w:rPr>
                <w:b/>
                <w:color w:val="FFFFFF"/>
                <w:sz w:val="17"/>
              </w:rPr>
              <w:t>Instrument</w:t>
            </w:r>
          </w:p>
        </w:tc>
        <w:tc>
          <w:tcPr>
            <w:tcW w:type="dxa" w:w="6484"/>
            <w:shd w:val="clear" w:color="auto" w:fill="111113"/>
          </w:tcPr>
          <w:p>
            <w:r>
              <w:rPr>
                <w:b/>
                <w:color w:val="FFFFFF"/>
                <w:sz w:val="17"/>
              </w:rPr>
            </w:r>
            <w:r>
              <w:rPr>
                <w:b/>
                <w:color w:val="FFFFFF"/>
                <w:sz w:val="17"/>
              </w:rPr>
              <w:t>Office rule</w:t>
            </w:r>
          </w:p>
        </w:tc>
        <w:tc>
          <w:tcPr>
            <w:tcW w:type="dxa" w:w="1058"/>
            <w:shd w:val="clear" w:color="auto" w:fill="111113"/>
          </w:tcPr>
          <w:p>
            <w:r>
              <w:rPr>
                <w:b/>
                <w:color w:val="FFFFFF"/>
                <w:sz w:val="17"/>
              </w:rPr>
            </w:r>
            <w:r>
              <w:rPr>
                <w:b/>
                <w:color w:val="FFFFFF"/>
                <w:sz w:val="17"/>
              </w:rPr>
              <w:t>Checked</w:t>
            </w:r>
          </w:p>
        </w:tc>
      </w:tr>
      <w:tr>
        <w:trPr/>
        <w:tc>
          <w:tcPr>
            <w:tcW w:type="dxa" w:w="611"/>
          </w:tcPr>
          <w:p>
            <w:r>
              <w:rPr>
                <w:sz w:val="17"/>
              </w:rPr>
            </w:r>
            <w:r>
              <w:rPr>
                <w:sz w:val="17"/>
              </w:rPr>
              <w:t>ED-DBC</w:t>
            </w:r>
          </w:p>
        </w:tc>
        <w:tc>
          <w:tcPr>
            <w:tcW w:type="dxa" w:w="2312"/>
          </w:tcPr>
          <w:p>
            <w:r>
              <w:rPr>
                <w:sz w:val="17"/>
              </w:rPr>
            </w:r>
            <w:r>
              <w:rPr>
                <w:sz w:val="17"/>
              </w:rPr>
              <w:t>Dubai Building Code, Decree 45/​2021, as amended by DM Administrative Resolution No. 225 of 2024 "amending some building specifications in the DBC" (issued 16 Jul 2024, published 13 Aug 2024, in force 30 days after publication)</w:t>
            </w:r>
          </w:p>
        </w:tc>
        <w:tc>
          <w:tcPr>
            <w:tcW w:type="dxa" w:w="6484"/>
          </w:tcPr>
          <w:p>
            <w:r>
              <w:rPr>
                <w:sz w:val="17"/>
              </w:rPr>
            </w:r>
            <w:r>
              <w:rPr>
                <w:sz w:val="17"/>
              </w:rPr>
              <w:t>Apply the DBC plus all DM amending resolutions in force at permit submission. AR 225/​2024 applies only to plots of 250 m² or less and their building, and permits: (1) no lifts where the building is G+2 or lower with 100 occupants or fewer; (2) ground-floor lift lobby width 1.8 m; (3) typical-floor corridor and lift lobby width 1.5 m; (4) one shared WC per shop of 100 m² or less, or grouped shop WCs per the DBC; (5) no bulky-waste area; (6) no recycling area in the refuse room; (7) no extra 300 mm parking-bay width beside columns and walls, the DBC minimum clear bay still applying (</w:t>
            </w:r>
            <w:r>
              <w:rPr>
                <w:color w:val="9A7B45"/>
                <w:sz w:val="17"/>
                <w:u w:val="single"/>
              </w:rPr>
              <w:t>O-DEC-155</w:t>
            </w:r>
            <w:r>
              <w:rPr>
                <w:sz w:val="17"/>
              </w:rPr>
              <w:t>). It names parameters, not clause numbers: record the DBC clause per item at project start. The Arabic text prevails</w:t>
            </w:r>
          </w:p>
        </w:tc>
        <w:tc>
          <w:tcPr>
            <w:tcW w:type="dxa" w:w="1058"/>
          </w:tcPr>
          <w:p>
            <w:r>
              <w:rPr>
                <w:sz w:val="17"/>
              </w:rPr>
            </w:r>
            <w:r>
              <w:rPr>
                <w:sz w:val="17"/>
              </w:rPr>
              <w:t>2026-11-05</w:t>
            </w:r>
          </w:p>
        </w:tc>
      </w:tr>
      <w:tr>
        <w:trPr/>
        <w:tc>
          <w:tcPr>
            <w:tcW w:type="dxa" w:w="611"/>
          </w:tcPr>
          <w:p>
            <w:r>
              <w:rPr>
                <w:sz w:val="17"/>
              </w:rPr>
            </w:r>
            <w:r>
              <w:rPr>
                <w:sz w:val="17"/>
              </w:rPr>
              <w:t>ED-DXB-LAW-3-2026</w:t>
            </w:r>
          </w:p>
        </w:tc>
        <w:tc>
          <w:tcPr>
            <w:tcW w:type="dxa" w:w="2312"/>
          </w:tcPr>
          <w:p>
            <w:r>
              <w:rPr>
                <w:sz w:val="17"/>
              </w:rPr>
            </w:r>
            <w:r>
              <w:rPr>
                <w:sz w:val="17"/>
              </w:rPr>
              <w:t>Dubai Law No. 3 of 2026 on the Quality and Safety of Buildings (an emirate law, not federal); issued 27 Feb 2026; published in the Official Gazette issue 764 on 12 Mar 2026, in force from 11 May 2026 (60 days after publication) (</w:t>
            </w:r>
            <w:r>
              <w:rPr>
                <w:color w:val="9A7B45"/>
                <w:sz w:val="17"/>
                <w:u w:val="single"/>
              </w:rPr>
              <w:t>O-DEC-156</w:t>
            </w:r>
            <w:r>
              <w:rPr>
                <w:sz w:val="17"/>
              </w:rPr>
              <w:t>)</w:t>
            </w:r>
          </w:p>
        </w:tc>
        <w:tc>
          <w:tcPr>
            <w:tcW w:type="dxa" w:w="6484"/>
          </w:tcPr>
          <w:p>
            <w:r>
              <w:rPr>
                <w:sz w:val="17"/>
              </w:rPr>
            </w:r>
            <w:r>
              <w:rPr>
                <w:sz w:val="17"/>
              </w:rPr>
              <w:t xml:space="preserve">Asset-life obligation, not a design-permit rule. A Quality &amp; Safety Certificate is needed after 20 years from completion, valid 10 years (5 years if the building is 40 years or older), based on an engineering firm's inspection report. Buildings under 20 years old need periodic maintenance. Applies to all Dubai buildings, including free zones; handover and records follow </w:t>
            </w:r>
            <w:r>
              <w:rPr>
                <w:color w:val="9A7B45"/>
                <w:sz w:val="17"/>
                <w:u w:val="single"/>
              </w:rPr>
              <w:t>BBM-STD-75</w:t>
            </w:r>
            <w:r>
              <w:rPr>
                <w:sz w:val="17"/>
              </w:rPr>
              <w:t xml:space="preserve"> and </w:t>
            </w:r>
            <w:r>
              <w:rPr>
                <w:color w:val="9A7B45"/>
                <w:sz w:val="17"/>
                <w:u w:val="single"/>
              </w:rPr>
              <w:t>BBM-STD-76</w:t>
            </w:r>
            <w:r>
              <w:rPr>
                <w:sz w:val="17"/>
              </w:rPr>
              <w:t>. Applied by ED-DM-11-9-1 (next row)</w:t>
            </w:r>
          </w:p>
        </w:tc>
        <w:tc>
          <w:tcPr>
            <w:tcW w:type="dxa" w:w="1058"/>
          </w:tcPr>
          <w:p>
            <w:r>
              <w:rPr>
                <w:sz w:val="17"/>
              </w:rPr>
            </w:r>
            <w:r>
              <w:rPr>
                <w:sz w:val="17"/>
              </w:rPr>
              <w:t>2026-11-05</w:t>
            </w:r>
          </w:p>
        </w:tc>
      </w:tr>
      <w:tr>
        <w:trPr/>
        <w:tc>
          <w:tcPr>
            <w:tcW w:type="dxa" w:w="611"/>
          </w:tcPr>
          <w:p>
            <w:r>
              <w:rPr>
                <w:sz w:val="17"/>
              </w:rPr>
            </w:r>
            <w:r>
              <w:rPr>
                <w:sz w:val="17"/>
              </w:rPr>
              <w:t>ED-DM-11-9-1</w:t>
            </w:r>
          </w:p>
        </w:tc>
        <w:tc>
          <w:tcPr>
            <w:tcW w:type="dxa" w:w="2312"/>
          </w:tcPr>
          <w:p>
            <w:r>
              <w:rPr>
                <w:sz w:val="17"/>
              </w:rPr>
            </w:r>
            <w:r>
              <w:rPr>
                <w:sz w:val="17"/>
              </w:rPr>
              <w:t>DM circular (11-9-1) of 2026, dated 1 Oct 2026, applying Law No. 3 of 2026, with guidance manual "Building Quality and Safety Certificate" (11-9-1-1, May 2026); signed by the CEO of the Building Regulation and Permits Agency</w:t>
            </w:r>
          </w:p>
        </w:tc>
        <w:tc>
          <w:tcPr>
            <w:tcW w:type="dxa" w:w="6484"/>
          </w:tcPr>
          <w:p>
            <w:r>
              <w:rPr>
                <w:sz w:val="17"/>
              </w:rPr>
            </w:r>
            <w:r>
              <w:rPr>
                <w:sz w:val="17"/>
              </w:rPr>
              <w:t xml:space="preserve">(1) Owners of buildings completed 20 or more years ago, including in free zones and special development areas, obtain a Building Quality and Safety Certificate after a technical assessment against the DM technical checklist and remediation of any defects found. (2) Valid 10 years under 40 years since completion, 5 years at 40 or more; renewal in the last 90 days before expiry by the same procedure. (3) Phased: multi-storey buildings over 40 years old first, then the rest; DM notifies each owner with a deadline. (4) The owner appoints an engineering office licensed in Dubai whose classification matches the building height; every application goes through the Build in Dubai e-service. (5) Several buildings of one owner are scheduled by structural condition, age and area importance. (6) Checklist: structural safety; external cladding; windows, doors and guards in facades and common areas; electrical and mechanical installations in external and common areas; Civil Defence requirements; SIRA requirements; laboratory tests as needed. The Civil Defence and SIRA compliance certificates are mandatory attachments. (7) With defects: technical report with the defects, remediation methods, material specifications and duration; DM permit to start remediation; works by a contractor licensed in Dubai under the consultant's full supervision; then the final application. DM inspects before issuing (the manual also allows approval without a visit). The office's procedure as assessing engineering office is </w:t>
            </w:r>
            <w:r>
              <w:rPr>
                <w:color w:val="9A7B45"/>
                <w:sz w:val="17"/>
                <w:u w:val="single"/>
              </w:rPr>
              <w:t>BBM-STD-75</w:t>
            </w:r>
            <w:r>
              <w:rPr>
                <w:sz w:val="17"/>
              </w:rPr>
              <w:t xml:space="preserve"> §7 (</w:t>
            </w:r>
            <w:r>
              <w:rPr>
                <w:color w:val="9A7B45"/>
                <w:sz w:val="17"/>
                <w:u w:val="single"/>
              </w:rPr>
              <w:t>O-DEC-185</w:t>
            </w:r>
            <w:r>
              <w:rPr>
                <w:sz w:val="17"/>
              </w:rPr>
              <w:t>)</w:t>
            </w:r>
          </w:p>
        </w:tc>
        <w:tc>
          <w:tcPr>
            <w:tcW w:type="dxa" w:w="1058"/>
          </w:tcPr>
          <w:p>
            <w:r>
              <w:rPr>
                <w:sz w:val="17"/>
              </w:rPr>
            </w:r>
            <w:r>
              <w:rPr>
                <w:sz w:val="17"/>
              </w:rPr>
              <w:t>2026-11-05</w:t>
            </w:r>
          </w:p>
        </w:tc>
      </w:tr>
    </w:tbl>
    <w:p/>
    <w:p>
      <w:pPr/>
      <w:r>
        <w:t>BoD criteria that cite the DBC (structure, accessibility, area definitions) carry ED-DBC plus the clause, never "DBC 2021" alone. DBC criterion values stay in BBM-STD-12; this annex does not copy them.</w:t>
      </w:r>
    </w:p>
    <w:p>
      <w:pPr>
        <w:pStyle w:val="Heading1"/>
      </w:pPr>
      <w:r>
        <w:t>5 Fire and life safety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01"/>
        <w:gridCol w:w="1438"/>
        <w:gridCol w:w="6794"/>
        <w:gridCol w:w="1033"/>
      </w:tblGrid>
      <w:tr>
        <w:trPr>
          <w:cantSplit/>
          <w:tblHeader/>
        </w:trPr>
        <w:tc>
          <w:tcPr>
            <w:tcW w:type="dxa" w:w="1201"/>
            <w:shd w:val="clear" w:color="auto" w:fill="111113"/>
          </w:tcPr>
          <w:p>
            <w:r>
              <w:rPr>
                <w:b/>
                <w:color w:val="FFFFFF"/>
                <w:sz w:val="17"/>
              </w:rPr>
            </w:r>
            <w:r>
              <w:rPr>
                <w:b/>
                <w:color w:val="FFFFFF"/>
                <w:sz w:val="17"/>
              </w:rPr>
              <w:t>Key</w:t>
            </w:r>
          </w:p>
        </w:tc>
        <w:tc>
          <w:tcPr>
            <w:tcW w:type="dxa" w:w="1438"/>
            <w:shd w:val="clear" w:color="auto" w:fill="111113"/>
          </w:tcPr>
          <w:p>
            <w:r>
              <w:rPr>
                <w:b/>
                <w:color w:val="FFFFFF"/>
                <w:sz w:val="17"/>
              </w:rPr>
            </w:r>
            <w:r>
              <w:rPr>
                <w:b/>
                <w:color w:val="FFFFFF"/>
                <w:sz w:val="17"/>
              </w:rPr>
              <w:t>Instrument</w:t>
            </w:r>
          </w:p>
        </w:tc>
        <w:tc>
          <w:tcPr>
            <w:tcW w:type="dxa" w:w="6794"/>
            <w:shd w:val="clear" w:color="auto" w:fill="111113"/>
          </w:tcPr>
          <w:p>
            <w:r>
              <w:rPr>
                <w:b/>
                <w:color w:val="FFFFFF"/>
                <w:sz w:val="17"/>
              </w:rPr>
            </w:r>
            <w:r>
              <w:rPr>
                <w:b/>
                <w:color w:val="FFFFFF"/>
                <w:sz w:val="17"/>
              </w:rPr>
              <w:t>Office rule</w:t>
            </w:r>
          </w:p>
        </w:tc>
        <w:tc>
          <w:tcPr>
            <w:tcW w:type="dxa" w:w="1033"/>
            <w:shd w:val="clear" w:color="auto" w:fill="111113"/>
          </w:tcPr>
          <w:p>
            <w:r>
              <w:rPr>
                <w:b/>
                <w:color w:val="FFFFFF"/>
                <w:sz w:val="17"/>
              </w:rPr>
            </w:r>
            <w:r>
              <w:rPr>
                <w:b/>
                <w:color w:val="FFFFFF"/>
                <w:sz w:val="17"/>
              </w:rPr>
              <w:t>Checked</w:t>
            </w:r>
          </w:p>
        </w:tc>
      </w:tr>
      <w:tr>
        <w:trPr/>
        <w:tc>
          <w:tcPr>
            <w:tcW w:type="dxa" w:w="1201"/>
          </w:tcPr>
          <w:p>
            <w:r>
              <w:rPr>
                <w:sz w:val="17"/>
              </w:rPr>
            </w:r>
            <w:r>
              <w:rPr>
                <w:sz w:val="17"/>
              </w:rPr>
              <w:t>ED-UAE-FLS</w:t>
            </w:r>
          </w:p>
        </w:tc>
        <w:tc>
          <w:tcPr>
            <w:tcW w:type="dxa" w:w="1438"/>
          </w:tcPr>
          <w:p>
            <w:r>
              <w:rPr>
                <w:sz w:val="17"/>
              </w:rPr>
            </w:r>
            <w:r>
              <w:rPr>
                <w:sz w:val="17"/>
              </w:rPr>
              <w:t>UAE Fire &amp; Life Safety Code of Practice, September 2018 edition (current edition on the Dubai Civil Defence page)</w:t>
            </w:r>
          </w:p>
        </w:tc>
        <w:tc>
          <w:tcPr>
            <w:tcW w:type="dxa" w:w="6794"/>
          </w:tcPr>
          <w:p>
            <w:r>
              <w:rPr>
                <w:sz w:val="17"/>
              </w:rPr>
            </w:r>
            <w:r>
              <w:rPr>
                <w:sz w:val="17"/>
              </w:rPr>
              <w:t xml:space="preserve">Fire code = the 2018 edition plus the emirate fire authority's amendments current at project start (e.g. Abu Dhabi Civil Defence), checked on that authority's code page and circulars and recorded in BEP §1.12 (rule-based, </w:t>
            </w:r>
            <w:r>
              <w:rPr>
                <w:color w:val="9A7B45"/>
                <w:sz w:val="17"/>
                <w:u w:val="single"/>
              </w:rPr>
              <w:t>O-DEC-160</w:t>
            </w:r>
            <w:r>
              <w:rPr>
                <w:sz w:val="17"/>
              </w:rPr>
              <w:t>). Amendments are recorded per project from the authority's own text. Abu Dhabi: ADCDA Circular No. 3 of 2026 (12 Mar 2026, 54 decisions amending the 2018 edition) and an ADCDA smoke-management duct circular are reported by secondary sources; neither was found on adcda.gov.ae on 2026-11-05, so both are applied only from the ADCDA text obtained at project start</w:t>
            </w:r>
          </w:p>
        </w:tc>
        <w:tc>
          <w:tcPr>
            <w:tcW w:type="dxa" w:w="1033"/>
          </w:tcPr>
          <w:p>
            <w:r>
              <w:rPr>
                <w:sz w:val="17"/>
              </w:rPr>
            </w:r>
            <w:r>
              <w:rPr>
                <w:sz w:val="17"/>
              </w:rPr>
              <w:t>2026-11-05</w:t>
            </w:r>
          </w:p>
        </w:tc>
      </w:tr>
    </w:tbl>
    <w:p/>
    <w:p>
      <w:pPr/>
      <w:r>
        <w:t>Fire profile in BBM-STD-57 §3: fire authority, approved fire consultant route, NOC dependency (DEP-…F) and verification date. Fire-rated elements carry Fire_Rating (integer minutes), Fire_Rating_Standard and Fire_Rating_Source (O-DEC-119); the basis is this code plus the tested assembly. Fire-rated details and products need the authority's approved or listed product evidence. Room data carries the occupancy class and occupant-load source under this code, each with its BoD criterion ID. Handover includes the fire record group: system certificates, approved fire drawings and maintenance-contract evidence (BBM-STD-75).</w:t>
      </w:r>
    </w:p>
    <w:p>
      <w:pPr>
        <w:pStyle w:val="Heading1"/>
      </w:pPr>
      <w:r>
        <w:t>6 Abu Dhabi</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20"/>
        <w:gridCol w:w="2889"/>
        <w:gridCol w:w="5324"/>
        <w:gridCol w:w="1033"/>
      </w:tblGrid>
      <w:tr>
        <w:trPr>
          <w:cantSplit/>
          <w:tblHeader/>
        </w:trPr>
        <w:tc>
          <w:tcPr>
            <w:tcW w:type="dxa" w:w="1220"/>
            <w:shd w:val="clear" w:color="auto" w:fill="111113"/>
          </w:tcPr>
          <w:p>
            <w:r>
              <w:rPr>
                <w:b/>
                <w:color w:val="FFFFFF"/>
                <w:sz w:val="17"/>
              </w:rPr>
            </w:r>
            <w:r>
              <w:rPr>
                <w:b/>
                <w:color w:val="FFFFFF"/>
                <w:sz w:val="17"/>
              </w:rPr>
              <w:t>Key</w:t>
            </w:r>
          </w:p>
        </w:tc>
        <w:tc>
          <w:tcPr>
            <w:tcW w:type="dxa" w:w="2889"/>
            <w:shd w:val="clear" w:color="auto" w:fill="111113"/>
          </w:tcPr>
          <w:p>
            <w:r>
              <w:rPr>
                <w:b/>
                <w:color w:val="FFFFFF"/>
                <w:sz w:val="17"/>
              </w:rPr>
            </w:r>
            <w:r>
              <w:rPr>
                <w:b/>
                <w:color w:val="FFFFFF"/>
                <w:sz w:val="17"/>
              </w:rPr>
              <w:t>Instrument</w:t>
            </w:r>
          </w:p>
        </w:tc>
        <w:tc>
          <w:tcPr>
            <w:tcW w:type="dxa" w:w="5324"/>
            <w:shd w:val="clear" w:color="auto" w:fill="111113"/>
          </w:tcPr>
          <w:p>
            <w:r>
              <w:rPr>
                <w:b/>
                <w:color w:val="FFFFFF"/>
                <w:sz w:val="17"/>
              </w:rPr>
            </w:r>
            <w:r>
              <w:rPr>
                <w:b/>
                <w:color w:val="FFFFFF"/>
                <w:sz w:val="17"/>
              </w:rPr>
              <w:t>Office rule</w:t>
            </w:r>
          </w:p>
        </w:tc>
        <w:tc>
          <w:tcPr>
            <w:tcW w:type="dxa" w:w="1033"/>
            <w:shd w:val="clear" w:color="auto" w:fill="111113"/>
          </w:tcPr>
          <w:p>
            <w:r>
              <w:rPr>
                <w:b/>
                <w:color w:val="FFFFFF"/>
                <w:sz w:val="17"/>
              </w:rPr>
            </w:r>
            <w:r>
              <w:rPr>
                <w:b/>
                <w:color w:val="FFFFFF"/>
                <w:sz w:val="17"/>
              </w:rPr>
              <w:t>Checked</w:t>
            </w:r>
          </w:p>
        </w:tc>
      </w:tr>
      <w:tr>
        <w:trPr>
          <w:cantSplit/>
        </w:trPr>
        <w:tc>
          <w:tcPr>
            <w:tcW w:type="dxa" w:w="1220"/>
          </w:tcPr>
          <w:p>
            <w:r>
              <w:rPr>
                <w:sz w:val="17"/>
              </w:rPr>
            </w:r>
            <w:r>
              <w:rPr>
                <w:sz w:val="17"/>
              </w:rPr>
              <w:t>ED-ADIBC</w:t>
            </w:r>
          </w:p>
        </w:tc>
        <w:tc>
          <w:tcPr>
            <w:tcW w:type="dxa" w:w="2889"/>
          </w:tcPr>
          <w:p>
            <w:r>
              <w:rPr>
                <w:sz w:val="17"/>
              </w:rPr>
            </w:r>
            <w:r>
              <w:rPr>
                <w:sz w:val="17"/>
              </w:rPr>
              <w:t>Abu Dhabi International Building Codes, adopted by Executive Council Resolution 7C 26/​2013, effective 1 Oct 2013</w:t>
            </w:r>
          </w:p>
        </w:tc>
        <w:tc>
          <w:tcPr>
            <w:tcW w:type="dxa" w:w="5324"/>
          </w:tcPr>
          <w:p>
            <w:r>
              <w:rPr>
                <w:sz w:val="17"/>
              </w:rPr>
            </w:r>
            <w:r>
              <w:rPr>
                <w:sz w:val="17"/>
              </w:rPr>
              <w:t>The ADIBC edition published by DMT and in force at project start (2013 edition at 2026-11-05). A later edition is rule-based (</w:t>
            </w:r>
            <w:r>
              <w:rPr>
                <w:color w:val="9A7B45"/>
                <w:sz w:val="17"/>
                <w:u w:val="single"/>
              </w:rPr>
              <w:t>O-DEC-160</w:t>
            </w:r>
            <w:r>
              <w:rPr>
                <w:sz w:val="17"/>
              </w:rPr>
              <w:t>): checked on the DMT codes page at project start and recorded in BEP §1.12</w:t>
            </w:r>
          </w:p>
        </w:tc>
        <w:tc>
          <w:tcPr>
            <w:tcW w:type="dxa" w:w="1033"/>
          </w:tcPr>
          <w:p>
            <w:r>
              <w:rPr>
                <w:sz w:val="17"/>
              </w:rPr>
            </w:r>
            <w:r>
              <w:rPr>
                <w:sz w:val="17"/>
              </w:rPr>
              <w:t>2026-11-04</w:t>
            </w:r>
          </w:p>
        </w:tc>
      </w:tr>
      <w:tr>
        <w:trPr>
          <w:cantSplit/>
        </w:trPr>
        <w:tc>
          <w:tcPr>
            <w:tcW w:type="dxa" w:w="1220"/>
          </w:tcPr>
          <w:p>
            <w:r>
              <w:rPr>
                <w:sz w:val="17"/>
              </w:rPr>
            </w:r>
            <w:r>
              <w:rPr>
                <w:sz w:val="17"/>
              </w:rPr>
              <w:t>ED-ADM-BIM (CoP)</w:t>
            </w:r>
          </w:p>
        </w:tc>
        <w:tc>
          <w:tcPr>
            <w:tcW w:type="dxa" w:w="2889"/>
          </w:tcPr>
          <w:p>
            <w:r>
              <w:rPr>
                <w:sz w:val="17"/>
              </w:rPr>
            </w:r>
            <w:r>
              <w:rPr>
                <w:sz w:val="17"/>
              </w:rPr>
              <w:t>ADM BIM Code of Practice, October 2020 (cover v1, internal headers v1.1)</w:t>
            </w:r>
          </w:p>
        </w:tc>
        <w:tc>
          <w:tcPr>
            <w:tcW w:type="dxa" w:w="5324"/>
          </w:tcPr>
          <w:p>
            <w:r>
              <w:rPr>
                <w:sz w:val="17"/>
              </w:rPr>
            </w:r>
            <w:r>
              <w:rPr>
                <w:sz w:val="17"/>
              </w:rPr>
              <w:t>Apply only where the appointment or the municipality checklist requires it; confirm the scope stated on its cover per appointment. Its §3.3 requires the BEP to state datum, units, offsets, rotation and shared coordinates relative to the ADM GIS (BBM-STD-86)</w:t>
            </w:r>
          </w:p>
        </w:tc>
        <w:tc>
          <w:tcPr>
            <w:tcW w:type="dxa" w:w="1033"/>
          </w:tcPr>
          <w:p>
            <w:r>
              <w:rPr>
                <w:sz w:val="17"/>
              </w:rPr>
            </w:r>
            <w:r>
              <w:rPr>
                <w:sz w:val="17"/>
              </w:rPr>
              <w:t>2026-11-04</w:t>
            </w:r>
          </w:p>
        </w:tc>
      </w:tr>
      <w:tr>
        <w:trPr>
          <w:cantSplit/>
        </w:trPr>
        <w:tc>
          <w:tcPr>
            <w:tcW w:type="dxa" w:w="1220"/>
          </w:tcPr>
          <w:p>
            <w:r>
              <w:rPr>
                <w:sz w:val="17"/>
              </w:rPr>
            </w:r>
            <w:r>
              <w:rPr>
                <w:sz w:val="17"/>
              </w:rPr>
              <w:t>ED-ADM-BIM (Guidelines)</w:t>
            </w:r>
          </w:p>
        </w:tc>
        <w:tc>
          <w:tcPr>
            <w:tcW w:type="dxa" w:w="2889"/>
          </w:tcPr>
          <w:p>
            <w:r>
              <w:rPr>
                <w:sz w:val="17"/>
              </w:rPr>
            </w:r>
            <w:r>
              <w:rPr>
                <w:sz w:val="17"/>
              </w:rPr>
              <w:t>ADM BIM Documentation Guidelines for Infrastructure v1.0, October 2020</w:t>
            </w:r>
          </w:p>
        </w:tc>
        <w:tc>
          <w:tcPr>
            <w:tcW w:type="dxa" w:w="5324"/>
          </w:tcPr>
          <w:p>
            <w:r>
              <w:rPr>
                <w:sz w:val="17"/>
              </w:rPr>
            </w:r>
            <w:r>
              <w:rPr>
                <w:sz w:val="17"/>
              </w:rPr>
              <w:t xml:space="preserve">Infrastructure scope only; the civil mapping owner is </w:t>
            </w:r>
            <w:r>
              <w:rPr>
                <w:color w:val="9A7B45"/>
                <w:sz w:val="17"/>
                <w:u w:val="single"/>
              </w:rPr>
              <w:t>BBM-STD-63</w:t>
            </w:r>
            <w:r>
              <w:rPr>
                <w:sz w:val="17"/>
              </w:rPr>
              <w:t xml:space="preserve"> §5</w:t>
            </w:r>
          </w:p>
        </w:tc>
        <w:tc>
          <w:tcPr>
            <w:tcW w:type="dxa" w:w="1033"/>
          </w:tcPr>
          <w:p>
            <w:r>
              <w:rPr>
                <w:sz w:val="17"/>
              </w:rPr>
            </w:r>
            <w:r>
              <w:rPr>
                <w:sz w:val="17"/>
              </w:rPr>
              <w:t>2026-11-04</w:t>
            </w:r>
          </w:p>
        </w:tc>
      </w:tr>
      <w:tr>
        <w:trPr>
          <w:cantSplit/>
        </w:trPr>
        <w:tc>
          <w:tcPr>
            <w:tcW w:type="dxa" w:w="1220"/>
          </w:tcPr>
          <w:p>
            <w:r>
              <w:rPr>
                <w:sz w:val="17"/>
              </w:rPr>
            </w:r>
            <w:r>
              <w:rPr>
                <w:sz w:val="17"/>
              </w:rPr>
              <w:t>ED-ADM-BIM (Catalogue)</w:t>
            </w:r>
          </w:p>
        </w:tc>
        <w:tc>
          <w:tcPr>
            <w:tcW w:type="dxa" w:w="2889"/>
          </w:tcPr>
          <w:p>
            <w:r>
              <w:rPr>
                <w:sz w:val="17"/>
              </w:rPr>
            </w:r>
            <w:r>
              <w:rPr>
                <w:sz w:val="17"/>
              </w:rPr>
              <w:t>ADM Infrastructure BIM Object Catalogue v2.0, May 2021</w:t>
            </w:r>
          </w:p>
        </w:tc>
        <w:tc>
          <w:tcPr>
            <w:tcW w:type="dxa" w:w="5324"/>
          </w:tcPr>
          <w:p>
            <w:r>
              <w:rPr>
                <w:sz w:val="17"/>
              </w:rPr>
            </w:r>
            <w:r>
              <w:rPr>
                <w:sz w:val="17"/>
              </w:rPr>
              <w:t>Infrastructure object/​property source where adopted; fields mapped in the BBM-STD-63 Authority mapping. Do not invent catalogue codes</w:t>
            </w:r>
          </w:p>
        </w:tc>
        <w:tc>
          <w:tcPr>
            <w:tcW w:type="dxa" w:w="1033"/>
          </w:tcPr>
          <w:p>
            <w:r>
              <w:rPr>
                <w:sz w:val="17"/>
              </w:rPr>
            </w:r>
            <w:r>
              <w:rPr>
                <w:sz w:val="17"/>
              </w:rPr>
              <w:t>2026-11-04</w:t>
            </w:r>
          </w:p>
        </w:tc>
      </w:tr>
    </w:tbl>
    <w:p/>
    <w:p>
      <w:pPr/>
      <w:r>
        <w:t>There is no universal Abu Dhabi building-permit BIM threshold. A BIM profile applies only where the appointment, the BINAA / municipality checklist or the authority requires it; record that source for the plot. Other documents cite these keys instead of repeating the ADM entries.</w:t>
      </w:r>
    </w:p>
    <w:p>
      <w:pPr>
        <w:pStyle w:val="Heading1"/>
      </w:pPr>
      <w:r>
        <w:t>7 Statutory green-building minimums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60"/>
        <w:gridCol w:w="1870"/>
        <w:gridCol w:w="2235"/>
        <w:gridCol w:w="3969"/>
        <w:gridCol w:w="1033"/>
      </w:tblGrid>
      <w:tr>
        <w:trPr>
          <w:cantSplit/>
          <w:tblHeader/>
        </w:trPr>
        <w:tc>
          <w:tcPr>
            <w:tcW w:type="dxa" w:w="1360"/>
            <w:shd w:val="clear" w:color="auto" w:fill="111113"/>
          </w:tcPr>
          <w:p>
            <w:r>
              <w:rPr>
                <w:b/>
                <w:color w:val="FFFFFF"/>
                <w:sz w:val="17"/>
              </w:rPr>
            </w:r>
            <w:r>
              <w:rPr>
                <w:b/>
                <w:color w:val="FFFFFF"/>
                <w:sz w:val="17"/>
              </w:rPr>
              <w:t>Key</w:t>
            </w:r>
          </w:p>
        </w:tc>
        <w:tc>
          <w:tcPr>
            <w:tcW w:type="dxa" w:w="1870"/>
            <w:shd w:val="clear" w:color="auto" w:fill="111113"/>
          </w:tcPr>
          <w:p>
            <w:r>
              <w:rPr>
                <w:b/>
                <w:color w:val="FFFFFF"/>
                <w:sz w:val="17"/>
              </w:rPr>
            </w:r>
            <w:r>
              <w:rPr>
                <w:b/>
                <w:color w:val="FFFFFF"/>
                <w:sz w:val="17"/>
              </w:rPr>
              <w:t>Jurisdiction</w:t>
            </w:r>
          </w:p>
        </w:tc>
        <w:tc>
          <w:tcPr>
            <w:tcW w:type="dxa" w:w="2235"/>
            <w:shd w:val="clear" w:color="auto" w:fill="111113"/>
          </w:tcPr>
          <w:p>
            <w:r>
              <w:rPr>
                <w:b/>
                <w:color w:val="FFFFFF"/>
                <w:sz w:val="17"/>
              </w:rPr>
            </w:r>
            <w:r>
              <w:rPr>
                <w:b/>
                <w:color w:val="FFFFFF"/>
                <w:sz w:val="17"/>
              </w:rPr>
              <w:t>Statutory minimum</w:t>
            </w:r>
          </w:p>
        </w:tc>
        <w:tc>
          <w:tcPr>
            <w:tcW w:type="dxa" w:w="3969"/>
            <w:shd w:val="clear" w:color="auto" w:fill="111113"/>
          </w:tcPr>
          <w:p>
            <w:r>
              <w:rPr>
                <w:b/>
                <w:color w:val="FFFFFF"/>
                <w:sz w:val="17"/>
              </w:rPr>
            </w:r>
            <w:r>
              <w:rPr>
                <w:b/>
                <w:color w:val="FFFFFF"/>
                <w:sz w:val="17"/>
              </w:rPr>
              <w:t>Model data the rating needs</w:t>
            </w:r>
          </w:p>
        </w:tc>
        <w:tc>
          <w:tcPr>
            <w:tcW w:type="dxa" w:w="1033"/>
            <w:shd w:val="clear" w:color="auto" w:fill="111113"/>
          </w:tcPr>
          <w:p>
            <w:r>
              <w:rPr>
                <w:b/>
                <w:color w:val="FFFFFF"/>
                <w:sz w:val="17"/>
              </w:rPr>
            </w:r>
            <w:r>
              <w:rPr>
                <w:b/>
                <w:color w:val="FFFFFF"/>
                <w:sz w:val="17"/>
              </w:rPr>
              <w:t>Checked</w:t>
            </w:r>
          </w:p>
        </w:tc>
      </w:tr>
      <w:tr>
        <w:trPr>
          <w:cantSplit/>
        </w:trPr>
        <w:tc>
          <w:tcPr>
            <w:tcW w:type="dxa" w:w="1360"/>
          </w:tcPr>
          <w:p>
            <w:r>
              <w:rPr>
                <w:sz w:val="17"/>
              </w:rPr>
            </w:r>
            <w:r>
              <w:rPr>
                <w:sz w:val="17"/>
              </w:rPr>
              <w:t>ED-ESTIDAMA</w:t>
            </w:r>
          </w:p>
        </w:tc>
        <w:tc>
          <w:tcPr>
            <w:tcW w:type="dxa" w:w="1870"/>
          </w:tcPr>
          <w:p>
            <w:r>
              <w:rPr>
                <w:sz w:val="17"/>
              </w:rPr>
            </w:r>
            <w:r>
              <w:rPr>
                <w:sz w:val="17"/>
              </w:rPr>
              <w:t>Abu Dhabi, Estidama Pearl Building Rating System</w:t>
            </w:r>
          </w:p>
        </w:tc>
        <w:tc>
          <w:tcPr>
            <w:tcW w:type="dxa" w:w="2235"/>
          </w:tcPr>
          <w:p>
            <w:r>
              <w:rPr>
                <w:sz w:val="17"/>
              </w:rPr>
            </w:r>
            <w:r>
              <w:rPr>
                <w:sz w:val="17"/>
              </w:rPr>
              <w:t>Private projects minimum 1 Pearl; government-funded projects minimum 2 Pearl (building permit condition, DMT news 8 Jan 2025)</w:t>
            </w:r>
          </w:p>
        </w:tc>
        <w:tc>
          <w:tcPr>
            <w:tcW w:type="dxa" w:w="3969"/>
          </w:tcPr>
          <w:p>
            <w:r>
              <w:rPr>
                <w:sz w:val="17"/>
              </w:rPr>
            </w:r>
            <w:r>
              <w:rPr>
                <w:sz w:val="17"/>
              </w:rPr>
              <w:t>Energy-model inputs and system efficiencies; water fixture flow rates and metering points; material data (recycled /​ regional content, low-emitting finishes); landscape plant type (native /​ adaptive) and irrigation demand; credit evidence ID per item</w:t>
            </w:r>
          </w:p>
        </w:tc>
        <w:tc>
          <w:tcPr>
            <w:tcW w:type="dxa" w:w="1033"/>
          </w:tcPr>
          <w:p>
            <w:r>
              <w:rPr>
                <w:sz w:val="17"/>
              </w:rPr>
            </w:r>
            <w:r>
              <w:rPr>
                <w:sz w:val="17"/>
              </w:rPr>
              <w:t>2026-11-04</w:t>
            </w:r>
          </w:p>
        </w:tc>
      </w:tr>
      <w:tr>
        <w:trPr>
          <w:cantSplit/>
        </w:trPr>
        <w:tc>
          <w:tcPr>
            <w:tcW w:type="dxa" w:w="1360"/>
          </w:tcPr>
          <w:p>
            <w:r>
              <w:rPr>
                <w:sz w:val="17"/>
              </w:rPr>
            </w:r>
            <w:r>
              <w:rPr>
                <w:sz w:val="17"/>
              </w:rPr>
              <w:t>ED-ALSAFAT</w:t>
            </w:r>
          </w:p>
        </w:tc>
        <w:tc>
          <w:tcPr>
            <w:tcW w:type="dxa" w:w="1870"/>
          </w:tcPr>
          <w:p>
            <w:r>
              <w:rPr>
                <w:sz w:val="17"/>
              </w:rPr>
            </w:r>
            <w:r>
              <w:rPr>
                <w:sz w:val="17"/>
              </w:rPr>
              <w:t>Dubai, Al Sa'fat green building system, 2nd edition (Jan 2023)</w:t>
            </w:r>
          </w:p>
        </w:tc>
        <w:tc>
          <w:tcPr>
            <w:tcW w:type="dxa" w:w="2235"/>
          </w:tcPr>
          <w:p>
            <w:r>
              <w:rPr>
                <w:sz w:val="17"/>
              </w:rPr>
            </w:r>
            <w:r>
              <w:rPr>
                <w:sz w:val="17"/>
              </w:rPr>
              <w:t>Silver Sa'fa mandatory for all new buildings; Golden and Platinum optional</w:t>
            </w:r>
          </w:p>
        </w:tc>
        <w:tc>
          <w:tcPr>
            <w:tcW w:type="dxa" w:w="3969"/>
          </w:tcPr>
          <w:p>
            <w:r>
              <w:rPr>
                <w:sz w:val="17"/>
              </w:rPr>
            </w:r>
            <w:r>
              <w:rPr>
                <w:sz w:val="17"/>
              </w:rPr>
              <w:t>The same data classes, mapped to the requirement list of the recorded Al Sa'fat edition; requirement reference per item</w:t>
            </w:r>
          </w:p>
        </w:tc>
        <w:tc>
          <w:tcPr>
            <w:tcW w:type="dxa" w:w="1033"/>
          </w:tcPr>
          <w:p>
            <w:r>
              <w:rPr>
                <w:sz w:val="17"/>
              </w:rPr>
            </w:r>
            <w:r>
              <w:rPr>
                <w:sz w:val="17"/>
              </w:rPr>
              <w:t>2026-11-04</w:t>
            </w:r>
          </w:p>
        </w:tc>
      </w:tr>
    </w:tbl>
    <w:p/>
    <w:p>
      <w:pPr/>
      <w:r>
        <w:t xml:space="preserve">These are statutory minimums, not optional ratings. The target level, rating edition and credit evidence IDs are recorded in the </w:t>
      </w:r>
      <w:r>
        <w:rPr>
          <w:color w:val="9A7B45"/>
          <w:u w:val="single"/>
        </w:rPr>
        <w:t>OIR</w:t>
      </w:r>
      <w:r>
        <w:t xml:space="preserve"> and BoD; the fields live in </w:t>
      </w:r>
      <w:r>
        <w:rPr>
          <w:color w:val="9A7B45"/>
          <w:u w:val="single"/>
        </w:rPr>
        <w:t>BBM-STD-58</w:t>
      </w:r>
      <w:r>
        <w:t xml:space="preserve">, </w:t>
      </w:r>
      <w:r>
        <w:rPr>
          <w:color w:val="9A7B45"/>
          <w:u w:val="single"/>
        </w:rPr>
        <w:t>BBM-STD-60</w:t>
      </w:r>
      <w:r>
        <w:t xml:space="preserve">, </w:t>
      </w:r>
      <w:r>
        <w:rPr>
          <w:color w:val="9A7B45"/>
          <w:u w:val="single"/>
        </w:rPr>
        <w:t>BBM-STD-61</w:t>
      </w:r>
      <w:r>
        <w:t xml:space="preserve">, </w:t>
      </w:r>
      <w:r>
        <w:rPr>
          <w:color w:val="9A7B45"/>
          <w:u w:val="single"/>
        </w:rPr>
        <w:t>BBM-STD-62</w:t>
      </w:r>
      <w:r>
        <w:t xml:space="preserve"> and </w:t>
      </w:r>
      <w:r>
        <w:rPr>
          <w:color w:val="9A7B45"/>
          <w:u w:val="single"/>
        </w:rPr>
        <w:t>BBM-STD-69</w:t>
      </w:r>
      <w:r>
        <w:t xml:space="preserve">; evaluation and comparable results in </w:t>
      </w:r>
      <w:r>
        <w:rPr>
          <w:color w:val="9A7B45"/>
          <w:u w:val="single"/>
        </w:rPr>
        <w:t>BBM-STD-81</w:t>
      </w:r>
      <w:r>
        <w:t>. The project role is "Lead sustainability rating (Estidama Pearl – Abu Dhabi / Al Sa'fat – Dubai)".</w:t>
      </w:r>
    </w:p>
    <w:p>
      <w:pPr>
        <w:pStyle w:val="Heading1"/>
      </w:pPr>
      <w:r>
        <w:t>8 Security systems and sensitive information</w:t>
      </w:r>
    </w:p>
    <w:p>
      <w:pPr/>
      <w:r>
        <w:t xml:space="preserve">Security-system drawings follow the current SIRA / DM requirement for the plot, confirmed at permit stage; they are classified per </w:t>
      </w:r>
      <w:r>
        <w:rPr>
          <w:color w:val="9A7B45"/>
          <w:u w:val="single"/>
        </w:rPr>
        <w:t>BBM-STD-87</w:t>
      </w:r>
      <w:r>
        <w:t xml:space="preserve"> (triage outcome T2, SensitivityClass Confidential or higher) and held in the matching restricted CDE area. Register row: ED-SIRA. The instrument is the SIRA Preventive Systems Manual approved by SIRA Administrative Resolution No. 13 of 2025 (issued 14 Apr 2025) under Law No. 12 of 2016 and its Implementing Bylaw (Resolution No. 1 of 2018). The chapter for the establishment type (for example multi-storey Project, commercial or multi-use buildings, building complexes) sets the camera views, ANPR, access control, guard and system-health-monitoring requirements. The Security Plan Certificate (SPC) is applied for on the SIRA e-services and stamped by a SIRA-licensed security consultancy and installation company; the office coordinates the drawings and does not stamp the SPC (</w:t>
      </w:r>
      <w:r>
        <w:rPr>
          <w:color w:val="9A7B45"/>
          <w:u w:val="single"/>
        </w:rPr>
        <w:t>O-DEC-186</w:t>
      </w:r>
      <w:r>
        <w:t>). The chapter and the SPC route are re-checked at project start and recorded in BEP §1.12. Abu Dhabi: the competent security authority is recorded per plot.</w:t>
      </w:r>
    </w:p>
    <w:p>
      <w:pPr>
        <w:pStyle w:val="Heading1"/>
      </w:pPr>
      <w:r>
        <w:t>9 Release check and change watch</w:t>
      </w:r>
    </w:p>
    <w:p>
      <w:pPr/>
      <w:r>
        <w:t>Before any authority submission the authority liaison confirms: jurisdiction test complete (§2); every applicable ED- row re-checked against the official source since the last gate, with date; Dubai trigger record and export setup / matrix revision (§3); drawings extracted from the submitted model; CRS record (BBM-STD-86); fire, rating and security rows resolved or recorded N/A with a reason. An unresolved applicable row holds the affected submission.</w:t>
      </w:r>
    </w:p>
    <w:p>
      <w:pPr/>
      <w:r>
        <w:t>Office default watch: the liaison checks the DM, DMT and Civil Defence circular and service pages monthly and at every stage gate and submission; a project may shorten this interval, not lengthen it. A changed instrument gets a new source-check date in BBM-STD-51 §3 and is propagated by one ChangeID through BBM-STD-57, the BoD, the BEP and the TIDP/MIDP.</w:t>
      </w:r>
    </w:p>
    <w:p>
      <w:pPr>
        <w:pStyle w:val="Heading1"/>
      </w:pPr>
      <w:r>
        <w:t>10 Other authority routes</w:t>
      </w:r>
    </w:p>
    <w:p>
      <w:pPr/>
      <w:r>
        <w:t>These routes are rule-based (</w:t>
      </w:r>
      <w:r>
        <w:rPr>
          <w:color w:val="9A7B45"/>
          <w:u w:val="single"/>
        </w:rPr>
        <w:t>O-DEC-160</w:t>
      </w:r>
      <w:r>
        <w:t>): no service title, threshold, fee or duration is asserted, because none is stated by a primary source read on 2026-11-05; each is checked against the service page of the authority that controls the plot and recorded in BEP §1.12. For each, the authority liaison records the authority, the current service name and URL, the checklist revision, the check date and the evidence, as a BBM-STD-57 §4 submission row.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94"/>
        <w:gridCol w:w="2520"/>
        <w:gridCol w:w="5005"/>
        <w:gridCol w:w="1347"/>
      </w:tblGrid>
      <w:tr>
        <w:trPr>
          <w:cantSplit/>
          <w:tblHeader/>
        </w:trPr>
        <w:tc>
          <w:tcPr>
            <w:tcW w:type="dxa" w:w="1594"/>
            <w:shd w:val="clear" w:color="auto" w:fill="111113"/>
          </w:tcPr>
          <w:p>
            <w:r>
              <w:rPr>
                <w:b/>
                <w:color w:val="FFFFFF"/>
                <w:sz w:val="17"/>
              </w:rPr>
            </w:r>
            <w:r>
              <w:rPr>
                <w:b/>
                <w:color w:val="FFFFFF"/>
                <w:sz w:val="17"/>
              </w:rPr>
              <w:t>Route</w:t>
            </w:r>
          </w:p>
        </w:tc>
        <w:tc>
          <w:tcPr>
            <w:tcW w:type="dxa" w:w="2520"/>
            <w:shd w:val="clear" w:color="auto" w:fill="111113"/>
          </w:tcPr>
          <w:p>
            <w:r>
              <w:rPr>
                <w:b/>
                <w:color w:val="FFFFFF"/>
                <w:sz w:val="17"/>
              </w:rPr>
            </w:r>
            <w:r>
              <w:rPr>
                <w:b/>
                <w:color w:val="FFFFFF"/>
                <w:sz w:val="17"/>
              </w:rPr>
              <w:t>Applies when</w:t>
            </w:r>
          </w:p>
        </w:tc>
        <w:tc>
          <w:tcPr>
            <w:tcW w:type="dxa" w:w="5005"/>
            <w:shd w:val="clear" w:color="auto" w:fill="111113"/>
          </w:tcPr>
          <w:p>
            <w:r>
              <w:rPr>
                <w:b/>
                <w:color w:val="FFFFFF"/>
                <w:sz w:val="17"/>
              </w:rPr>
            </w:r>
            <w:r>
              <w:rPr>
                <w:b/>
                <w:color w:val="FFFFFF"/>
                <w:sz w:val="17"/>
              </w:rPr>
              <w:t>Office rule</w:t>
            </w:r>
          </w:p>
        </w:tc>
        <w:tc>
          <w:tcPr>
            <w:tcW w:type="dxa" w:w="1347"/>
            <w:shd w:val="clear" w:color="auto" w:fill="111113"/>
          </w:tcPr>
          <w:p>
            <w:r>
              <w:rPr>
                <w:b/>
                <w:color w:val="FFFFFF"/>
                <w:sz w:val="17"/>
              </w:rPr>
            </w:r>
            <w:r>
              <w:rPr>
                <w:b/>
                <w:color w:val="FFFFFF"/>
                <w:sz w:val="17"/>
              </w:rPr>
              <w:t>Evidence</w:t>
            </w:r>
          </w:p>
        </w:tc>
      </w:tr>
      <w:tr>
        <w:trPr>
          <w:cantSplit/>
        </w:trPr>
        <w:tc>
          <w:tcPr>
            <w:tcW w:type="dxa" w:w="1594"/>
          </w:tcPr>
          <w:p>
            <w:r>
              <w:rPr>
                <w:sz w:val="17"/>
              </w:rPr>
            </w:r>
            <w:r>
              <w:rPr>
                <w:sz w:val="17"/>
              </w:rPr>
              <w:t>Fit-out approval (DDA, DM, Civil Defence, Abu Dhabi DMT /​ BINAA)</w:t>
            </w:r>
          </w:p>
        </w:tc>
        <w:tc>
          <w:tcPr>
            <w:tcW w:type="dxa" w:w="2520"/>
          </w:tcPr>
          <w:p>
            <w:r>
              <w:rPr>
                <w:sz w:val="17"/>
              </w:rPr>
            </w:r>
            <w:r>
              <w:rPr>
                <w:sz w:val="17"/>
              </w:rPr>
              <w:t>Interior fit-out or change of use inside an existing building</w:t>
            </w:r>
          </w:p>
        </w:tc>
        <w:tc>
          <w:tcPr>
            <w:tcW w:type="dxa" w:w="5005"/>
          </w:tcPr>
          <w:p>
            <w:r>
              <w:rPr>
                <w:sz w:val="17"/>
              </w:rPr>
            </w:r>
            <w:r>
              <w:rPr>
                <w:sz w:val="17"/>
              </w:rPr>
              <w:t xml:space="preserve">Use the fit-out service of the authority that controls the plot (jurisdiction test §2) and the Civil Defence fit-out approval where the fire authority requires it. Interiors model and sheets per </w:t>
            </w:r>
            <w:r>
              <w:rPr>
                <w:color w:val="9A7B45"/>
                <w:sz w:val="17"/>
                <w:u w:val="single"/>
              </w:rPr>
              <w:t>BBM-STD-62</w:t>
            </w:r>
            <w:r>
              <w:rPr>
                <w:sz w:val="17"/>
              </w:rPr>
              <w:t xml:space="preserve"> §5</w:t>
            </w:r>
          </w:p>
        </w:tc>
        <w:tc>
          <w:tcPr>
            <w:tcW w:type="dxa" w:w="1347"/>
          </w:tcPr>
          <w:p>
            <w:r>
              <w:rPr>
                <w:sz w:val="17"/>
              </w:rPr>
            </w:r>
            <w:r>
              <w:rPr>
                <w:sz w:val="17"/>
              </w:rPr>
              <w:t>Service name/​URL, checklist revision, receipt, decision</w:t>
            </w:r>
          </w:p>
        </w:tc>
      </w:tr>
      <w:tr>
        <w:trPr>
          <w:cantSplit/>
        </w:trPr>
        <w:tc>
          <w:tcPr>
            <w:tcW w:type="dxa" w:w="1594"/>
          </w:tcPr>
          <w:p>
            <w:r>
              <w:rPr>
                <w:sz w:val="17"/>
              </w:rPr>
            </w:r>
            <w:r>
              <w:rPr>
                <w:sz w:val="17"/>
              </w:rPr>
              <w:t>Drone /​ UAS flight for survey or scan</w:t>
            </w:r>
          </w:p>
        </w:tc>
        <w:tc>
          <w:tcPr>
            <w:tcW w:type="dxa" w:w="2520"/>
          </w:tcPr>
          <w:p>
            <w:r>
              <w:rPr>
                <w:sz w:val="17"/>
              </w:rPr>
            </w:r>
            <w:r>
              <w:rPr>
                <w:sz w:val="17"/>
              </w:rPr>
              <w:t>Any unmanned aircraft capture (</w:t>
            </w:r>
            <w:r>
              <w:rPr>
                <w:color w:val="9A7B45"/>
                <w:sz w:val="17"/>
                <w:u w:val="single"/>
              </w:rPr>
              <w:t>BBM-STD-77</w:t>
            </w:r>
            <w:r>
              <w:rPr>
                <w:sz w:val="17"/>
              </w:rPr>
              <w:t>)</w:t>
            </w:r>
          </w:p>
        </w:tc>
        <w:tc>
          <w:tcPr>
            <w:tcW w:type="dxa" w:w="5005"/>
          </w:tcPr>
          <w:p>
            <w:r>
              <w:rPr>
                <w:sz w:val="17"/>
              </w:rPr>
            </w:r>
            <w:r>
              <w:rPr>
                <w:sz w:val="17"/>
              </w:rPr>
              <w:t>Fly only with the permit required by the civil aviation authority for the location (federal GCAA and the emirate authority, e.g. Dubai Civil Aviation Authority), a licensed operator and a no-fly-zone check, all recorded before the flight. Capture of sensitive sites is triaged per BBM-STD-87 first</w:t>
            </w:r>
          </w:p>
        </w:tc>
        <w:tc>
          <w:tcPr>
            <w:tcW w:type="dxa" w:w="1347"/>
          </w:tcPr>
          <w:p>
            <w:r>
              <w:rPr>
                <w:sz w:val="17"/>
              </w:rPr>
            </w:r>
            <w:r>
              <w:rPr>
                <w:sz w:val="17"/>
              </w:rPr>
              <w:t>Permit reference and validity, operator licence, no-fly check, date</w:t>
            </w:r>
          </w:p>
        </w:tc>
      </w:tr>
      <w:tr>
        <w:trPr>
          <w:cantSplit/>
        </w:trPr>
        <w:tc>
          <w:tcPr>
            <w:tcW w:type="dxa" w:w="1594"/>
          </w:tcPr>
          <w:p>
            <w:r>
              <w:rPr>
                <w:sz w:val="17"/>
              </w:rPr>
            </w:r>
            <w:r>
              <w:rPr>
                <w:sz w:val="17"/>
              </w:rPr>
              <w:t>Advertising /​ marketing display of project images</w:t>
            </w:r>
          </w:p>
        </w:tc>
        <w:tc>
          <w:tcPr>
            <w:tcW w:type="dxa" w:w="2520"/>
          </w:tcPr>
          <w:p>
            <w:r>
              <w:rPr>
                <w:sz w:val="17"/>
              </w:rPr>
            </w:r>
            <w:r>
              <w:rPr>
                <w:sz w:val="17"/>
              </w:rPr>
              <w:t>Images or hoardings shown in public or used for sales (</w:t>
            </w:r>
            <w:r>
              <w:rPr>
                <w:color w:val="9A7B45"/>
                <w:sz w:val="17"/>
                <w:u w:val="single"/>
              </w:rPr>
              <w:t>BBM-STD-80</w:t>
            </w:r>
            <w:r>
              <w:rPr>
                <w:sz w:val="17"/>
              </w:rPr>
              <w:t>)</w:t>
            </w:r>
          </w:p>
        </w:tc>
        <w:tc>
          <w:tcPr>
            <w:tcW w:type="dxa" w:w="5005"/>
          </w:tcPr>
          <w:p>
            <w:r>
              <w:rPr>
                <w:sz w:val="17"/>
              </w:rPr>
            </w:r>
            <w:r>
              <w:rPr>
                <w:sz w:val="17"/>
              </w:rPr>
              <w:t>The client confirms the advertising permit required by the emirate authority before public display; the office supplies images captioned "Illustrative image" and does not apply for the permit unless appointed to</w:t>
            </w:r>
          </w:p>
        </w:tc>
        <w:tc>
          <w:tcPr>
            <w:tcW w:type="dxa" w:w="1347"/>
          </w:tcPr>
          <w:p>
            <w:r>
              <w:rPr>
                <w:sz w:val="17"/>
              </w:rPr>
            </w:r>
            <w:r>
              <w:rPr>
                <w:sz w:val="17"/>
              </w:rPr>
              <w:t>Client confirmation, permit reference where supplied</w:t>
            </w:r>
          </w:p>
        </w:tc>
      </w:tr>
      <w:tr>
        <w:trPr>
          <w:cantSplit/>
        </w:trPr>
        <w:tc>
          <w:tcPr>
            <w:tcW w:type="dxa" w:w="1594"/>
          </w:tcPr>
          <w:p>
            <w:r>
              <w:rPr>
                <w:sz w:val="17"/>
              </w:rPr>
            </w:r>
            <w:r>
              <w:rPr>
                <w:sz w:val="17"/>
              </w:rPr>
              <w:t>Arabic text on submission drawings</w:t>
            </w:r>
          </w:p>
        </w:tc>
        <w:tc>
          <w:tcPr>
            <w:tcW w:type="dxa" w:w="2520"/>
          </w:tcPr>
          <w:p>
            <w:r>
              <w:rPr>
                <w:sz w:val="17"/>
              </w:rPr>
            </w:r>
            <w:r>
              <w:rPr>
                <w:sz w:val="17"/>
              </w:rPr>
              <w:t>The authority checklist for the service asks for Arabic titles or text</w:t>
            </w:r>
          </w:p>
        </w:tc>
        <w:tc>
          <w:tcPr>
            <w:tcW w:type="dxa" w:w="5005"/>
          </w:tcPr>
          <w:p>
            <w:r>
              <w:rPr>
                <w:sz w:val="17"/>
              </w:rPr>
            </w:r>
            <w:r>
              <w:rPr>
                <w:sz w:val="17"/>
              </w:rPr>
              <w:t xml:space="preserve">Use the approved Arabic font and right-to-left check in </w:t>
            </w:r>
            <w:r>
              <w:rPr>
                <w:color w:val="9A7B45"/>
                <w:sz w:val="17"/>
                <w:u w:val="single"/>
              </w:rPr>
              <w:t>BBM-STD-66</w:t>
            </w:r>
            <w:r>
              <w:rPr>
                <w:sz w:val="17"/>
              </w:rPr>
              <w:t xml:space="preserve"> §3; no Arabic requirement is assumed where the checklist is silent</w:t>
            </w:r>
          </w:p>
        </w:tc>
        <w:tc>
          <w:tcPr>
            <w:tcW w:type="dxa" w:w="1347"/>
          </w:tcPr>
          <w:p>
            <w:r>
              <w:rPr>
                <w:sz w:val="17"/>
              </w:rPr>
            </w:r>
            <w:r>
              <w:rPr>
                <w:sz w:val="17"/>
              </w:rPr>
              <w:t>Checklist clause, test sheet</w:t>
            </w:r>
          </w:p>
        </w:tc>
      </w:tr>
      <w:tr>
        <w:trPr>
          <w:cantSplit/>
        </w:trPr>
        <w:tc>
          <w:tcPr>
            <w:tcW w:type="dxa" w:w="1594"/>
          </w:tcPr>
          <w:p>
            <w:r>
              <w:rPr>
                <w:sz w:val="17"/>
              </w:rPr>
            </w:r>
            <w:r>
              <w:rPr>
                <w:sz w:val="17"/>
              </w:rPr>
              <w:t>Consultant of record and portal submitter registration</w:t>
            </w:r>
          </w:p>
        </w:tc>
        <w:tc>
          <w:tcPr>
            <w:tcW w:type="dxa" w:w="2520"/>
          </w:tcPr>
          <w:p>
            <w:r>
              <w:rPr>
                <w:sz w:val="17"/>
              </w:rPr>
            </w:r>
            <w:r>
              <w:rPr>
                <w:sz w:val="17"/>
              </w:rPr>
              <w:t>Any authority submission</w:t>
            </w:r>
          </w:p>
        </w:tc>
        <w:tc>
          <w:tcPr>
            <w:tcW w:type="dxa" w:w="5005"/>
          </w:tcPr>
          <w:p>
            <w:r>
              <w:rPr>
                <w:sz w:val="17"/>
              </w:rPr>
            </w:r>
            <w:r>
              <w:rPr>
                <w:sz w:val="17"/>
              </w:rPr>
              <w:t xml:space="preserve">Only a consultant and a submitter registered with the authority for that emirate and service submit. Record registration number, emirate, scope and expiry in the restricted </w:t>
            </w:r>
            <w:r>
              <w:rPr>
                <w:color w:val="9A7B45"/>
                <w:sz w:val="17"/>
                <w:u w:val="single"/>
              </w:rPr>
              <w:t>Directory</w:t>
            </w:r>
            <w:r>
              <w:rPr>
                <w:sz w:val="17"/>
              </w:rPr>
              <w:t xml:space="preserve">; roles per </w:t>
            </w:r>
            <w:r>
              <w:rPr>
                <w:color w:val="9A7B45"/>
                <w:sz w:val="17"/>
                <w:u w:val="single"/>
              </w:rPr>
              <w:t>BBM-STD-55</w:t>
            </w:r>
            <w:r>
              <w:rPr>
                <w:sz w:val="17"/>
              </w:rPr>
              <w:t>. Check validity before each submission</w:t>
            </w:r>
          </w:p>
        </w:tc>
        <w:tc>
          <w:tcPr>
            <w:tcW w:type="dxa" w:w="1347"/>
          </w:tcPr>
          <w:p>
            <w:r>
              <w:rPr>
                <w:sz w:val="17"/>
              </w:rPr>
            </w:r>
            <w:r>
              <w:rPr>
                <w:sz w:val="17"/>
              </w:rPr>
              <w:t>Registration record and expiry</w:t>
            </w:r>
          </w:p>
        </w:tc>
      </w:tr>
      <w:tr>
        <w:trPr>
          <w:cantSplit/>
        </w:trPr>
        <w:tc>
          <w:tcPr>
            <w:tcW w:type="dxa" w:w="1594"/>
          </w:tcPr>
          <w:p>
            <w:r>
              <w:rPr>
                <w:sz w:val="17"/>
              </w:rPr>
            </w:r>
            <w:r>
              <w:rPr>
                <w:sz w:val="17"/>
              </w:rPr>
              <w:t>Automated (AI) checks on an authority portal</w:t>
            </w:r>
          </w:p>
        </w:tc>
        <w:tc>
          <w:tcPr>
            <w:tcW w:type="dxa" w:w="2520"/>
          </w:tcPr>
          <w:p>
            <w:r>
              <w:rPr>
                <w:sz w:val="17"/>
              </w:rPr>
            </w:r>
            <w:r>
              <w:rPr>
                <w:sz w:val="17"/>
              </w:rPr>
              <w:t>The authority portal runs automated or AI-based checks on the submitted model or drawings</w:t>
            </w:r>
          </w:p>
        </w:tc>
        <w:tc>
          <w:tcPr>
            <w:tcW w:type="dxa" w:w="5005"/>
          </w:tcPr>
          <w:p>
            <w:r>
              <w:rPr>
                <w:sz w:val="17"/>
              </w:rPr>
            </w:r>
            <w:r>
              <w:rPr>
                <w:sz w:val="17"/>
              </w:rPr>
              <w:t xml:space="preserve">The portal result is the authority's validation evidence (§3), not an office check and not an approval. Office AI use and the data that may not leave the office follow </w:t>
            </w:r>
            <w:r>
              <w:rPr>
                <w:color w:val="9A7B45"/>
                <w:sz w:val="17"/>
                <w:u w:val="single"/>
              </w:rPr>
              <w:t>BBM-STD-92</w:t>
            </w:r>
          </w:p>
        </w:tc>
        <w:tc>
          <w:tcPr>
            <w:tcW w:type="dxa" w:w="1347"/>
          </w:tcPr>
          <w:p>
            <w:r>
              <w:rPr>
                <w:sz w:val="17"/>
              </w:rPr>
            </w:r>
            <w:r>
              <w:rPr>
                <w:sz w:val="17"/>
              </w:rPr>
              <w:t>Portal result, date, closure of findings</w:t>
            </w:r>
          </w:p>
        </w:tc>
      </w:tr>
    </w:tbl>
    <w:p/>
    <w:p>
      <w:pPr>
        <w:pStyle w:val="Heading1"/>
      </w:pPr>
      <w:r>
        <w:t>11 Statutory records and completion list</w:t>
      </w:r>
    </w:p>
    <w:p>
      <w:pPr/>
      <w:r>
        <w:t xml:space="preserve">Per emirate, the authority liaison lists the statutory records the asset must keep (AIR row AIR-006 in </w:t>
      </w:r>
      <w:r>
        <w:rPr>
          <w:color w:val="9A7B45"/>
          <w:u w:val="single"/>
        </w:rPr>
        <w:t>BBM-STD-52</w:t>
      </w:r>
      <w:r>
        <w:t>) and the completion items the authority requires before the completion or occupation certificate. Only the record types below are confirmed; every other record type is entered at project start from the authority's own checklist, with issuer, ED- register ID, renewal interval and owner.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357"/>
        <w:gridCol w:w="1132"/>
        <w:gridCol w:w="2016"/>
        <w:gridCol w:w="2627"/>
        <w:gridCol w:w="1335"/>
      </w:tblGrid>
      <w:tr>
        <w:trPr>
          <w:cantSplit/>
          <w:tblHeader/>
        </w:trPr>
        <w:tc>
          <w:tcPr>
            <w:tcW w:type="dxa" w:w="3357"/>
            <w:shd w:val="clear" w:color="auto" w:fill="111113"/>
          </w:tcPr>
          <w:p>
            <w:r>
              <w:rPr>
                <w:b/>
                <w:color w:val="FFFFFF"/>
                <w:sz w:val="17"/>
              </w:rPr>
            </w:r>
            <w:r>
              <w:rPr>
                <w:b/>
                <w:color w:val="FFFFFF"/>
                <w:sz w:val="17"/>
              </w:rPr>
              <w:t>Record /​ completion item</w:t>
            </w:r>
          </w:p>
        </w:tc>
        <w:tc>
          <w:tcPr>
            <w:tcW w:type="dxa" w:w="1132"/>
            <w:shd w:val="clear" w:color="auto" w:fill="111113"/>
          </w:tcPr>
          <w:p>
            <w:r>
              <w:rPr>
                <w:b/>
                <w:color w:val="FFFFFF"/>
                <w:sz w:val="17"/>
              </w:rPr>
            </w:r>
            <w:r>
              <w:rPr>
                <w:b/>
                <w:color w:val="FFFFFF"/>
                <w:sz w:val="17"/>
              </w:rPr>
              <w:t>Jurisdiction</w:t>
            </w:r>
          </w:p>
        </w:tc>
        <w:tc>
          <w:tcPr>
            <w:tcW w:type="dxa" w:w="2016"/>
            <w:shd w:val="clear" w:color="auto" w:fill="111113"/>
          </w:tcPr>
          <w:p>
            <w:r>
              <w:rPr>
                <w:b/>
                <w:color w:val="FFFFFF"/>
                <w:sz w:val="17"/>
              </w:rPr>
            </w:r>
            <w:r>
              <w:rPr>
                <w:b/>
                <w:color w:val="FFFFFF"/>
                <w:sz w:val="17"/>
              </w:rPr>
              <w:t>Basis</w:t>
            </w:r>
          </w:p>
        </w:tc>
        <w:tc>
          <w:tcPr>
            <w:tcW w:type="dxa" w:w="2627"/>
            <w:shd w:val="clear" w:color="auto" w:fill="111113"/>
          </w:tcPr>
          <w:p>
            <w:r>
              <w:rPr>
                <w:b/>
                <w:color w:val="FFFFFF"/>
                <w:sz w:val="17"/>
              </w:rPr>
            </w:r>
            <w:r>
              <w:rPr>
                <w:b/>
                <w:color w:val="FFFFFF"/>
                <w:sz w:val="17"/>
              </w:rPr>
              <w:t>Renewal</w:t>
            </w:r>
          </w:p>
        </w:tc>
        <w:tc>
          <w:tcPr>
            <w:tcW w:type="dxa" w:w="1335"/>
            <w:shd w:val="clear" w:color="auto" w:fill="111113"/>
          </w:tcPr>
          <w:p>
            <w:r>
              <w:rPr>
                <w:b/>
                <w:color w:val="FFFFFF"/>
                <w:sz w:val="17"/>
              </w:rPr>
            </w:r>
            <w:r>
              <w:rPr>
                <w:b/>
                <w:color w:val="FFFFFF"/>
                <w:sz w:val="17"/>
              </w:rPr>
              <w:t>Owner</w:t>
            </w:r>
          </w:p>
        </w:tc>
      </w:tr>
      <w:tr>
        <w:trPr>
          <w:cantSplit/>
        </w:trPr>
        <w:tc>
          <w:tcPr>
            <w:tcW w:type="dxa" w:w="3357"/>
          </w:tcPr>
          <w:p>
            <w:r>
              <w:rPr>
                <w:sz w:val="17"/>
              </w:rPr>
            </w:r>
            <w:r>
              <w:rPr>
                <w:sz w:val="17"/>
              </w:rPr>
              <w:t>Final (as-built) BIM before the completion certificate, for alterations not requiring BIM with the application</w:t>
            </w:r>
          </w:p>
        </w:tc>
        <w:tc>
          <w:tcPr>
            <w:tcW w:type="dxa" w:w="1132"/>
          </w:tcPr>
          <w:p>
            <w:r>
              <w:rPr>
                <w:sz w:val="17"/>
              </w:rPr>
            </w:r>
            <w:r>
              <w:rPr>
                <w:sz w:val="17"/>
              </w:rPr>
              <w:t>Dubai</w:t>
            </w:r>
          </w:p>
        </w:tc>
        <w:tc>
          <w:tcPr>
            <w:tcW w:type="dxa" w:w="2016"/>
          </w:tcPr>
          <w:p>
            <w:r>
              <w:rPr>
                <w:sz w:val="17"/>
              </w:rPr>
            </w:r>
            <w:r>
              <w:rPr>
                <w:sz w:val="17"/>
              </w:rPr>
              <w:t>ED-DM-9-1-3</w:t>
            </w:r>
          </w:p>
        </w:tc>
        <w:tc>
          <w:tcPr>
            <w:tcW w:type="dxa" w:w="2627"/>
          </w:tcPr>
          <w:p>
            <w:r>
              <w:rPr>
                <w:sz w:val="17"/>
              </w:rPr>
            </w:r>
            <w:r>
              <w:rPr>
                <w:sz w:val="17"/>
              </w:rPr>
              <w:t>Once</w:t>
            </w:r>
          </w:p>
        </w:tc>
        <w:tc>
          <w:tcPr>
            <w:tcW w:type="dxa" w:w="1335"/>
          </w:tcPr>
          <w:p>
            <w:r>
              <w:rPr>
                <w:sz w:val="17"/>
              </w:rPr>
            </w:r>
            <w:r>
              <w:rPr>
                <w:sz w:val="17"/>
              </w:rPr>
              <w:t>Lead appointed party /​ authority liaison</w:t>
            </w:r>
          </w:p>
        </w:tc>
      </w:tr>
      <w:tr>
        <w:trPr>
          <w:cantSplit/>
        </w:trPr>
        <w:tc>
          <w:tcPr>
            <w:tcW w:type="dxa" w:w="3357"/>
          </w:tcPr>
          <w:p>
            <w:r>
              <w:rPr>
                <w:sz w:val="17"/>
              </w:rPr>
            </w:r>
            <w:r>
              <w:rPr>
                <w:sz w:val="17"/>
              </w:rPr>
              <w:t>Building Quality and Safety Certificate, on the appointed engineering office's assessment and technical report (</w:t>
            </w:r>
            <w:r>
              <w:rPr>
                <w:color w:val="9A7B45"/>
                <w:sz w:val="17"/>
                <w:u w:val="single"/>
              </w:rPr>
              <w:t>BBM-STD-75</w:t>
            </w:r>
            <w:r>
              <w:rPr>
                <w:sz w:val="17"/>
              </w:rPr>
              <w:t xml:space="preserve"> §7)</w:t>
            </w:r>
          </w:p>
        </w:tc>
        <w:tc>
          <w:tcPr>
            <w:tcW w:type="dxa" w:w="1132"/>
          </w:tcPr>
          <w:p>
            <w:r>
              <w:rPr>
                <w:sz w:val="17"/>
              </w:rPr>
            </w:r>
            <w:r>
              <w:rPr>
                <w:sz w:val="17"/>
              </w:rPr>
              <w:t>Dubai</w:t>
            </w:r>
          </w:p>
        </w:tc>
        <w:tc>
          <w:tcPr>
            <w:tcW w:type="dxa" w:w="2016"/>
          </w:tcPr>
          <w:p>
            <w:r>
              <w:rPr>
                <w:sz w:val="17"/>
              </w:rPr>
            </w:r>
            <w:r>
              <w:rPr>
                <w:sz w:val="17"/>
              </w:rPr>
              <w:t>ED-DXB-LAW-3-2026; ED-DM-11-9-1: after 20 years from completion, on DM notice</w:t>
            </w:r>
          </w:p>
        </w:tc>
        <w:tc>
          <w:tcPr>
            <w:tcW w:type="dxa" w:w="2627"/>
          </w:tcPr>
          <w:p>
            <w:r>
              <w:rPr>
                <w:sz w:val="17"/>
              </w:rPr>
            </w:r>
            <w:r>
              <w:rPr>
                <w:sz w:val="17"/>
              </w:rPr>
              <w:t>Valid 10 years under 40 years since completion; 5 years at 40 or more; renew in the last 90 days before expiry</w:t>
            </w:r>
          </w:p>
        </w:tc>
        <w:tc>
          <w:tcPr>
            <w:tcW w:type="dxa" w:w="1335"/>
          </w:tcPr>
          <w:p>
            <w:r>
              <w:rPr>
                <w:sz w:val="17"/>
              </w:rPr>
            </w:r>
            <w:r>
              <w:rPr>
                <w:sz w:val="17"/>
              </w:rPr>
              <w:t>Asset owner</w:t>
            </w:r>
          </w:p>
        </w:tc>
      </w:tr>
      <w:tr>
        <w:trPr>
          <w:cantSplit/>
        </w:trPr>
        <w:tc>
          <w:tcPr>
            <w:tcW w:type="dxa" w:w="3357"/>
          </w:tcPr>
          <w:p>
            <w:r>
              <w:rPr>
                <w:sz w:val="17"/>
              </w:rPr>
            </w:r>
            <w:r>
              <w:rPr>
                <w:sz w:val="17"/>
              </w:rPr>
              <w:t>Periodic maintenance records for buildings under 20 years old</w:t>
            </w:r>
          </w:p>
        </w:tc>
        <w:tc>
          <w:tcPr>
            <w:tcW w:type="dxa" w:w="1132"/>
          </w:tcPr>
          <w:p>
            <w:r>
              <w:rPr>
                <w:sz w:val="17"/>
              </w:rPr>
            </w:r>
            <w:r>
              <w:rPr>
                <w:sz w:val="17"/>
              </w:rPr>
              <w:t>Dubai</w:t>
            </w:r>
          </w:p>
        </w:tc>
        <w:tc>
          <w:tcPr>
            <w:tcW w:type="dxa" w:w="2016"/>
          </w:tcPr>
          <w:p>
            <w:r>
              <w:rPr>
                <w:sz w:val="17"/>
              </w:rPr>
            </w:r>
            <w:r>
              <w:rPr>
                <w:sz w:val="17"/>
              </w:rPr>
              <w:t>ED-DXB-LAW-3-2026</w:t>
            </w:r>
          </w:p>
        </w:tc>
        <w:tc>
          <w:tcPr>
            <w:tcW w:type="dxa" w:w="2627"/>
          </w:tcPr>
          <w:p>
            <w:r>
              <w:rPr>
                <w:sz w:val="17"/>
              </w:rPr>
            </w:r>
            <w:r>
              <w:rPr>
                <w:sz w:val="17"/>
              </w:rPr>
              <w:t>Per the owner's maintenance plan</w:t>
            </w:r>
          </w:p>
        </w:tc>
        <w:tc>
          <w:tcPr>
            <w:tcW w:type="dxa" w:w="1335"/>
          </w:tcPr>
          <w:p>
            <w:r>
              <w:rPr>
                <w:sz w:val="17"/>
              </w:rPr>
            </w:r>
            <w:r>
              <w:rPr>
                <w:sz w:val="17"/>
              </w:rPr>
              <w:t>Asset owner</w:t>
            </w:r>
          </w:p>
        </w:tc>
      </w:tr>
      <w:tr>
        <w:trPr>
          <w:cantSplit/>
        </w:trPr>
        <w:tc>
          <w:tcPr>
            <w:tcW w:type="dxa" w:w="3357"/>
          </w:tcPr>
          <w:p>
            <w:r>
              <w:rPr>
                <w:sz w:val="17"/>
              </w:rPr>
            </w:r>
            <w:r>
              <w:rPr>
                <w:sz w:val="17"/>
              </w:rPr>
              <w:t>Fire and life safety system certificates, approved fire drawings, maintenance-contract evidence</w:t>
            </w:r>
          </w:p>
        </w:tc>
        <w:tc>
          <w:tcPr>
            <w:tcW w:type="dxa" w:w="1132"/>
          </w:tcPr>
          <w:p>
            <w:r>
              <w:rPr>
                <w:sz w:val="17"/>
              </w:rPr>
            </w:r>
            <w:r>
              <w:rPr>
                <w:sz w:val="17"/>
              </w:rPr>
              <w:t>All emirates</w:t>
            </w:r>
          </w:p>
        </w:tc>
        <w:tc>
          <w:tcPr>
            <w:tcW w:type="dxa" w:w="2016"/>
          </w:tcPr>
          <w:p>
            <w:r>
              <w:rPr>
                <w:sz w:val="17"/>
              </w:rPr>
            </w:r>
            <w:r>
              <w:rPr>
                <w:sz w:val="17"/>
              </w:rPr>
              <w:t>ED-UAE-FLS and the emirate fire authority's completion checklist</w:t>
            </w:r>
          </w:p>
        </w:tc>
        <w:tc>
          <w:tcPr>
            <w:tcW w:type="dxa" w:w="2627"/>
          </w:tcPr>
          <w:p>
            <w:r>
              <w:rPr>
                <w:sz w:val="17"/>
              </w:rPr>
            </w:r>
            <w:r>
              <w:rPr>
                <w:sz w:val="17"/>
              </w:rPr>
              <w:t>As the fire authority states</w:t>
            </w:r>
          </w:p>
        </w:tc>
        <w:tc>
          <w:tcPr>
            <w:tcW w:type="dxa" w:w="1335"/>
          </w:tcPr>
          <w:p>
            <w:r>
              <w:rPr>
                <w:sz w:val="17"/>
              </w:rPr>
            </w:r>
            <w:r>
              <w:rPr>
                <w:sz w:val="17"/>
              </w:rPr>
              <w:t>Contractor at handover; asset owner after</w:t>
            </w:r>
          </w:p>
        </w:tc>
      </w:tr>
      <w:tr>
        <w:trPr>
          <w:cantSplit/>
        </w:trPr>
        <w:tc>
          <w:tcPr>
            <w:tcW w:type="dxa" w:w="3357"/>
          </w:tcPr>
          <w:p>
            <w:r>
              <w:rPr>
                <w:sz w:val="17"/>
              </w:rPr>
            </w:r>
            <w:r>
              <w:rPr>
                <w:sz w:val="17"/>
              </w:rPr>
              <w:t>Statutory green-rating final evidence</w:t>
            </w:r>
          </w:p>
        </w:tc>
        <w:tc>
          <w:tcPr>
            <w:tcW w:type="dxa" w:w="1132"/>
          </w:tcPr>
          <w:p>
            <w:r>
              <w:rPr>
                <w:sz w:val="17"/>
              </w:rPr>
            </w:r>
            <w:r>
              <w:rPr>
                <w:sz w:val="17"/>
              </w:rPr>
              <w:t>Dubai /​ Abu Dhabi</w:t>
            </w:r>
          </w:p>
        </w:tc>
        <w:tc>
          <w:tcPr>
            <w:tcW w:type="dxa" w:w="2016"/>
          </w:tcPr>
          <w:p>
            <w:r>
              <w:rPr>
                <w:sz w:val="17"/>
              </w:rPr>
            </w:r>
            <w:r>
              <w:rPr>
                <w:sz w:val="17"/>
              </w:rPr>
              <w:t>ED-ALSAFAT /​ ED-ESTIDAMA</w:t>
            </w:r>
          </w:p>
        </w:tc>
        <w:tc>
          <w:tcPr>
            <w:tcW w:type="dxa" w:w="2627"/>
          </w:tcPr>
          <w:p>
            <w:r>
              <w:rPr>
                <w:sz w:val="17"/>
              </w:rPr>
            </w:r>
            <w:r>
              <w:rPr>
                <w:sz w:val="17"/>
              </w:rPr>
              <w:t>As the rating system states</w:t>
            </w:r>
          </w:p>
        </w:tc>
        <w:tc>
          <w:tcPr>
            <w:tcW w:type="dxa" w:w="1335"/>
          </w:tcPr>
          <w:p>
            <w:r>
              <w:rPr>
                <w:sz w:val="17"/>
              </w:rPr>
            </w:r>
            <w:r>
              <w:rPr>
                <w:sz w:val="17"/>
              </w:rPr>
              <w:t>Lead sustainability rating</w:t>
            </w:r>
          </w:p>
        </w:tc>
      </w:tr>
      <w:tr>
        <w:trPr>
          <w:cantSplit/>
        </w:trPr>
        <w:tc>
          <w:tcPr>
            <w:tcW w:type="dxa" w:w="3357"/>
          </w:tcPr>
          <w:p>
            <w:r>
              <w:rPr>
                <w:sz w:val="17"/>
              </w:rPr>
            </w:r>
            <w:r>
              <w:rPr>
                <w:sz w:val="17"/>
              </w:rPr>
              <w:t>Other completion items (utilities, inspections, NOCs)</w:t>
            </w:r>
          </w:p>
        </w:tc>
        <w:tc>
          <w:tcPr>
            <w:tcW w:type="dxa" w:w="1132"/>
          </w:tcPr>
          <w:p>
            <w:r>
              <w:rPr>
                <w:sz w:val="17"/>
              </w:rPr>
            </w:r>
            <w:r>
              <w:rPr>
                <w:sz w:val="17"/>
              </w:rPr>
              <w:t>Per plot</w:t>
            </w:r>
          </w:p>
        </w:tc>
        <w:tc>
          <w:tcPr>
            <w:tcW w:type="dxa" w:w="2016"/>
          </w:tcPr>
          <w:p>
            <w:r>
              <w:rPr>
                <w:sz w:val="17"/>
              </w:rPr>
            </w:r>
            <w:r>
              <w:rPr>
                <w:sz w:val="17"/>
              </w:rPr>
              <w:t>Authority checklist at project start</w:t>
            </w:r>
          </w:p>
        </w:tc>
        <w:tc>
          <w:tcPr>
            <w:tcW w:type="dxa" w:w="2627"/>
          </w:tcPr>
          <w:p>
            <w:r>
              <w:rPr>
                <w:sz w:val="17"/>
              </w:rPr>
            </w:r>
            <w:r>
              <w:rPr>
                <w:sz w:val="17"/>
              </w:rPr>
              <w:t>Per authority</w:t>
            </w:r>
          </w:p>
        </w:tc>
        <w:tc>
          <w:tcPr>
            <w:tcW w:type="dxa" w:w="1335"/>
          </w:tcPr>
          <w:p>
            <w:r>
              <w:rPr>
                <w:sz w:val="17"/>
              </w:rPr>
            </w:r>
            <w:r>
              <w:rPr>
                <w:sz w:val="17"/>
              </w:rPr>
              <w:t>Authority liaison</w:t>
            </w:r>
          </w:p>
        </w:tc>
      </w:tr>
    </w:tbl>
    <w:p/>
    <w:p>
      <w:pPr/>
      <w:r>
        <w:t xml:space="preserve">Handover groups these records as in </w:t>
      </w:r>
      <w:r>
        <w:rPr>
          <w:color w:val="9A7B45"/>
          <w:u w:val="single"/>
        </w:rPr>
        <w:t>BBM-STD-75</w:t>
      </w:r>
      <w:r>
        <w:t xml:space="preserve"> §4; retention follows </w:t>
      </w:r>
      <w:r>
        <w:rPr>
          <w:color w:val="9A7B45"/>
          <w:u w:val="single"/>
        </w:rPr>
        <w:t>BBM-STD-90</w:t>
      </w:r>
      <w:r>
        <w:t>.</w:t>
      </w:r>
    </w:p>
    <w:p>
      <w:pPr>
        <w:pStyle w:val="Heading1"/>
      </w:pPr>
      <w:r>
        <w:t>References</w:t>
      </w:r>
    </w:p>
    <w:p>
      <w:pPr>
        <w:pStyle w:val="ListParagraph"/>
        <w:spacing w:after="40"/>
        <w:ind w:left="360" w:hanging="240"/>
      </w:pPr>
      <w:r>
        <w:t xml:space="preserve">•  </w:t>
      </w:r>
      <w:r>
        <w:t>DM circular (9-1-2), 13 Oct 2023: https://dmpmedia.dm.gov.ae/uploads/2023/10/تعميم-BIM-9-1-2.pdf (read in full), checked 2026-11-04.</w:t>
      </w:r>
    </w:p>
    <w:p>
      <w:pPr>
        <w:pStyle w:val="ListParagraph"/>
        <w:spacing w:after="40"/>
        <w:ind w:left="360" w:hanging="240"/>
      </w:pPr>
      <w:r>
        <w:t xml:space="preserve">•  </w:t>
      </w:r>
      <w:r>
        <w:t>DM circular (9-1-3), 15 Jan 2026, effective 1 Apr 2026: https://www.dm.gov.ae/wp-content/uploads/2026/02/Circular-9-1-3.pdf, checked 2026-11-04.</w:t>
      </w:r>
    </w:p>
    <w:p>
      <w:pPr>
        <w:pStyle w:val="ListParagraph"/>
        <w:spacing w:after="40"/>
        <w:ind w:left="360" w:hanging="240"/>
      </w:pPr>
      <w:r>
        <w:t xml:space="preserve">•  </w:t>
      </w:r>
      <w:r>
        <w:t>DM circular (9-1-1) of 2021, 23 Aug 2021: https://dmpmedia.dm.gov.ae/uploads/2024/11/9-1-1-Application-of-Buildings-Information-Modelling.pdf (read in full), checked 2026-11-05.</w:t>
      </w:r>
    </w:p>
    <w:p>
      <w:pPr>
        <w:pStyle w:val="ListParagraph"/>
        <w:spacing w:after="40"/>
        <w:ind w:left="360" w:hanging="240"/>
      </w:pPr>
      <w:r>
        <w:t xml:space="preserve">•  </w:t>
      </w:r>
      <w:r>
        <w:t>Dubai BIM Standard 1.4 package (standard, appendices A–C, IDS, Revit setup and template, changelog): https://api.buildindubai.gov.ae/assets/BIM/Documents/DubaiBIMStandards.zip, from https://buildindubai.gov.ae/bim, checked 2026-11-05.</w:t>
      </w:r>
    </w:p>
    <w:p>
      <w:pPr>
        <w:pStyle w:val="ListParagraph"/>
        <w:spacing w:after="40"/>
        <w:ind w:left="360" w:hanging="240"/>
      </w:pPr>
      <w:r>
        <w:t xml:space="preserve">•  </w:t>
      </w:r>
      <w:r>
        <w:t>DM Administrative Resolution No. 225 of 2024 (Arabic text, read in full 2026-11-05): https://dmpmedia.dm.gov.ae/uploads/2024/08/قرار-إداري-رقم-225-لسنة-2004.pdf; document page https://www.dm.gov.ae/?p=352286; DM laws and orders: https://www.dm.gov.ae/municipality-business/laws-and-orders/, checked 2026-11-04.</w:t>
      </w:r>
    </w:p>
    <w:p>
      <w:pPr>
        <w:pStyle w:val="ListParagraph"/>
        <w:spacing w:after="40"/>
        <w:ind w:left="360" w:hanging="240"/>
      </w:pPr>
      <w:r>
        <w:t xml:space="preserve">•  </w:t>
      </w:r>
      <w:r>
        <w:t>Dubai Law No. 3 of 2026: https://dlp.dubai.gov.ae/Legislation%20Reference/2026/Law%20No.%20%283%29%20of%202026%20Concerning%20the%20Quality%20and%20Safety%20of%20Buildings.html, checked 2026-11-04; Official Gazette issue 764 record: https://slc.dubai.gov.ae/ar/legislation-portal/detail?id=0900000a805341fc, checked 2026-11-05.</w:t>
      </w:r>
    </w:p>
    <w:p>
      <w:pPr>
        <w:pStyle w:val="ListParagraph"/>
        <w:spacing w:after="40"/>
        <w:ind w:left="360" w:hanging="240"/>
      </w:pPr>
      <w:r>
        <w:t xml:space="preserve">•  </w:t>
      </w:r>
      <w:r>
        <w:t>DM circular (11-9-1) of 2026, 1 Oct 2026: https://dmpmedia.dm.gov.ae/uploads/2026/10/11-9-1.pdf; guidance manual 11-9-1-1 "Building Quality and Safety Certificate", May 2026: https://dmpmedia.dm.gov.ae/uploads/2026/10/11-9-1-1.pdf; both read in full 2026-11-05.</w:t>
      </w:r>
    </w:p>
    <w:p>
      <w:pPr>
        <w:pStyle w:val="ListParagraph"/>
        <w:spacing w:after="40"/>
        <w:ind w:left="360" w:hanging="240"/>
      </w:pPr>
      <w:r>
        <w:t xml:space="preserve">•  </w:t>
      </w:r>
      <w:r>
        <w:t>UAE Fire &amp; Life Safety Code of Practice, September 2018: https://www.dcd.gov.ae/portal/preventive-safety/uae-fire-and-life-safety-code-of-practice.jsp, checked 2026-11-04. ADCDA site searched for the 2026 amendments circular: https://www.adcda.gov.ae/, 2026-11-05 (not found).</w:t>
      </w:r>
    </w:p>
    <w:p>
      <w:pPr>
        <w:pStyle w:val="ListParagraph"/>
        <w:spacing w:after="40"/>
        <w:ind w:left="360" w:hanging="240"/>
      </w:pPr>
      <w:r>
        <w:t xml:space="preserve">•  </w:t>
      </w:r>
      <w:r>
        <w:t>SIRA Administrative Resolution No. 13 of 2025 (Preventive Systems Manual): https://dlp.dubai.gov.ae/Legislation%20Reference/2025/Administrative%20Resolution%20No.%20%2813%29%20of%202025%20Approving%20the%20Preventive.html; SIRA Security Plans Certification service: https://www.sira.gov.ae/en/services/security-plans-certification; checked 2026-11-05.</w:t>
      </w:r>
    </w:p>
    <w:p>
      <w:pPr>
        <w:pStyle w:val="ListParagraph"/>
        <w:spacing w:after="40"/>
        <w:ind w:left="360" w:hanging="240"/>
      </w:pPr>
      <w:r>
        <w:t xml:space="preserve">•  </w:t>
      </w:r>
      <w:r>
        <w:t>DMT 2013 Abu Dhabi code suite (e.g. ADIMC-2013): https://www.dmt.gov.ae/-/media/Project/DMT/DMT/Codes/3-ADIMC-2013_1-12-2013.pdf, checked 2026-11-04.</w:t>
      </w:r>
    </w:p>
    <w:p>
      <w:pPr>
        <w:pStyle w:val="ListParagraph"/>
        <w:spacing w:after="40"/>
        <w:ind w:left="360" w:hanging="240"/>
      </w:pPr>
      <w:r>
        <w:t xml:space="preserve">•  </w:t>
      </w:r>
      <w:r>
        <w:t>ADM BIM Code of Practice, Oct 2020: https://www.dmt.gov.ae/adm/-/media/Project/DMT/ADM/E-Library/0001-Jan-2022-Doc/ADM-BIM-005Code-of-Practice.pdf; Documentation Guidelines for Infrastructure v1.0: https://www.dmt.gov.ae/adm/-/media/Project/DMT/ADM/E-Library/0001-Jan-2022-Doc/ADM-BIM-002Documentation-Guidelines-for-Infrastructure-projects.pdf; Infrastructure BIM Object Catalogue v2.0: https://www.dmt.gov.ae/adm/-/media/Project/DMT/ADM/E-Library/0001-Dec-2021-Doc/ADM-Infrastructure-BIM-Object-Catalogue.pdf, checked 2026-11-04.</w:t>
      </w:r>
    </w:p>
    <w:p>
      <w:pPr>
        <w:pStyle w:val="ListParagraph"/>
        <w:spacing w:after="40"/>
        <w:ind w:left="360" w:hanging="240"/>
      </w:pPr>
      <w:r>
        <w:t xml:space="preserve">•  </w:t>
      </w:r>
      <w:r>
        <w:t>Estidama minimum Pearl ratings, DMT news 8 Jan 2025: https://www.dmt.gov.ae/en/adm/Media-Centre/News/08Jan2025, checked 2026-11-04.</w:t>
      </w:r>
    </w:p>
    <w:p>
      <w:pPr>
        <w:pStyle w:val="ListParagraph"/>
        <w:spacing w:after="40"/>
        <w:ind w:left="360" w:hanging="240"/>
      </w:pPr>
      <w:r>
        <w:t xml:space="preserve">•  </w:t>
      </w:r>
      <w:r>
        <w:t>Al Sa'fat Dubai green building system: https://www.dm.gov.ae/municipality-business/al-safat-dubai-green-building-system/, checked 2026-11-04.</w:t>
      </w:r>
    </w:p>
    <w:p>
      <w:pPr>
        <w:pStyle w:val="ListParagraph"/>
        <w:spacing w:after="40"/>
        <w:ind w:left="360" w:hanging="240"/>
      </w:pPr>
      <w:r>
        <w:t xml:space="preserve">•  </w:t>
      </w:r>
      <w:r>
        <w:t>No federal BIM mandate found: https://www.Project.ae/en/details/1395303033593, checked 2026-11-04.</w:t>
      </w:r>
    </w:p>
    <w:p>
      <w:pPr>
        <w:pStyle w:val="ListParagraph"/>
        <w:spacing w:after="40"/>
        <w:ind w:left="360" w:hanging="240"/>
      </w:pPr>
      <w:r>
        <w:t xml:space="preserve">•  </w:t>
      </w:r>
      <w:r>
        <w:t>Office: BBM-STD-51 §3 (edition register), BBM-STD-57, BBM-STD-12, BBM-STD-86, BBM-STD-87, BBM-STD-93; settled decisions O-DEC-103, O-DEC-105, O-DEC-109, O-DEC-110, O-DEC-111, O-DEC-119, O-DEC-153–157, O-DEC-159, O-DEC-160, O-DEC-185, O-DEC-186.</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BBM-STD-85-UAE_AUTHORITY_SUBMISSIONS-V0.3</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github.com/Fargaly/baboom-bim-standard/blob/main/04-DOCUMENTS/BBM-STD-85-UAE_AUTHORITY_SUBMISSIONS-V0.3.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