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Level of information need to IDS</w:t>
      </w:r>
    </w:p>
    <w:p>
      <w:pPr/>
      <w:r>
        <w:t xml:space="preserve">Linked copies: ID STD-89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BBM-STD-89-LOIN_TO_IDS-V0.1 | Office standard | 4 November 2026 | V0.1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2026-11-04</w:t>
            </w:r>
          </w:p>
        </w:tc>
        <w:tc>
          <w:tcPr>
            <w:tcW w:type="dxa" w:w="8659"/>
          </w:tcPr>
          <w:p>
            <w:r>
              <w:rPr>
                <w:sz w:val="17"/>
              </w:rPr>
            </w:r>
            <w:r>
              <w:rPr>
                <w:sz w:val="17"/>
              </w:rPr>
              <w:t>First issue: closes audit res-026 rows G032, G033, G103, G130 (IM-04 IDS source), G136, G149, G155, G157, G189, G201 (validation report), G251, G253, G293 (LOIN-to-IDS content; §1.2 gap 7 IDS part; §1.3 row "LOIN-to-IDS information requirements"; research R1, R2) + cross-doc pointer pass: BBM-STD-51 §3 register IDs cited (ED-ISO7817-1, ED-IDS, ED-IFC-VALIDATION); internal IDS IDs such as LSC-IDS-&lt;rev&gt; mapped to the issued file name (G189)</w:t>
            </w:r>
          </w:p>
        </w:tc>
      </w:tr>
    </w:tbl>
    <w:p/>
    <w:p>
      <w:pPr>
        <w:pStyle w:val="Heading1"/>
      </w:pPr>
      <w:r>
        <w:t>1 Purpose ownership and scope</w:t>
      </w:r>
    </w:p>
    <w:p>
      <w:pPr/>
      <w:r>
        <w:t xml:space="preserve">Information requirements are specified in level-of-information-need (LOIN) terms per ISO 7817-1:2024 (which replaces EN 17412-1:2020; register rows ED-ISO7817-1 and ED-EN17412-1 in </w:t>
      </w:r>
      <w:r>
        <w:rPr>
          <w:color w:val="9A7B45"/>
          <w:u w:val="single"/>
        </w:rPr>
        <w:t>BBM-STD-51</w:t>
      </w:r>
      <w:r>
        <w:t xml:space="preserve"> §3) and checked by machine where a machine check is reliable. </w:t>
      </w:r>
      <w:r>
        <w:rPr>
          <w:color w:val="9A7B45"/>
          <w:u w:val="single"/>
        </w:rPr>
        <w:t>BBM-STD-54</w:t>
      </w:r>
      <w:r>
        <w:t xml:space="preserve"> owns the LOIN tables per exchange; this standard owns how each LOIN row becomes a buildingSMART IDS 1.0 file (June 2024, register row ED-IDS), how that file is named and checked, and what IDS cannot check. </w:t>
      </w:r>
      <w:r>
        <w:rPr>
          <w:color w:val="9A7B45"/>
          <w:u w:val="single"/>
        </w:rPr>
        <w:t>BBM-STD-74</w:t>
      </w:r>
      <w:r>
        <w:t xml:space="preserve"> §5 owns IDS authoring and audit records per profile and cites this standard for the rules below.</w:t>
      </w:r>
    </w:p>
    <w:p>
      <w:pPr/>
      <w:r>
        <w:t>Research basis. IDS covers mostly alphanumeric needs; LOIN is wider (Akbas, Bolpagni, Borrmann et al., ITcon 2025, R1). Five IDS tools disagreed on classification facets, regular expressions and reporting (Cerovšek &amp; Omar, Buildings 2025, R2). Therefore: specify in LOIN terms, use IDS for the alphanumeric checks it can express, check geometry and documentation by other named means, and name the checker and its version on every result. A pass in one tool is not proof.</w:t>
      </w:r>
    </w:p>
    <w:p>
      <w:pPr>
        <w:pStyle w:val="Heading1"/>
      </w:pPr>
      <w:r>
        <w:t>2 ISO 7817-1 facets</w:t>
      </w:r>
    </w:p>
    <w:p>
      <w:pPr/>
      <w:r>
        <w:t>Every LOIN row states its prerequisites (purpose, information delivery milestone, actor sending and receiving, object) and then the information facets. Use these columns in BBM-STD-54 §3 (not RIBA stage, LOD or LOI labels, O-DEC-017).</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491"/>
        <w:gridCol w:w="2463"/>
        <w:gridCol w:w="6512"/>
      </w:tblGrid>
      <w:tr>
        <w:trPr>
          <w:cantSplit/>
          <w:tblHeader/>
        </w:trPr>
        <w:tc>
          <w:tcPr>
            <w:tcW w:type="dxa" w:w="1491"/>
            <w:shd w:val="clear" w:color="auto" w:fill="111113"/>
          </w:tcPr>
          <w:p>
            <w:r>
              <w:rPr>
                <w:b/>
                <w:color w:val="FFFFFF"/>
                <w:sz w:val="17"/>
              </w:rPr>
            </w:r>
            <w:r>
              <w:rPr>
                <w:b/>
                <w:color w:val="FFFFFF"/>
                <w:sz w:val="17"/>
              </w:rPr>
              <w:t>Group</w:t>
            </w:r>
          </w:p>
        </w:tc>
        <w:tc>
          <w:tcPr>
            <w:tcW w:type="dxa" w:w="2463"/>
            <w:shd w:val="clear" w:color="auto" w:fill="111113"/>
          </w:tcPr>
          <w:p>
            <w:r>
              <w:rPr>
                <w:b/>
                <w:color w:val="FFFFFF"/>
                <w:sz w:val="17"/>
              </w:rPr>
            </w:r>
            <w:r>
              <w:rPr>
                <w:b/>
                <w:color w:val="FFFFFF"/>
                <w:sz w:val="17"/>
              </w:rPr>
              <w:t>Facet</w:t>
            </w:r>
          </w:p>
        </w:tc>
        <w:tc>
          <w:tcPr>
            <w:tcW w:type="dxa" w:w="6512"/>
            <w:shd w:val="clear" w:color="auto" w:fill="111113"/>
          </w:tcPr>
          <w:p>
            <w:r>
              <w:rPr>
                <w:b/>
                <w:color w:val="FFFFFF"/>
                <w:sz w:val="17"/>
              </w:rPr>
            </w:r>
            <w:r>
              <w:rPr>
                <w:b/>
                <w:color w:val="FFFFFF"/>
                <w:sz w:val="17"/>
              </w:rPr>
              <w:t>What the row states</w:t>
            </w:r>
          </w:p>
        </w:tc>
      </w:tr>
      <w:tr>
        <w:trPr>
          <w:cantSplit/>
        </w:trPr>
        <w:tc>
          <w:tcPr>
            <w:tcW w:type="dxa" w:w="1491"/>
          </w:tcPr>
          <w:p>
            <w:r>
              <w:rPr>
                <w:sz w:val="17"/>
              </w:rPr>
            </w:r>
            <w:r>
              <w:rPr>
                <w:sz w:val="17"/>
              </w:rPr>
              <w:t>Prerequisites</w:t>
            </w:r>
          </w:p>
        </w:tc>
        <w:tc>
          <w:tcPr>
            <w:tcW w:type="dxa" w:w="2463"/>
          </w:tcPr>
          <w:p>
            <w:r>
              <w:rPr>
                <w:sz w:val="17"/>
              </w:rPr>
            </w:r>
            <w:r>
              <w:rPr>
                <w:sz w:val="17"/>
              </w:rPr>
              <w:t>Purpose /​ milestone /​ actors /​ object</w:t>
            </w:r>
          </w:p>
        </w:tc>
        <w:tc>
          <w:tcPr>
            <w:tcW w:type="dxa" w:w="6512"/>
          </w:tcPr>
          <w:p>
            <w:r>
              <w:rPr>
                <w:sz w:val="17"/>
              </w:rPr>
            </w:r>
            <w:r>
              <w:rPr>
                <w:sz w:val="17"/>
              </w:rPr>
              <w:t>Why, when, from whom to whom, which object type or element</w:t>
            </w:r>
          </w:p>
        </w:tc>
      </w:tr>
      <w:tr>
        <w:trPr>
          <w:cantSplit/>
        </w:trPr>
        <w:tc>
          <w:tcPr>
            <w:tcW w:type="dxa" w:w="1491"/>
          </w:tcPr>
          <w:p>
            <w:r>
              <w:rPr>
                <w:sz w:val="17"/>
              </w:rPr>
            </w:r>
            <w:r>
              <w:rPr>
                <w:sz w:val="17"/>
              </w:rPr>
              <w:t>Geometrical</w:t>
            </w:r>
          </w:p>
        </w:tc>
        <w:tc>
          <w:tcPr>
            <w:tcW w:type="dxa" w:w="2463"/>
          </w:tcPr>
          <w:p>
            <w:r>
              <w:rPr>
                <w:sz w:val="17"/>
              </w:rPr>
            </w:r>
            <w:r>
              <w:rPr>
                <w:sz w:val="17"/>
              </w:rPr>
              <w:t>Detail</w:t>
            </w:r>
          </w:p>
        </w:tc>
        <w:tc>
          <w:tcPr>
            <w:tcW w:type="dxa" w:w="6512"/>
          </w:tcPr>
          <w:p>
            <w:r>
              <w:rPr>
                <w:sz w:val="17"/>
              </w:rPr>
            </w:r>
            <w:r>
              <w:rPr>
                <w:sz w:val="17"/>
              </w:rPr>
              <w:t>How simplified or detailed the shape is</w:t>
            </w:r>
          </w:p>
        </w:tc>
      </w:tr>
      <w:tr>
        <w:trPr>
          <w:cantSplit/>
        </w:trPr>
        <w:tc>
          <w:tcPr>
            <w:tcW w:type="dxa" w:w="1491"/>
          </w:tcPr>
          <w:p>
            <w:r>
              <w:rPr>
                <w:sz w:val="17"/>
              </w:rPr>
            </w:r>
            <w:r>
              <w:rPr>
                <w:sz w:val="17"/>
              </w:rPr>
              <w:t>Geometrical</w:t>
            </w:r>
          </w:p>
        </w:tc>
        <w:tc>
          <w:tcPr>
            <w:tcW w:type="dxa" w:w="2463"/>
          </w:tcPr>
          <w:p>
            <w:r>
              <w:rPr>
                <w:sz w:val="17"/>
              </w:rPr>
            </w:r>
            <w:r>
              <w:rPr>
                <w:sz w:val="17"/>
              </w:rPr>
              <w:t>Dimensionality</w:t>
            </w:r>
          </w:p>
        </w:tc>
        <w:tc>
          <w:tcPr>
            <w:tcW w:type="dxa" w:w="6512"/>
          </w:tcPr>
          <w:p>
            <w:r>
              <w:rPr>
                <w:sz w:val="17"/>
              </w:rPr>
            </w:r>
            <w:r>
              <w:rPr>
                <w:sz w:val="17"/>
              </w:rPr>
              <w:t>0D, 1D, 2D or 3D</w:t>
            </w:r>
          </w:p>
        </w:tc>
      </w:tr>
      <w:tr>
        <w:trPr>
          <w:cantSplit/>
        </w:trPr>
        <w:tc>
          <w:tcPr>
            <w:tcW w:type="dxa" w:w="1491"/>
          </w:tcPr>
          <w:p>
            <w:r>
              <w:rPr>
                <w:sz w:val="17"/>
              </w:rPr>
            </w:r>
            <w:r>
              <w:rPr>
                <w:sz w:val="17"/>
              </w:rPr>
              <w:t>Geometrical</w:t>
            </w:r>
          </w:p>
        </w:tc>
        <w:tc>
          <w:tcPr>
            <w:tcW w:type="dxa" w:w="2463"/>
          </w:tcPr>
          <w:p>
            <w:r>
              <w:rPr>
                <w:sz w:val="17"/>
              </w:rPr>
            </w:r>
            <w:r>
              <w:rPr>
                <w:sz w:val="17"/>
              </w:rPr>
              <w:t>Location</w:t>
            </w:r>
          </w:p>
        </w:tc>
        <w:tc>
          <w:tcPr>
            <w:tcW w:type="dxa" w:w="6512"/>
          </w:tcPr>
          <w:p>
            <w:r>
              <w:rPr>
                <w:sz w:val="17"/>
              </w:rPr>
            </w:r>
            <w:r>
              <w:rPr>
                <w:sz w:val="17"/>
              </w:rPr>
              <w:t xml:space="preserve">Absolute or relative placement and its reference (CRS record, </w:t>
            </w:r>
            <w:r>
              <w:rPr>
                <w:color w:val="9A7B45"/>
                <w:sz w:val="17"/>
                <w:u w:val="single"/>
              </w:rPr>
              <w:t>BBM-STD-86</w:t>
            </w:r>
            <w:r>
              <w:rPr>
                <w:sz w:val="17"/>
              </w:rPr>
              <w:t>)</w:t>
            </w:r>
          </w:p>
        </w:tc>
      </w:tr>
      <w:tr>
        <w:trPr>
          <w:cantSplit/>
        </w:trPr>
        <w:tc>
          <w:tcPr>
            <w:tcW w:type="dxa" w:w="1491"/>
          </w:tcPr>
          <w:p>
            <w:r>
              <w:rPr>
                <w:sz w:val="17"/>
              </w:rPr>
            </w:r>
            <w:r>
              <w:rPr>
                <w:sz w:val="17"/>
              </w:rPr>
              <w:t>Geometrical</w:t>
            </w:r>
          </w:p>
        </w:tc>
        <w:tc>
          <w:tcPr>
            <w:tcW w:type="dxa" w:w="2463"/>
          </w:tcPr>
          <w:p>
            <w:r>
              <w:rPr>
                <w:sz w:val="17"/>
              </w:rPr>
            </w:r>
            <w:r>
              <w:rPr>
                <w:sz w:val="17"/>
              </w:rPr>
              <w:t>Appearance</w:t>
            </w:r>
          </w:p>
        </w:tc>
        <w:tc>
          <w:tcPr>
            <w:tcW w:type="dxa" w:w="6512"/>
          </w:tcPr>
          <w:p>
            <w:r>
              <w:rPr>
                <w:sz w:val="17"/>
              </w:rPr>
            </w:r>
            <w:r>
              <w:rPr>
                <w:sz w:val="17"/>
              </w:rPr>
              <w:t>Symbolic or realistic representation</w:t>
            </w:r>
          </w:p>
        </w:tc>
      </w:tr>
      <w:tr>
        <w:trPr>
          <w:cantSplit/>
        </w:trPr>
        <w:tc>
          <w:tcPr>
            <w:tcW w:type="dxa" w:w="1491"/>
          </w:tcPr>
          <w:p>
            <w:r>
              <w:rPr>
                <w:sz w:val="17"/>
              </w:rPr>
            </w:r>
            <w:r>
              <w:rPr>
                <w:sz w:val="17"/>
              </w:rPr>
              <w:t>Geometrical</w:t>
            </w:r>
          </w:p>
        </w:tc>
        <w:tc>
          <w:tcPr>
            <w:tcW w:type="dxa" w:w="2463"/>
          </w:tcPr>
          <w:p>
            <w:r>
              <w:rPr>
                <w:sz w:val="17"/>
              </w:rPr>
            </w:r>
            <w:r>
              <w:rPr>
                <w:sz w:val="17"/>
              </w:rPr>
              <w:t>Parametric behaviour</w:t>
            </w:r>
          </w:p>
        </w:tc>
        <w:tc>
          <w:tcPr>
            <w:tcW w:type="dxa" w:w="6512"/>
          </w:tcPr>
          <w:p>
            <w:r>
              <w:rPr>
                <w:sz w:val="17"/>
              </w:rPr>
            </w:r>
            <w:r>
              <w:rPr>
                <w:sz w:val="17"/>
              </w:rPr>
              <w:t>Whether shape is driven by parameters or fixed</w:t>
            </w:r>
          </w:p>
        </w:tc>
      </w:tr>
      <w:tr>
        <w:trPr>
          <w:cantSplit/>
        </w:trPr>
        <w:tc>
          <w:tcPr>
            <w:tcW w:type="dxa" w:w="1491"/>
          </w:tcPr>
          <w:p>
            <w:r>
              <w:rPr>
                <w:sz w:val="17"/>
              </w:rPr>
            </w:r>
            <w:r>
              <w:rPr>
                <w:sz w:val="17"/>
              </w:rPr>
              <w:t>Alphanumerical</w:t>
            </w:r>
          </w:p>
        </w:tc>
        <w:tc>
          <w:tcPr>
            <w:tcW w:type="dxa" w:w="2463"/>
          </w:tcPr>
          <w:p>
            <w:r>
              <w:rPr>
                <w:sz w:val="17"/>
              </w:rPr>
            </w:r>
            <w:r>
              <w:rPr>
                <w:sz w:val="17"/>
              </w:rPr>
              <w:t>Identification</w:t>
            </w:r>
          </w:p>
        </w:tc>
        <w:tc>
          <w:tcPr>
            <w:tcW w:type="dxa" w:w="6512"/>
          </w:tcPr>
          <w:p>
            <w:r>
              <w:rPr>
                <w:sz w:val="17"/>
              </w:rPr>
            </w:r>
            <w:r>
              <w:rPr>
                <w:sz w:val="17"/>
              </w:rPr>
              <w:t>Name, type, classification code (Classification_Code, O-DEC-116), Asset_ID (O-DEC-121)</w:t>
            </w:r>
          </w:p>
        </w:tc>
      </w:tr>
      <w:tr>
        <w:trPr>
          <w:cantSplit/>
        </w:trPr>
        <w:tc>
          <w:tcPr>
            <w:tcW w:type="dxa" w:w="1491"/>
          </w:tcPr>
          <w:p>
            <w:r>
              <w:rPr>
                <w:sz w:val="17"/>
              </w:rPr>
            </w:r>
            <w:r>
              <w:rPr>
                <w:sz w:val="17"/>
              </w:rPr>
              <w:t>Alphanumerical</w:t>
            </w:r>
          </w:p>
        </w:tc>
        <w:tc>
          <w:tcPr>
            <w:tcW w:type="dxa" w:w="2463"/>
          </w:tcPr>
          <w:p>
            <w:r>
              <w:rPr>
                <w:sz w:val="17"/>
              </w:rPr>
            </w:r>
            <w:r>
              <w:rPr>
                <w:sz w:val="17"/>
              </w:rPr>
              <w:t>Information content</w:t>
            </w:r>
          </w:p>
        </w:tc>
        <w:tc>
          <w:tcPr>
            <w:tcW w:type="dxa" w:w="6512"/>
          </w:tcPr>
          <w:p>
            <w:r>
              <w:rPr>
                <w:sz w:val="17"/>
              </w:rPr>
            </w:r>
            <w:r>
              <w:rPr>
                <w:sz w:val="17"/>
              </w:rPr>
              <w:t>Properties, units, allowed values, data source (e.g. Fire_Rating as integer minutes, O-DEC-119)</w:t>
            </w:r>
          </w:p>
        </w:tc>
      </w:tr>
      <w:tr>
        <w:trPr>
          <w:cantSplit/>
        </w:trPr>
        <w:tc>
          <w:tcPr>
            <w:tcW w:type="dxa" w:w="1491"/>
          </w:tcPr>
          <w:p>
            <w:r>
              <w:rPr>
                <w:sz w:val="17"/>
              </w:rPr>
            </w:r>
            <w:r>
              <w:rPr>
                <w:sz w:val="17"/>
              </w:rPr>
              <w:t>Documentation</w:t>
            </w:r>
          </w:p>
        </w:tc>
        <w:tc>
          <w:tcPr>
            <w:tcW w:type="dxa" w:w="2463"/>
          </w:tcPr>
          <w:p>
            <w:r>
              <w:rPr>
                <w:sz w:val="17"/>
              </w:rPr>
            </w:r>
            <w:r>
              <w:rPr>
                <w:sz w:val="17"/>
              </w:rPr>
              <w:t>Documents</w:t>
            </w:r>
          </w:p>
        </w:tc>
        <w:tc>
          <w:tcPr>
            <w:tcW w:type="dxa" w:w="6512"/>
          </w:tcPr>
          <w:p>
            <w:r>
              <w:rPr>
                <w:sz w:val="17"/>
              </w:rPr>
            </w:r>
            <w:r>
              <w:rPr>
                <w:sz w:val="17"/>
              </w:rPr>
              <w:t>Documents that must accompany the object (datasheet, certificate, manual), by document type</w:t>
            </w:r>
          </w:p>
        </w:tc>
      </w:tr>
    </w:tbl>
    <w:p/>
    <w:p>
      <w:pPr>
        <w:pStyle w:val="Heading1"/>
      </w:pPr>
      <w:r>
        <w:t>3 One IDS file per exchange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42"/>
        <w:gridCol w:w="9124"/>
      </w:tblGrid>
      <w:tr>
        <w:trPr>
          <w:cantSplit/>
          <w:tblHeader/>
        </w:trPr>
        <w:tc>
          <w:tcPr>
            <w:tcW w:type="dxa" w:w="1342"/>
            <w:shd w:val="clear" w:color="auto" w:fill="111113"/>
          </w:tcPr>
          <w:p>
            <w:r>
              <w:rPr>
                <w:b/>
                <w:color w:val="FFFFFF"/>
                <w:sz w:val="17"/>
              </w:rPr>
            </w:r>
            <w:r>
              <w:rPr>
                <w:b/>
                <w:color w:val="FFFFFF"/>
                <w:sz w:val="17"/>
              </w:rPr>
              <w:t>Rule</w:t>
            </w:r>
          </w:p>
        </w:tc>
        <w:tc>
          <w:tcPr>
            <w:tcW w:type="dxa" w:w="9124"/>
            <w:shd w:val="clear" w:color="auto" w:fill="111113"/>
          </w:tcPr>
          <w:p>
            <w:r>
              <w:rPr>
                <w:b/>
                <w:color w:val="FFFFFF"/>
                <w:sz w:val="17"/>
              </w:rPr>
            </w:r>
            <w:r>
              <w:rPr>
                <w:b/>
                <w:color w:val="FFFFFF"/>
                <w:sz w:val="17"/>
              </w:rPr>
              <w:t>Detail</w:t>
            </w:r>
          </w:p>
        </w:tc>
      </w:tr>
      <w:tr>
        <w:trPr>
          <w:cantSplit/>
        </w:trPr>
        <w:tc>
          <w:tcPr>
            <w:tcW w:type="dxa" w:w="1342"/>
          </w:tcPr>
          <w:p>
            <w:r>
              <w:rPr>
                <w:sz w:val="17"/>
              </w:rPr>
            </w:r>
            <w:r>
              <w:rPr>
                <w:sz w:val="17"/>
              </w:rPr>
              <w:t>I1 One file per exchange</w:t>
            </w:r>
          </w:p>
        </w:tc>
        <w:tc>
          <w:tcPr>
            <w:tcW w:type="dxa" w:w="9124"/>
          </w:tcPr>
          <w:p>
            <w:r>
              <w:rPr>
                <w:sz w:val="17"/>
              </w:rPr>
            </w:r>
            <w:r>
              <w:rPr>
                <w:sz w:val="17"/>
              </w:rPr>
              <w:t>Each exchange (EX-nnn in BEP §7.4) gets one IDS 1.0 file holding all its machine-checkable LOIN rows; one IDS specification per LOIN row, carrying the LOIN row ID in its identifier</w:t>
            </w:r>
          </w:p>
        </w:tc>
      </w:tr>
      <w:tr>
        <w:trPr>
          <w:cantSplit/>
        </w:trPr>
        <w:tc>
          <w:tcPr>
            <w:tcW w:type="dxa" w:w="1342"/>
          </w:tcPr>
          <w:p>
            <w:r>
              <w:rPr>
                <w:sz w:val="17"/>
              </w:rPr>
            </w:r>
            <w:r>
              <w:rPr>
                <w:sz w:val="17"/>
              </w:rPr>
              <w:t>I2 Version pinned</w:t>
            </w:r>
          </w:p>
        </w:tc>
        <w:tc>
          <w:tcPr>
            <w:tcW w:type="dxa" w:w="9124"/>
          </w:tcPr>
          <w:p>
            <w:r>
              <w:rPr>
                <w:sz w:val="17"/>
              </w:rPr>
            </w:r>
            <w:r>
              <w:rPr>
                <w:sz w:val="17"/>
              </w:rPr>
              <w:t>IDS 1.0 (buildingSMART, June 2024), schema file and hash recorded, unless the appointment names another release</w:t>
            </w:r>
          </w:p>
        </w:tc>
      </w:tr>
      <w:tr>
        <w:trPr>
          <w:cantSplit/>
        </w:trPr>
        <w:tc>
          <w:tcPr>
            <w:tcW w:type="dxa" w:w="1342"/>
          </w:tcPr>
          <w:p>
            <w:r>
              <w:rPr>
                <w:sz w:val="17"/>
              </w:rPr>
            </w:r>
            <w:r>
              <w:rPr>
                <w:sz w:val="17"/>
              </w:rPr>
              <w:t>I3 IFC version stated</w:t>
            </w:r>
          </w:p>
        </w:tc>
        <w:tc>
          <w:tcPr>
            <w:tcW w:type="dxa" w:w="9124"/>
          </w:tcPr>
          <w:p>
            <w:r>
              <w:rPr>
                <w:sz w:val="17"/>
              </w:rPr>
            </w:r>
            <w:r>
              <w:rPr>
                <w:sz w:val="17"/>
              </w:rPr>
              <w:t>The specification ifcVersion equals the exchange profile: IFC4 for the office default IFC 4.0.2.1 Reference View; IFC4X3_ADD2 only for an approved IFC 4.3.2.0 profile; IFC2X3 only where an appointment or authority profile requires it (O-DEC-105)</w:t>
            </w:r>
          </w:p>
        </w:tc>
      </w:tr>
      <w:tr>
        <w:trPr>
          <w:cantSplit/>
        </w:trPr>
        <w:tc>
          <w:tcPr>
            <w:tcW w:type="dxa" w:w="1342"/>
          </w:tcPr>
          <w:p>
            <w:r>
              <w:rPr>
                <w:sz w:val="17"/>
              </w:rPr>
            </w:r>
            <w:r>
              <w:rPr>
                <w:sz w:val="17"/>
              </w:rPr>
              <w:t>I4 Info block</w:t>
            </w:r>
          </w:p>
        </w:tc>
        <w:tc>
          <w:tcPr>
            <w:tcW w:type="dxa" w:w="9124"/>
          </w:tcPr>
          <w:p>
            <w:r>
              <w:rPr>
                <w:sz w:val="17"/>
              </w:rPr>
            </w:r>
            <w:r>
              <w:rPr>
                <w:sz w:val="17"/>
              </w:rPr>
              <w:t>title = exchange ID and name; version = file revision; author = office role address, not a person; date; purpose and milestone = the LOIN prerequisites; description names the BBM-STD-54 table revision</w:t>
            </w:r>
          </w:p>
        </w:tc>
      </w:tr>
      <w:tr>
        <w:trPr>
          <w:cantSplit/>
        </w:trPr>
        <w:tc>
          <w:tcPr>
            <w:tcW w:type="dxa" w:w="1342"/>
          </w:tcPr>
          <w:p>
            <w:r>
              <w:rPr>
                <w:sz w:val="17"/>
              </w:rPr>
            </w:r>
            <w:r>
              <w:rPr>
                <w:sz w:val="17"/>
              </w:rPr>
              <w:t>I5 Fixtures</w:t>
            </w:r>
          </w:p>
        </w:tc>
        <w:tc>
          <w:tcPr>
            <w:tcW w:type="dxa" w:w="9124"/>
          </w:tcPr>
          <w:p>
            <w:r>
              <w:rPr>
                <w:sz w:val="17"/>
              </w:rPr>
            </w:r>
            <w:r>
              <w:rPr>
                <w:sz w:val="17"/>
              </w:rPr>
              <w:t>Each file ships with one IFC fixture that must pass and one that must fail per specification; both are kept with the file</w:t>
            </w:r>
          </w:p>
        </w:tc>
      </w:tr>
      <w:tr>
        <w:trPr>
          <w:cantSplit/>
        </w:trPr>
        <w:tc>
          <w:tcPr>
            <w:tcW w:type="dxa" w:w="1342"/>
          </w:tcPr>
          <w:p>
            <w:r>
              <w:rPr>
                <w:sz w:val="17"/>
              </w:rPr>
            </w:r>
            <w:r>
              <w:rPr>
                <w:sz w:val="17"/>
              </w:rPr>
              <w:t>I6 File check</w:t>
            </w:r>
          </w:p>
        </w:tc>
        <w:tc>
          <w:tcPr>
            <w:tcW w:type="dxa" w:w="9124"/>
          </w:tcPr>
          <w:p>
            <w:r>
              <w:rPr>
                <w:sz w:val="17"/>
              </w:rPr>
            </w:r>
            <w:r>
              <w:rPr>
                <w:sz w:val="17"/>
              </w:rPr>
              <w:t>The IDS file itself is checked with the buildingSMART IDS Audit tool before release; a file that fails the audit is not issued</w:t>
            </w:r>
          </w:p>
        </w:tc>
      </w:tr>
      <w:tr>
        <w:trPr>
          <w:cantSplit/>
        </w:trPr>
        <w:tc>
          <w:tcPr>
            <w:tcW w:type="dxa" w:w="1342"/>
          </w:tcPr>
          <w:p>
            <w:r>
              <w:rPr>
                <w:sz w:val="17"/>
              </w:rPr>
            </w:r>
            <w:r>
              <w:rPr>
                <w:sz w:val="17"/>
              </w:rPr>
              <w:t>I7 Authority profiles</w:t>
            </w:r>
          </w:p>
        </w:tc>
        <w:tc>
          <w:tcPr>
            <w:tcW w:type="dxa" w:w="9124"/>
          </w:tcPr>
          <w:p>
            <w:r>
              <w:rPr>
                <w:sz w:val="17"/>
              </w:rPr>
            </w:r>
            <w:r>
              <w:rPr>
                <w:sz w:val="17"/>
              </w:rPr>
              <w:t xml:space="preserve">Dubai permit attributes (Model Attribute Matrix of the current Dubai BIM Standard) are a separate IDS file per </w:t>
            </w:r>
            <w:r>
              <w:rPr>
                <w:color w:val="9A7B45"/>
                <w:sz w:val="17"/>
                <w:u w:val="single"/>
              </w:rPr>
              <w:t>BBM-STD-85</w:t>
            </w:r>
            <w:r>
              <w:rPr>
                <w:sz w:val="17"/>
              </w:rPr>
              <w:t xml:space="preserve"> §3, held until that matrix is obtained from the official source</w:t>
            </w:r>
          </w:p>
        </w:tc>
      </w:tr>
    </w:tbl>
    <w:p/>
    <w:p>
      <w:pPr/>
      <w:r>
        <w:rPr>
          <w:b/>
        </w:rPr>
        <w:t>File naming.</w:t>
      </w:r>
      <w:r>
        <w:t xml:space="preserve"> An issued IDS file is an information container named with the external 8-token grammar </w:t>
      </w:r>
      <w:r>
        <w:rPr>
          <w:rFonts w:ascii="JetBrains Mono" w:hAnsi="JetBrains Mono"/>
        </w:rPr>
        <w:t>CLIENT-ORG-PROJ-VOLUME-LEVEL-TYPE-ROLE-NUMBER.ids</w:t>
      </w:r>
      <w:r>
        <w:t xml:space="preserve"> (O-DEC-102), with TYPE and ROLE codes from </w:t>
      </w:r>
      <w:r>
        <w:rPr>
          <w:color w:val="9A7B45"/>
          <w:u w:val="single"/>
        </w:rPr>
        <w:t>BBM-STD-93</w:t>
      </w:r>
      <w:r>
        <w:t xml:space="preserve"> (O-DEC-103), revision per container (O-DEC-113) and suitability per O-DEC-104. Inside the CDE metadata it carries the exchange ID (EX-nnn) and the BBM-STD-54 table revision. Short internal IDs used in discipline standards (e.g. </w:t>
      </w:r>
      <w:r>
        <w:rPr>
          <w:rFonts w:ascii="JetBrains Mono" w:hAnsi="JetBrains Mono"/>
        </w:rPr>
        <w:t>LSC-IDS-&lt;rev&gt;</w:t>
      </w:r>
      <w:r>
        <w:t xml:space="preserve"> for landscape plant, area and irrigation checks in </w:t>
      </w:r>
      <w:r>
        <w:rPr>
          <w:color w:val="9A7B45"/>
          <w:u w:val="single"/>
        </w:rPr>
        <w:t>BBM-STD-61</w:t>
      </w:r>
      <w:r>
        <w:t xml:space="preserve"> §5, </w:t>
      </w:r>
      <w:r>
        <w:rPr>
          <w:rFonts w:ascii="JetBrains Mono" w:hAnsi="JetBrains Mono"/>
        </w:rPr>
        <w:t>AIR-IDS-&lt;rev&gt;</w:t>
      </w:r>
      <w:r>
        <w:t xml:space="preserve"> in </w:t>
      </w:r>
      <w:r>
        <w:rPr>
          <w:color w:val="9A7B45"/>
          <w:u w:val="single"/>
        </w:rPr>
        <w:t>BBM-STD-52</w:t>
      </w:r>
      <w:r>
        <w:t>) are CDE metadata aliases of the issued 8-token file, never issued names themselves.</w:t>
      </w:r>
    </w:p>
    <w:p>
      <w:pPr>
        <w:pStyle w:val="Heading1"/>
      </w:pPr>
      <w:r>
        <w:t>4 Facet-to-IDS mapping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20"/>
        <w:gridCol w:w="3151"/>
        <w:gridCol w:w="1919"/>
        <w:gridCol w:w="3776"/>
      </w:tblGrid>
      <w:tr>
        <w:trPr>
          <w:cantSplit/>
          <w:tblHeader/>
        </w:trPr>
        <w:tc>
          <w:tcPr>
            <w:tcW w:type="dxa" w:w="1620"/>
            <w:shd w:val="clear" w:color="auto" w:fill="111113"/>
          </w:tcPr>
          <w:p>
            <w:r>
              <w:rPr>
                <w:b/>
                <w:color w:val="FFFFFF"/>
                <w:sz w:val="17"/>
              </w:rPr>
            </w:r>
            <w:r>
              <w:rPr>
                <w:b/>
                <w:color w:val="FFFFFF"/>
                <w:sz w:val="17"/>
              </w:rPr>
              <w:t>ISO 7817-1 facet</w:t>
            </w:r>
          </w:p>
        </w:tc>
        <w:tc>
          <w:tcPr>
            <w:tcW w:type="dxa" w:w="3151"/>
            <w:shd w:val="clear" w:color="auto" w:fill="111113"/>
          </w:tcPr>
          <w:p>
            <w:r>
              <w:rPr>
                <w:b/>
                <w:color w:val="FFFFFF"/>
                <w:sz w:val="17"/>
              </w:rPr>
            </w:r>
            <w:r>
              <w:rPr>
                <w:b/>
                <w:color w:val="FFFFFF"/>
                <w:sz w:val="17"/>
              </w:rPr>
              <w:t>IDS 1.0 facet (applicability or requirement)</w:t>
            </w:r>
          </w:p>
        </w:tc>
        <w:tc>
          <w:tcPr>
            <w:tcW w:type="dxa" w:w="1919"/>
            <w:shd w:val="clear" w:color="auto" w:fill="111113"/>
          </w:tcPr>
          <w:p>
            <w:r>
              <w:rPr>
                <w:b/>
                <w:color w:val="FFFFFF"/>
                <w:sz w:val="17"/>
              </w:rPr>
            </w:r>
            <w:r>
              <w:rPr>
                <w:b/>
                <w:color w:val="FFFFFF"/>
                <w:sz w:val="17"/>
              </w:rPr>
              <w:t>Machine check</w:t>
            </w:r>
          </w:p>
        </w:tc>
        <w:tc>
          <w:tcPr>
            <w:tcW w:type="dxa" w:w="3776"/>
            <w:shd w:val="clear" w:color="auto" w:fill="111113"/>
          </w:tcPr>
          <w:p>
            <w:r>
              <w:rPr>
                <w:b/>
                <w:color w:val="FFFFFF"/>
                <w:sz w:val="17"/>
              </w:rPr>
            </w:r>
            <w:r>
              <w:rPr>
                <w:b/>
                <w:color w:val="FFFFFF"/>
                <w:sz w:val="17"/>
              </w:rPr>
              <w:t>Other check needed</w:t>
            </w:r>
          </w:p>
        </w:tc>
      </w:tr>
      <w:tr>
        <w:trPr>
          <w:cantSplit/>
        </w:trPr>
        <w:tc>
          <w:tcPr>
            <w:tcW w:type="dxa" w:w="1620"/>
          </w:tcPr>
          <w:p>
            <w:r>
              <w:rPr>
                <w:sz w:val="17"/>
              </w:rPr>
            </w:r>
            <w:r>
              <w:rPr>
                <w:sz w:val="17"/>
              </w:rPr>
              <w:t>Object (prerequisite)</w:t>
            </w:r>
          </w:p>
        </w:tc>
        <w:tc>
          <w:tcPr>
            <w:tcW w:type="dxa" w:w="3151"/>
          </w:tcPr>
          <w:p>
            <w:r>
              <w:rPr>
                <w:sz w:val="17"/>
              </w:rPr>
            </w:r>
            <w:r>
              <w:rPr>
                <w:sz w:val="17"/>
              </w:rPr>
              <w:t>entity (IFC class and predefined type), with classification or property in applicability to narrow the set</w:t>
            </w:r>
          </w:p>
        </w:tc>
        <w:tc>
          <w:tcPr>
            <w:tcW w:type="dxa" w:w="1919"/>
          </w:tcPr>
          <w:p>
            <w:r>
              <w:rPr>
                <w:sz w:val="17"/>
              </w:rPr>
            </w:r>
            <w:r>
              <w:rPr>
                <w:sz w:val="17"/>
              </w:rPr>
              <w:t>Yes: selects the objects in scope</w:t>
            </w:r>
          </w:p>
        </w:tc>
        <w:tc>
          <w:tcPr>
            <w:tcW w:type="dxa" w:w="3776"/>
          </w:tcPr>
          <w:p>
            <w:r>
              <w:rPr>
                <w:sz w:val="17"/>
              </w:rPr>
            </w:r>
            <w:r>
              <w:rPr>
                <w:sz w:val="17"/>
              </w:rPr>
              <w:t>Population count check: the expected number of objects is stated separately, because an empty selection passes silently</w:t>
            </w:r>
          </w:p>
        </w:tc>
      </w:tr>
      <w:tr>
        <w:trPr>
          <w:cantSplit/>
        </w:trPr>
        <w:tc>
          <w:tcPr>
            <w:tcW w:type="dxa" w:w="1620"/>
          </w:tcPr>
          <w:p>
            <w:r>
              <w:rPr>
                <w:sz w:val="17"/>
              </w:rPr>
            </w:r>
            <w:r>
              <w:rPr>
                <w:sz w:val="17"/>
              </w:rPr>
              <w:t>Identification</w:t>
            </w:r>
          </w:p>
        </w:tc>
        <w:tc>
          <w:tcPr>
            <w:tcW w:type="dxa" w:w="3151"/>
          </w:tcPr>
          <w:p>
            <w:r>
              <w:rPr>
                <w:sz w:val="17"/>
              </w:rPr>
            </w:r>
            <w:r>
              <w:rPr>
                <w:sz w:val="17"/>
              </w:rPr>
              <w:t>attribute (Name, Description, Tag), classification (system + code), property (Asset_ID)</w:t>
            </w:r>
          </w:p>
        </w:tc>
        <w:tc>
          <w:tcPr>
            <w:tcW w:type="dxa" w:w="1919"/>
          </w:tcPr>
          <w:p>
            <w:r>
              <w:rPr>
                <w:sz w:val="17"/>
              </w:rPr>
            </w:r>
            <w:r>
              <w:rPr>
                <w:sz w:val="17"/>
              </w:rPr>
              <w:t>Yes</w:t>
            </w:r>
          </w:p>
        </w:tc>
        <w:tc>
          <w:tcPr>
            <w:tcW w:type="dxa" w:w="3776"/>
          </w:tcPr>
          <w:p>
            <w:r>
              <w:rPr>
                <w:sz w:val="17"/>
              </w:rPr>
            </w:r>
            <w:r>
              <w:rPr>
                <w:sz w:val="17"/>
              </w:rPr>
              <w:t>Check the classification system and release against the project register; tools differ on classification matching (R2)</w:t>
            </w:r>
          </w:p>
        </w:tc>
      </w:tr>
      <w:tr>
        <w:trPr>
          <w:cantSplit/>
        </w:trPr>
        <w:tc>
          <w:tcPr>
            <w:tcW w:type="dxa" w:w="1620"/>
          </w:tcPr>
          <w:p>
            <w:r>
              <w:rPr>
                <w:sz w:val="17"/>
              </w:rPr>
            </w:r>
            <w:r>
              <w:rPr>
                <w:sz w:val="17"/>
              </w:rPr>
              <w:t>Information content</w:t>
            </w:r>
          </w:p>
        </w:tc>
        <w:tc>
          <w:tcPr>
            <w:tcW w:type="dxa" w:w="3151"/>
          </w:tcPr>
          <w:p>
            <w:r>
              <w:rPr>
                <w:sz w:val="17"/>
              </w:rPr>
            </w:r>
            <w:r>
              <w:rPr>
                <w:sz w:val="17"/>
              </w:rPr>
              <w:t>property (property set, base name, data type, value or pattern), attribute, material</w:t>
            </w:r>
          </w:p>
        </w:tc>
        <w:tc>
          <w:tcPr>
            <w:tcW w:type="dxa" w:w="1919"/>
          </w:tcPr>
          <w:p>
            <w:r>
              <w:rPr>
                <w:sz w:val="17"/>
              </w:rPr>
            </w:r>
            <w:r>
              <w:rPr>
                <w:sz w:val="17"/>
              </w:rPr>
              <w:t>Yes, for presence, data type and allowed values</w:t>
            </w:r>
          </w:p>
        </w:tc>
        <w:tc>
          <w:tcPr>
            <w:tcW w:type="dxa" w:w="3776"/>
          </w:tcPr>
          <w:p>
            <w:r>
              <w:rPr>
                <w:sz w:val="17"/>
              </w:rPr>
            </w:r>
            <w:r>
              <w:rPr>
                <w:sz w:val="17"/>
              </w:rPr>
              <w:t>Correctness of a value against the design (e.g. a true fire rating) needs competent review</w:t>
            </w:r>
          </w:p>
        </w:tc>
      </w:tr>
      <w:tr>
        <w:trPr>
          <w:cantSplit/>
        </w:trPr>
        <w:tc>
          <w:tcPr>
            <w:tcW w:type="dxa" w:w="1620"/>
          </w:tcPr>
          <w:p>
            <w:r>
              <w:rPr>
                <w:sz w:val="17"/>
              </w:rPr>
            </w:r>
            <w:r>
              <w:rPr>
                <w:sz w:val="17"/>
              </w:rPr>
              <w:t>Location</w:t>
            </w:r>
          </w:p>
        </w:tc>
        <w:tc>
          <w:tcPr>
            <w:tcW w:type="dxa" w:w="3151"/>
          </w:tcPr>
          <w:p>
            <w:r>
              <w:rPr>
                <w:sz w:val="17"/>
              </w:rPr>
            </w:r>
            <w:r>
              <w:rPr>
                <w:sz w:val="17"/>
              </w:rPr>
              <w:t>partOf (spatial containment or aggregation, e.g. in a storey or space)</w:t>
            </w:r>
          </w:p>
        </w:tc>
        <w:tc>
          <w:tcPr>
            <w:tcW w:type="dxa" w:w="1919"/>
          </w:tcPr>
          <w:p>
            <w:r>
              <w:rPr>
                <w:sz w:val="17"/>
              </w:rPr>
            </w:r>
            <w:r>
              <w:rPr>
                <w:sz w:val="17"/>
              </w:rPr>
              <w:t>Partly: containment only</w:t>
            </w:r>
          </w:p>
        </w:tc>
        <w:tc>
          <w:tcPr>
            <w:tcW w:type="dxa" w:w="3776"/>
          </w:tcPr>
          <w:p>
            <w:r>
              <w:rPr>
                <w:sz w:val="17"/>
              </w:rPr>
            </w:r>
            <w:r>
              <w:rPr>
                <w:sz w:val="17"/>
              </w:rPr>
              <w:t>Coordinates and placement: BBM-STD-86 §5 control-point check</w:t>
            </w:r>
          </w:p>
        </w:tc>
      </w:tr>
      <w:tr>
        <w:trPr>
          <w:cantSplit/>
        </w:trPr>
        <w:tc>
          <w:tcPr>
            <w:tcW w:type="dxa" w:w="1620"/>
          </w:tcPr>
          <w:p>
            <w:r>
              <w:rPr>
                <w:sz w:val="17"/>
              </w:rPr>
            </w:r>
            <w:r>
              <w:rPr>
                <w:sz w:val="17"/>
              </w:rPr>
              <w:t>Detail, dimensionality, appearance</w:t>
            </w:r>
          </w:p>
        </w:tc>
        <w:tc>
          <w:tcPr>
            <w:tcW w:type="dxa" w:w="3151"/>
          </w:tcPr>
          <w:p>
            <w:r>
              <w:rPr>
                <w:sz w:val="17"/>
              </w:rPr>
            </w:r>
            <w:r>
              <w:rPr>
                <w:sz w:val="17"/>
              </w:rPr>
              <w:t>None in IDS 1.0</w:t>
            </w:r>
          </w:p>
        </w:tc>
        <w:tc>
          <w:tcPr>
            <w:tcW w:type="dxa" w:w="1919"/>
          </w:tcPr>
          <w:p>
            <w:r>
              <w:rPr>
                <w:sz w:val="17"/>
              </w:rPr>
            </w:r>
            <w:r>
              <w:rPr>
                <w:sz w:val="17"/>
              </w:rPr>
              <w:t>No</w:t>
            </w:r>
          </w:p>
        </w:tc>
        <w:tc>
          <w:tcPr>
            <w:tcW w:type="dxa" w:w="3776"/>
          </w:tcPr>
          <w:p>
            <w:r>
              <w:rPr>
                <w:sz w:val="17"/>
              </w:rPr>
            </w:r>
            <w:r>
              <w:rPr>
                <w:sz w:val="17"/>
              </w:rPr>
              <w:t>Model check rules and visual review in the named checker (</w:t>
            </w:r>
            <w:r>
              <w:rPr>
                <w:color w:val="9A7B45"/>
                <w:sz w:val="17"/>
                <w:u w:val="single"/>
              </w:rPr>
              <w:t>BBM-STD-50</w:t>
            </w:r>
            <w:r>
              <w:rPr>
                <w:sz w:val="17"/>
              </w:rPr>
              <w:t xml:space="preserve">, </w:t>
            </w:r>
            <w:r>
              <w:rPr>
                <w:color w:val="9A7B45"/>
                <w:sz w:val="17"/>
                <w:u w:val="single"/>
              </w:rPr>
              <w:t>BBM-STD-68</w:t>
            </w:r>
            <w:r>
              <w:rPr>
                <w:sz w:val="17"/>
              </w:rPr>
              <w:t>)</w:t>
            </w:r>
          </w:p>
        </w:tc>
      </w:tr>
      <w:tr>
        <w:trPr>
          <w:cantSplit/>
        </w:trPr>
        <w:tc>
          <w:tcPr>
            <w:tcW w:type="dxa" w:w="1620"/>
          </w:tcPr>
          <w:p>
            <w:r>
              <w:rPr>
                <w:sz w:val="17"/>
              </w:rPr>
            </w:r>
            <w:r>
              <w:rPr>
                <w:sz w:val="17"/>
              </w:rPr>
              <w:t>Parametric behaviour</w:t>
            </w:r>
          </w:p>
        </w:tc>
        <w:tc>
          <w:tcPr>
            <w:tcW w:type="dxa" w:w="3151"/>
          </w:tcPr>
          <w:p>
            <w:r>
              <w:rPr>
                <w:sz w:val="17"/>
              </w:rPr>
            </w:r>
            <w:r>
              <w:rPr>
                <w:sz w:val="17"/>
              </w:rPr>
              <w:t>None</w:t>
            </w:r>
          </w:p>
        </w:tc>
        <w:tc>
          <w:tcPr>
            <w:tcW w:type="dxa" w:w="1919"/>
          </w:tcPr>
          <w:p>
            <w:r>
              <w:rPr>
                <w:sz w:val="17"/>
              </w:rPr>
            </w:r>
            <w:r>
              <w:rPr>
                <w:sz w:val="17"/>
              </w:rPr>
              <w:t>No</w:t>
            </w:r>
          </w:p>
        </w:tc>
        <w:tc>
          <w:tcPr>
            <w:tcW w:type="dxa" w:w="3776"/>
          </w:tcPr>
          <w:p>
            <w:r>
              <w:rPr>
                <w:sz w:val="17"/>
              </w:rPr>
            </w:r>
            <w:r>
              <w:rPr>
                <w:sz w:val="17"/>
              </w:rPr>
              <w:t>Native model or family review (</w:t>
            </w:r>
            <w:r>
              <w:rPr>
                <w:color w:val="9A7B45"/>
                <w:sz w:val="17"/>
                <w:u w:val="single"/>
              </w:rPr>
              <w:t>BBM-STD-69</w:t>
            </w:r>
            <w:r>
              <w:rPr>
                <w:sz w:val="17"/>
              </w:rPr>
              <w:t>)</w:t>
            </w:r>
          </w:p>
        </w:tc>
      </w:tr>
      <w:tr>
        <w:trPr>
          <w:cantSplit/>
        </w:trPr>
        <w:tc>
          <w:tcPr>
            <w:tcW w:type="dxa" w:w="1620"/>
          </w:tcPr>
          <w:p>
            <w:r>
              <w:rPr>
                <w:sz w:val="17"/>
              </w:rPr>
            </w:r>
            <w:r>
              <w:rPr>
                <w:sz w:val="17"/>
              </w:rPr>
              <w:t>Documentation</w:t>
            </w:r>
          </w:p>
        </w:tc>
        <w:tc>
          <w:tcPr>
            <w:tcW w:type="dxa" w:w="3151"/>
          </w:tcPr>
          <w:p>
            <w:r>
              <w:rPr>
                <w:sz w:val="17"/>
              </w:rPr>
            </w:r>
            <w:r>
              <w:rPr>
                <w:sz w:val="17"/>
              </w:rPr>
              <w:t>Property or attribute holding a document reference, presence only</w:t>
            </w:r>
          </w:p>
        </w:tc>
        <w:tc>
          <w:tcPr>
            <w:tcW w:type="dxa" w:w="1919"/>
          </w:tcPr>
          <w:p>
            <w:r>
              <w:rPr>
                <w:sz w:val="17"/>
              </w:rPr>
            </w:r>
            <w:r>
              <w:rPr>
                <w:sz w:val="17"/>
              </w:rPr>
              <w:t>Partly</w:t>
            </w:r>
          </w:p>
        </w:tc>
        <w:tc>
          <w:tcPr>
            <w:tcW w:type="dxa" w:w="3776"/>
          </w:tcPr>
          <w:p>
            <w:r>
              <w:rPr>
                <w:sz w:val="17"/>
              </w:rPr>
            </w:r>
            <w:r>
              <w:rPr>
                <w:sz w:val="17"/>
              </w:rPr>
              <w:t>Document register check: the document exists, is the right revision and is accepted</w:t>
            </w:r>
          </w:p>
        </w:tc>
      </w:tr>
    </w:tbl>
    <w:p/>
    <w:p>
      <w:pPr/>
      <w:r>
        <w:t>Cardinality: required, optional or prohibited per facet as IDS 1.0 allows. Regular-expression value patterns are kept simple and tested on the fixtures in two checkers before release, because tools disagree on them (R2).</w:t>
      </w:r>
    </w:p>
    <w:p>
      <w:pPr>
        <w:pStyle w:val="Heading1"/>
      </w:pPr>
      <w:r>
        <w:t>5 Check sequence and record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46"/>
        <w:gridCol w:w="5552"/>
        <w:gridCol w:w="3368"/>
      </w:tblGrid>
      <w:tr>
        <w:trPr>
          <w:cantSplit/>
          <w:tblHeader/>
        </w:trPr>
        <w:tc>
          <w:tcPr>
            <w:tcW w:type="dxa" w:w="1546"/>
            <w:shd w:val="clear" w:color="auto" w:fill="111113"/>
          </w:tcPr>
          <w:p>
            <w:r>
              <w:rPr>
                <w:b/>
                <w:color w:val="FFFFFF"/>
                <w:sz w:val="17"/>
              </w:rPr>
            </w:r>
            <w:r>
              <w:rPr>
                <w:b/>
                <w:color w:val="FFFFFF"/>
                <w:sz w:val="17"/>
              </w:rPr>
              <w:t>Step</w:t>
            </w:r>
          </w:p>
        </w:tc>
        <w:tc>
          <w:tcPr>
            <w:tcW w:type="dxa" w:w="5552"/>
            <w:shd w:val="clear" w:color="auto" w:fill="111113"/>
          </w:tcPr>
          <w:p>
            <w:r>
              <w:rPr>
                <w:b/>
                <w:color w:val="FFFFFF"/>
                <w:sz w:val="17"/>
              </w:rPr>
            </w:r>
            <w:r>
              <w:rPr>
                <w:b/>
                <w:color w:val="FFFFFF"/>
                <w:sz w:val="17"/>
              </w:rPr>
              <w:t>Check</w:t>
            </w:r>
          </w:p>
        </w:tc>
        <w:tc>
          <w:tcPr>
            <w:tcW w:type="dxa" w:w="3368"/>
            <w:shd w:val="clear" w:color="auto" w:fill="111113"/>
          </w:tcPr>
          <w:p>
            <w:r>
              <w:rPr>
                <w:b/>
                <w:color w:val="FFFFFF"/>
                <w:sz w:val="17"/>
              </w:rPr>
            </w:r>
            <w:r>
              <w:rPr>
                <w:b/>
                <w:color w:val="FFFFFF"/>
                <w:sz w:val="17"/>
              </w:rPr>
              <w:t>Record</w:t>
            </w:r>
          </w:p>
        </w:tc>
      </w:tr>
      <w:tr>
        <w:trPr>
          <w:cantSplit/>
        </w:trPr>
        <w:tc>
          <w:tcPr>
            <w:tcW w:type="dxa" w:w="1546"/>
          </w:tcPr>
          <w:p>
            <w:r>
              <w:rPr>
                <w:sz w:val="17"/>
              </w:rPr>
            </w:r>
            <w:r>
              <w:rPr>
                <w:sz w:val="17"/>
              </w:rPr>
              <w:t>C1 IFC file validation</w:t>
            </w:r>
          </w:p>
        </w:tc>
        <w:tc>
          <w:tcPr>
            <w:tcW w:type="dxa" w:w="5552"/>
          </w:tcPr>
          <w:p>
            <w:r>
              <w:rPr>
                <w:sz w:val="17"/>
              </w:rPr>
            </w:r>
            <w:r>
              <w:rPr>
                <w:sz w:val="17"/>
              </w:rPr>
              <w:t xml:space="preserve">Each IFC file is checked for schema and normative rules by the buildingSMART IFC Validation Service (register row ED-IFC-VALIDATION, or a qualified equivalent with its version recorded) </w:t>
            </w:r>
            <w:r>
              <w:rPr>
                <w:b/>
                <w:sz w:val="17"/>
              </w:rPr>
              <w:t>before</w:t>
            </w:r>
            <w:r>
              <w:rPr>
                <w:sz w:val="17"/>
              </w:rPr>
              <w:t xml:space="preserve"> any IDS run. A failing file holds the exchange; IDS is not run on it</w:t>
            </w:r>
          </w:p>
        </w:tc>
        <w:tc>
          <w:tcPr>
            <w:tcW w:type="dxa" w:w="3368"/>
          </w:tcPr>
          <w:p>
            <w:r>
              <w:rPr>
                <w:sz w:val="17"/>
              </w:rPr>
            </w:r>
            <w:r>
              <w:rPr>
                <w:sz w:val="17"/>
              </w:rPr>
              <w:t>Validation report per IFC file, report hash, date</w:t>
            </w:r>
          </w:p>
        </w:tc>
      </w:tr>
      <w:tr>
        <w:trPr>
          <w:cantSplit/>
        </w:trPr>
        <w:tc>
          <w:tcPr>
            <w:tcW w:type="dxa" w:w="1546"/>
          </w:tcPr>
          <w:p>
            <w:r>
              <w:rPr>
                <w:sz w:val="17"/>
              </w:rPr>
            </w:r>
            <w:r>
              <w:rPr>
                <w:sz w:val="17"/>
              </w:rPr>
              <w:t>C2 IDS check</w:t>
            </w:r>
          </w:p>
        </w:tc>
        <w:tc>
          <w:tcPr>
            <w:tcW w:type="dxa" w:w="5552"/>
          </w:tcPr>
          <w:p>
            <w:r>
              <w:rPr>
                <w:sz w:val="17"/>
              </w:rPr>
            </w:r>
            <w:r>
              <w:rPr>
                <w:sz w:val="17"/>
              </w:rPr>
              <w:t>Run the exchange's IDS file in the named checker</w:t>
            </w:r>
          </w:p>
        </w:tc>
        <w:tc>
          <w:tcPr>
            <w:tcW w:type="dxa" w:w="3368"/>
          </w:tcPr>
          <w:p>
            <w:r>
              <w:rPr>
                <w:sz w:val="17"/>
              </w:rPr>
            </w:r>
            <w:r>
              <w:rPr>
                <w:sz w:val="17"/>
              </w:rPr>
              <w:t>Checker name and exact version, IDS file name/​revision/​hash, IFC file name/​revision/​hash, pass/​fail per specification, population counts</w:t>
            </w:r>
          </w:p>
        </w:tc>
      </w:tr>
      <w:tr>
        <w:trPr>
          <w:cantSplit/>
        </w:trPr>
        <w:tc>
          <w:tcPr>
            <w:tcW w:type="dxa" w:w="1546"/>
          </w:tcPr>
          <w:p>
            <w:r>
              <w:rPr>
                <w:sz w:val="17"/>
              </w:rPr>
            </w:r>
            <w:r>
              <w:rPr>
                <w:sz w:val="17"/>
              </w:rPr>
              <w:t>C3 Second checker (approval exchanges)</w:t>
            </w:r>
          </w:p>
        </w:tc>
        <w:tc>
          <w:tcPr>
            <w:tcW w:type="dxa" w:w="5552"/>
          </w:tcPr>
          <w:p>
            <w:r>
              <w:rPr>
                <w:sz w:val="17"/>
              </w:rPr>
            </w:r>
            <w:r>
              <w:rPr>
                <w:sz w:val="17"/>
              </w:rPr>
              <w:t>For contractual or authority exchanges, repeat C2 in a second named checker; any disagreement is resolved by inspecting the IFC, not by choosing the passing tool</w:t>
            </w:r>
          </w:p>
        </w:tc>
        <w:tc>
          <w:tcPr>
            <w:tcW w:type="dxa" w:w="3368"/>
          </w:tcPr>
          <w:p>
            <w:r>
              <w:rPr>
                <w:sz w:val="17"/>
              </w:rPr>
            </w:r>
            <w:r>
              <w:rPr>
                <w:sz w:val="17"/>
              </w:rPr>
              <w:t>Both results and the resolution</w:t>
            </w:r>
          </w:p>
        </w:tc>
      </w:tr>
      <w:tr>
        <w:trPr>
          <w:cantSplit/>
        </w:trPr>
        <w:tc>
          <w:tcPr>
            <w:tcW w:type="dxa" w:w="1546"/>
          </w:tcPr>
          <w:p>
            <w:r>
              <w:rPr>
                <w:sz w:val="17"/>
              </w:rPr>
            </w:r>
            <w:r>
              <w:rPr>
                <w:sz w:val="17"/>
              </w:rPr>
              <w:t>C4 Non-IDS checks</w:t>
            </w:r>
          </w:p>
        </w:tc>
        <w:tc>
          <w:tcPr>
            <w:tcW w:type="dxa" w:w="5552"/>
          </w:tcPr>
          <w:p>
            <w:r>
              <w:rPr>
                <w:sz w:val="17"/>
              </w:rPr>
            </w:r>
            <w:r>
              <w:rPr>
                <w:sz w:val="17"/>
              </w:rPr>
              <w:t>Geometry, location, documentation and parametric checks from §4</w:t>
            </w:r>
          </w:p>
        </w:tc>
        <w:tc>
          <w:tcPr>
            <w:tcW w:type="dxa" w:w="3368"/>
          </w:tcPr>
          <w:p>
            <w:r>
              <w:rPr>
                <w:sz w:val="17"/>
              </w:rPr>
            </w:r>
            <w:r>
              <w:rPr>
                <w:sz w:val="17"/>
              </w:rPr>
              <w:t>Check IDs and results</w:t>
            </w:r>
          </w:p>
        </w:tc>
      </w:tr>
      <w:tr>
        <w:trPr>
          <w:cantSplit/>
        </w:trPr>
        <w:tc>
          <w:tcPr>
            <w:tcW w:type="dxa" w:w="1546"/>
          </w:tcPr>
          <w:p>
            <w:r>
              <w:rPr>
                <w:sz w:val="17"/>
              </w:rPr>
            </w:r>
            <w:r>
              <w:rPr>
                <w:sz w:val="17"/>
              </w:rPr>
              <w:t>C5 Decision</w:t>
            </w:r>
          </w:p>
        </w:tc>
        <w:tc>
          <w:tcPr>
            <w:tcW w:type="dxa" w:w="5552"/>
          </w:tcPr>
          <w:p>
            <w:r>
              <w:rPr>
                <w:sz w:val="17"/>
              </w:rPr>
            </w:r>
            <w:r>
              <w:rPr>
                <w:sz w:val="17"/>
              </w:rPr>
              <w:t>Producer check, independent verification and recipient acceptance stay separate records (</w:t>
            </w:r>
            <w:r>
              <w:rPr>
                <w:color w:val="9A7B45"/>
                <w:sz w:val="17"/>
                <w:u w:val="single"/>
              </w:rPr>
              <w:t>BBM-STD-54</w:t>
            </w:r>
            <w:r>
              <w:rPr>
                <w:sz w:val="17"/>
              </w:rPr>
              <w:t xml:space="preserve"> §6)</w:t>
            </w:r>
          </w:p>
        </w:tc>
        <w:tc>
          <w:tcPr>
            <w:tcW w:type="dxa" w:w="3368"/>
          </w:tcPr>
          <w:p>
            <w:r>
              <w:rPr>
                <w:sz w:val="17"/>
              </w:rPr>
            </w:r>
            <w:r>
              <w:rPr>
                <w:sz w:val="17"/>
              </w:rPr>
              <w:t>Decision, actor, date</w:t>
            </w:r>
          </w:p>
        </w:tc>
      </w:tr>
    </w:tbl>
    <w:p/>
    <w:p>
      <w:pPr/>
      <w:r>
        <w:t xml:space="preserve">Neither the Validation Service nor IDS proves geometry, access, safety or code compliance. Sensitive models are not uploaded to an external validation service unless the triage in </w:t>
      </w:r>
      <w:r>
        <w:rPr>
          <w:color w:val="9A7B45"/>
          <w:u w:val="single"/>
        </w:rPr>
        <w:t>BBM-STD-87</w:t>
      </w:r>
      <w:r>
        <w:t xml:space="preserve"> allows it; otherwise use the qualified offline equivalent. Candidate checkers (each needs its version recorded and the office fixtures passed before use): IfcOpenShell IfcTester, and the IDS-capable checking functions of the office's qualified coordination tools per </w:t>
      </w:r>
      <w:r>
        <w:rPr>
          <w:color w:val="9A7B45"/>
          <w:u w:val="single"/>
        </w:rPr>
        <w:t>BEP</w:t>
      </w:r>
      <w:r>
        <w:t xml:space="preserve"> §9.2.</w:t>
      </w:r>
    </w:p>
    <w:p>
      <w:pPr>
        <w:pStyle w:val="Heading1"/>
      </w:pPr>
      <w:r>
        <w:t>References</w:t>
      </w:r>
    </w:p>
    <w:p>
      <w:pPr>
        <w:pStyle w:val="ListParagraph"/>
        <w:spacing w:after="40"/>
        <w:ind w:left="360" w:hanging="240"/>
      </w:pPr>
      <w:r>
        <w:t xml:space="preserve">•  </w:t>
      </w:r>
      <w:r>
        <w:t>ISO 7817-1:2024, edition 1 (replaces EN 17412-1:2020): https://committee.iso.org/standard/82914.html, checked 2026-11-04.</w:t>
      </w:r>
    </w:p>
    <w:p>
      <w:pPr>
        <w:pStyle w:val="ListParagraph"/>
        <w:spacing w:after="40"/>
        <w:ind w:left="360" w:hanging="240"/>
      </w:pPr>
      <w:r>
        <w:t xml:space="preserve">•  </w:t>
      </w:r>
      <w:r>
        <w:t>buildingSMART IDS 1.0, final standard, June 2024 (tag v1.0.0, 3 Jun 2024): https://github.com/buildingSMART/IDS/releases; schema https://github.com/buildingSMART/IDS (Schema/ids.xsd), checked 2026-11-04.</w:t>
      </w:r>
    </w:p>
    <w:p>
      <w:pPr>
        <w:pStyle w:val="ListParagraph"/>
        <w:spacing w:after="40"/>
        <w:ind w:left="360" w:hanging="240"/>
      </w:pPr>
      <w:r>
        <w:t xml:space="preserve">•  </w:t>
      </w:r>
      <w:r>
        <w:t>buildingSMART IDS Audit tool: https://github.com/buildingSMART/IDS-Audit-tool, checked 2026-11-04.</w:t>
      </w:r>
    </w:p>
    <w:p>
      <w:pPr>
        <w:pStyle w:val="ListParagraph"/>
        <w:spacing w:after="40"/>
        <w:ind w:left="360" w:hanging="240"/>
      </w:pPr>
      <w:r>
        <w:t xml:space="preserve">•  </w:t>
      </w:r>
      <w:r>
        <w:t>buildingSMART IFC Validation Service: https://technical.buildingsmart.org/services/validation-service/, checked 2026-11-04.</w:t>
      </w:r>
    </w:p>
    <w:p>
      <w:pPr>
        <w:pStyle w:val="ListParagraph"/>
        <w:spacing w:after="40"/>
        <w:ind w:left="360" w:hanging="240"/>
      </w:pPr>
      <w:r>
        <w:t xml:space="preserve">•  </w:t>
      </w:r>
      <w:r>
        <w:t>ISO 16739-1:2024 (IFC 4.3.2.0): https://www.iso.org/standard/84123.html, checked 2026-11-04.</w:t>
      </w:r>
    </w:p>
    <w:p>
      <w:pPr>
        <w:pStyle w:val="ListParagraph"/>
        <w:spacing w:after="40"/>
        <w:ind w:left="360" w:hanging="240"/>
      </w:pPr>
      <w:r>
        <w:t xml:space="preserve">•  </w:t>
      </w:r>
      <w:r>
        <w:t>R1 Akbas, Bolpagni, Borrmann et al. (2025), Integration of LOIN and IDS, ITcon 30, 731–744: https://doi.org/10.36680/j.itcon.2025.030.</w:t>
      </w:r>
    </w:p>
    <w:p>
      <w:pPr>
        <w:pStyle w:val="ListParagraph"/>
        <w:spacing w:after="40"/>
        <w:ind w:left="360" w:hanging="240"/>
      </w:pPr>
      <w:r>
        <w:t xml:space="preserve">•  </w:t>
      </w:r>
      <w:r>
        <w:t>R2 Cerovšek &amp; Omar (2025), Ontology-based framework and IDS evaluation, Buildings 15(15) 2621: https://www.mdpi.com/2075-5309/15/15/2621.</w:t>
      </w:r>
    </w:p>
    <w:p>
      <w:pPr>
        <w:pStyle w:val="ListParagraph"/>
        <w:spacing w:after="40"/>
        <w:ind w:left="360" w:hanging="240"/>
      </w:pPr>
      <w:r>
        <w:t xml:space="preserve">•  </w:t>
      </w:r>
      <w:r>
        <w:t>Office: BBM-STD-54, BBM-STD-74, BBM-STD-86, BBM-STD-93; settled decisions O-DEC-102, O-DEC-103, O-DEC-104, O-DEC-105, O-DEC-113, O-DEC-116, O-DEC-119, O-DEC-121.</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BBM-STD-89-LOIN_TO_IDS-V0.1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bf57b4e72f80f4a6b3c192034fb99f" TargetMode="External"/><Relationship Id="rId14" Type="http://schemas.openxmlformats.org/officeDocument/2006/relationships/hyperlink" Target="https://github.com/Fargaly/baboom-bim-standard/blob/main/04-DOCUMENTS/BBM-STD-89-LOIN_TO_IDS-V0.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