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spacing w:before="840"/>
      </w:pPr>
      <w:r>
        <w:t>Licence and credential register</w:t>
      </w:r>
    </w:p>
    <w:p>
      <w:pPr/>
      <w:r>
        <w:t xml:space="preserve">Linked copies: ID STD-94 · </w:t>
      </w:r>
      <w:hyperlink r:id="rId13">
        <w:r>
          <w:rPr>
            <w:color w:val="9A7B45"/>
            <w:u w:val="single"/>
          </w:rPr>
          <w:t>TBP page</w:t>
        </w:r>
      </w:hyperlink>
      <w:r>
        <w:t xml:space="preserve"> · </w:t>
      </w:r>
      <w:hyperlink r:id="rId14">
        <w:r>
          <w:rPr>
            <w:color w:val="9A7B45"/>
            <w:u w:val="single"/>
          </w:rPr>
          <w:t>BABOOM edition</w:t>
        </w:r>
      </w:hyperlink>
      <w:r>
        <w:t xml:space="preserve"> · ArchHub: BABOOM companion</w:t>
      </w:r>
    </w:p>
    <w:p>
      <w:pPr/>
      <w:r>
        <w:t>BBM-STD-94-LICENCE_REGISTER-V0.1 | Office standard | 4 November 2026 | V0.1 | Private controlled WIP draft for office review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814"/>
        <w:gridCol w:w="1073"/>
        <w:gridCol w:w="8579"/>
      </w:tblGrid>
      <w:tr>
        <w:trPr>
          <w:cantSplit/>
          <w:tblHeader/>
        </w:trPr>
        <w:tc>
          <w:tcPr>
            <w:tcW w:type="dxa" w:w="81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107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857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Change</w:t>
            </w:r>
          </w:p>
        </w:tc>
      </w:tr>
      <w:tr>
        <w:trPr>
          <w:cantSplit/>
        </w:trPr>
        <w:tc>
          <w:tcPr>
            <w:tcW w:type="dxa" w:w="814"/>
          </w:tcPr>
          <w:p>
            <w:r>
              <w:rPr>
                <w:sz w:val="17"/>
              </w:rPr>
            </w:r>
            <w:r>
              <w:rPr>
                <w:sz w:val="17"/>
              </w:rPr>
              <w:t>V0.1</w:t>
            </w:r>
          </w:p>
        </w:tc>
        <w:tc>
          <w:tcPr>
            <w:tcW w:type="dxa" w:w="1073"/>
          </w:tcPr>
          <w:p>
            <w:r>
              <w:rPr>
                <w:sz w:val="17"/>
              </w:rPr>
            </w:r>
            <w:r>
              <w:rPr>
                <w:sz w:val="17"/>
              </w:rPr>
              <w:t>2026-11-04</w:t>
            </w:r>
          </w:p>
        </w:tc>
        <w:tc>
          <w:tcPr>
            <w:tcW w:type="dxa" w:w="8579"/>
          </w:tcPr>
          <w:p>
            <w:r>
              <w:rPr>
                <w:sz w:val="17"/>
              </w:rPr>
            </w:r>
            <w:r>
              <w:rPr>
                <w:sz w:val="17"/>
              </w:rPr>
              <w:t>First issue: closes audit res-026 §1.3 "Software &amp; content licence /​ credential register" and the licence part of rows G114 (Uniclass licence) and G213 (font licence) + cross-doc pointer pass (BBM-STD-87 SensitivityClass for the vault)</w:t>
            </w:r>
          </w:p>
        </w:tc>
      </w:tr>
    </w:tbl>
    <w:p/>
    <w:p>
      <w:pPr>
        <w:pStyle w:val="Heading1"/>
      </w:pPr>
      <w:r>
        <w:t>1 Purpose, owner and boundary</w:t>
      </w:r>
    </w:p>
    <w:p>
      <w:pPr/>
      <w:r>
        <w:t xml:space="preserve">One register of every software, content, data and publication licence the office relies on, and of where each credential is held. It replaces scattered entitlement notes: </w:t>
      </w:r>
      <w:r>
        <w:rPr>
          <w:color w:val="9A7B45"/>
          <w:u w:val="single"/>
        </w:rPr>
        <w:t>BBM-STD-51</w:t>
      </w:r>
      <w:r>
        <w:t xml:space="preserve"> §5 keeps its rights rules and points here for the records. The rights steward (named in the </w:t>
      </w:r>
      <w:r>
        <w:rPr>
          <w:color w:val="9A7B45"/>
          <w:u w:val="single"/>
        </w:rPr>
        <w:t>Directory</w:t>
      </w:r>
      <w:r>
        <w:t>) keeps the register; the office director approves new licences and renewals; the IT owner holds credentials.</w:t>
      </w:r>
    </w:p>
    <w:p>
      <w:pPr/>
      <w:r>
        <w:t>The register holds no prices, no licence keys, no passwords, tokens or activation codes. Commercial terms stay in the signed instrument in the controlled contracts store; the register links to it.</w:t>
      </w:r>
    </w:p>
    <w:p>
      <w:pPr>
        <w:pStyle w:val="Heading1"/>
      </w:pPr>
      <w:r>
        <w:t>2 Register fields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982"/>
        <w:gridCol w:w="8484"/>
      </w:tblGrid>
      <w:tr>
        <w:trPr>
          <w:cantSplit/>
          <w:tblHeader/>
        </w:trPr>
        <w:tc>
          <w:tcPr>
            <w:tcW w:type="dxa" w:w="1982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848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Content</w:t>
            </w:r>
          </w:p>
        </w:tc>
      </w:tr>
      <w:tr>
        <w:trPr>
          <w:cantSplit/>
        </w:trPr>
        <w:tc>
          <w:tcPr>
            <w:tcW w:type="dxa" w:w="1982"/>
          </w:tcPr>
          <w:p>
            <w:r>
              <w:rPr>
                <w:sz w:val="17"/>
              </w:rPr>
            </w:r>
            <w:r>
              <w:rPr>
                <w:sz w:val="17"/>
              </w:rPr>
              <w:t>LicenceID</w:t>
            </w:r>
          </w:p>
        </w:tc>
        <w:tc>
          <w:tcPr>
            <w:tcW w:type="dxa" w:w="8484"/>
          </w:tcPr>
          <w:p>
            <w:r>
              <w:rPr>
                <w:sz w:val="17"/>
              </w:rPr>
            </w:r>
            <w:r>
              <w:rPr>
                <w:sz w:val="17"/>
              </w:rPr>
              <w:t>Stable ID (LIC-nnn)</w:t>
            </w:r>
          </w:p>
        </w:tc>
      </w:tr>
      <w:tr>
        <w:trPr>
          <w:cantSplit/>
        </w:trPr>
        <w:tc>
          <w:tcPr>
            <w:tcW w:type="dxa" w:w="1982"/>
          </w:tcPr>
          <w:p>
            <w:r>
              <w:rPr>
                <w:sz w:val="17"/>
              </w:rPr>
            </w:r>
            <w:r>
              <w:rPr>
                <w:sz w:val="17"/>
              </w:rPr>
              <w:t>Asset</w:t>
            </w:r>
          </w:p>
        </w:tc>
        <w:tc>
          <w:tcPr>
            <w:tcW w:type="dxa" w:w="8484"/>
          </w:tcPr>
          <w:p>
            <w:r>
              <w:rPr>
                <w:sz w:val="17"/>
              </w:rPr>
            </w:r>
            <w:r>
              <w:rPr>
                <w:sz w:val="17"/>
              </w:rPr>
              <w:t>Product, content library, dataset, font, standard or publication; edition/​version</w:t>
            </w:r>
          </w:p>
        </w:tc>
      </w:tr>
      <w:tr>
        <w:trPr>
          <w:cantSplit/>
        </w:trPr>
        <w:tc>
          <w:tcPr>
            <w:tcW w:type="dxa" w:w="1982"/>
          </w:tcPr>
          <w:p>
            <w:r>
              <w:rPr>
                <w:sz w:val="17"/>
              </w:rPr>
            </w:r>
            <w:r>
              <w:rPr>
                <w:sz w:val="17"/>
              </w:rPr>
              <w:t>Type</w:t>
            </w:r>
          </w:p>
        </w:tc>
        <w:tc>
          <w:tcPr>
            <w:tcW w:type="dxa" w:w="8484"/>
          </w:tcPr>
          <w:p>
            <w:r>
              <w:rPr>
                <w:sz w:val="17"/>
              </w:rPr>
            </w:r>
            <w:r>
              <w:rPr>
                <w:sz w:val="17"/>
              </w:rPr>
              <w:t>Software /​ content (families, materials, details) /​ data (classification tables, dictionaries) /​ publication (standards PDFs) /​ service (CDE, cloud, AI)</w:t>
            </w:r>
          </w:p>
        </w:tc>
      </w:tr>
      <w:tr>
        <w:trPr>
          <w:cantSplit/>
        </w:trPr>
        <w:tc>
          <w:tcPr>
            <w:tcW w:type="dxa" w:w="1982"/>
          </w:tcPr>
          <w:p>
            <w:r>
              <w:rPr>
                <w:sz w:val="17"/>
              </w:rPr>
            </w:r>
            <w:r>
              <w:rPr>
                <w:sz w:val="17"/>
              </w:rPr>
              <w:t>Provider and instrument</w:t>
            </w:r>
          </w:p>
        </w:tc>
        <w:tc>
          <w:tcPr>
            <w:tcW w:type="dxa" w:w="8484"/>
          </w:tcPr>
          <w:p>
            <w:r>
              <w:rPr>
                <w:sz w:val="17"/>
              </w:rPr>
            </w:r>
            <w:r>
              <w:rPr>
                <w:sz w:val="17"/>
              </w:rPr>
              <w:t>Licensor and licence instrument name/​version (EULA, subscription terms, content licence, publisher terms) with link to the stored signed copy</w:t>
            </w:r>
          </w:p>
        </w:tc>
      </w:tr>
      <w:tr>
        <w:trPr>
          <w:cantSplit/>
        </w:trPr>
        <w:tc>
          <w:tcPr>
            <w:tcW w:type="dxa" w:w="1982"/>
          </w:tcPr>
          <w:p>
            <w:r>
              <w:rPr>
                <w:sz w:val="17"/>
              </w:rPr>
            </w:r>
            <w:r>
              <w:rPr>
                <w:sz w:val="17"/>
              </w:rPr>
              <w:t>Owner</w:t>
            </w:r>
          </w:p>
        </w:tc>
        <w:tc>
          <w:tcPr>
            <w:tcW w:type="dxa" w:w="8484"/>
          </w:tcPr>
          <w:p>
            <w:r>
              <w:rPr>
                <w:sz w:val="17"/>
              </w:rPr>
            </w:r>
            <w:r>
              <w:rPr>
                <w:sz w:val="17"/>
              </w:rPr>
              <w:t>Accountable office function</w:t>
            </w:r>
          </w:p>
        </w:tc>
      </w:tr>
      <w:tr>
        <w:trPr>
          <w:cantSplit/>
        </w:trPr>
        <w:tc>
          <w:tcPr>
            <w:tcW w:type="dxa" w:w="1982"/>
          </w:tcPr>
          <w:p>
            <w:r>
              <w:rPr>
                <w:sz w:val="17"/>
              </w:rPr>
            </w:r>
            <w:r>
              <w:rPr>
                <w:sz w:val="17"/>
              </w:rPr>
              <w:t>Licence terms</w:t>
            </w:r>
          </w:p>
        </w:tc>
        <w:tc>
          <w:tcPr>
            <w:tcW w:type="dxa" w:w="8484"/>
          </w:tcPr>
          <w:p>
            <w:r>
              <w:rPr>
                <w:sz w:val="17"/>
              </w:rPr>
            </w:r>
            <w:r>
              <w:rPr>
                <w:sz w:val="17"/>
              </w:rPr>
              <w:t>Named-user /​ device /​ concurrent /​ site; permitted uses; territory; offline or cloud; transfer and termination limits</w:t>
            </w:r>
          </w:p>
        </w:tc>
      </w:tr>
      <w:tr>
        <w:trPr>
          <w:cantSplit/>
        </w:trPr>
        <w:tc>
          <w:tcPr>
            <w:tcW w:type="dxa" w:w="1982"/>
          </w:tcPr>
          <w:p>
            <w:r>
              <w:rPr>
                <w:sz w:val="17"/>
              </w:rPr>
            </w:r>
            <w:r>
              <w:rPr>
                <w:sz w:val="17"/>
              </w:rPr>
              <w:t>Seats</w:t>
            </w:r>
          </w:p>
        </w:tc>
        <w:tc>
          <w:tcPr>
            <w:tcW w:type="dxa" w:w="8484"/>
          </w:tcPr>
          <w:p>
            <w:r>
              <w:rPr>
                <w:sz w:val="17"/>
              </w:rPr>
            </w:r>
            <w:r>
              <w:rPr>
                <w:sz w:val="17"/>
              </w:rPr>
              <w:t>Number held and allocation record reference (who uses which seat sits in the Directory, not here)</w:t>
            </w:r>
          </w:p>
        </w:tc>
      </w:tr>
      <w:tr>
        <w:trPr>
          <w:cantSplit/>
        </w:trPr>
        <w:tc>
          <w:tcPr>
            <w:tcW w:type="dxa" w:w="1982"/>
          </w:tcPr>
          <w:p>
            <w:r>
              <w:rPr>
                <w:sz w:val="17"/>
              </w:rPr>
            </w:r>
            <w:r>
              <w:rPr>
                <w:sz w:val="17"/>
              </w:rPr>
              <w:t>Term and renewal date</w:t>
            </w:r>
          </w:p>
        </w:tc>
        <w:tc>
          <w:tcPr>
            <w:tcW w:type="dxa" w:w="8484"/>
          </w:tcPr>
          <w:p>
            <w:r>
              <w:rPr>
                <w:sz w:val="17"/>
              </w:rPr>
            </w:r>
            <w:r>
              <w:rPr>
                <w:sz w:val="17"/>
              </w:rPr>
              <w:t>Start, end, renewal date, notice period; reminder owner</w:t>
            </w:r>
          </w:p>
        </w:tc>
      </w:tr>
      <w:tr>
        <w:trPr/>
        <w:tc>
          <w:tcPr>
            <w:tcW w:type="dxa" w:w="1982"/>
          </w:tcPr>
          <w:p>
            <w:r>
              <w:rPr>
                <w:sz w:val="17"/>
              </w:rPr>
            </w:r>
            <w:r>
              <w:rPr>
                <w:sz w:val="17"/>
              </w:rPr>
              <w:t>Dependent standards</w:t>
            </w:r>
          </w:p>
        </w:tc>
        <w:tc>
          <w:tcPr>
            <w:tcW w:type="dxa" w:w="8484"/>
          </w:tcPr>
          <w:p>
            <w:r>
              <w:rPr>
                <w:sz w:val="17"/>
              </w:rPr>
            </w:r>
            <w:r>
              <w:rPr>
                <w:sz w:val="17"/>
              </w:rPr>
              <w:t xml:space="preserve">IDs of office standards that rely on it, e.g. </w:t>
            </w:r>
            <w:r>
              <w:rPr>
                <w:color w:val="9A7B45"/>
                <w:sz w:val="17"/>
                <w:u w:val="single"/>
              </w:rPr>
              <w:t>BBM-STD-73</w:t>
            </w:r>
            <w:r>
              <w:rPr>
                <w:sz w:val="17"/>
              </w:rPr>
              <w:t xml:space="preserve"> (automation tools, add-ins), </w:t>
            </w:r>
            <w:r>
              <w:rPr>
                <w:color w:val="9A7B45"/>
                <w:sz w:val="17"/>
                <w:u w:val="single"/>
              </w:rPr>
              <w:t>BBM-STD-80</w:t>
            </w:r>
            <w:r>
              <w:rPr>
                <w:sz w:val="17"/>
              </w:rPr>
              <w:t xml:space="preserve"> (renderers, imagery), </w:t>
            </w:r>
            <w:r>
              <w:rPr>
                <w:color w:val="9A7B45"/>
                <w:sz w:val="17"/>
                <w:u w:val="single"/>
              </w:rPr>
              <w:t>BBM-STD-92</w:t>
            </w:r>
            <w:r>
              <w:rPr>
                <w:sz w:val="17"/>
              </w:rPr>
              <w:t xml:space="preserve"> (AI services), </w:t>
            </w:r>
            <w:r>
              <w:rPr>
                <w:color w:val="9A7B45"/>
                <w:sz w:val="17"/>
                <w:u w:val="single"/>
              </w:rPr>
              <w:t>BBM-STD-91</w:t>
            </w:r>
            <w:r>
              <w:rPr>
                <w:sz w:val="17"/>
              </w:rPr>
              <w:t xml:space="preserve"> (Revit, Dynamo, AutoCAD releases), </w:t>
            </w:r>
            <w:r>
              <w:rPr>
                <w:color w:val="9A7B45"/>
                <w:sz w:val="17"/>
                <w:u w:val="single"/>
              </w:rPr>
              <w:t>BBM-STD-72</w:t>
            </w:r>
            <w:r>
              <w:rPr>
                <w:sz w:val="17"/>
              </w:rPr>
              <w:t xml:space="preserve"> (classification tables), </w:t>
            </w:r>
            <w:r>
              <w:rPr>
                <w:color w:val="9A7B45"/>
                <w:sz w:val="17"/>
                <w:u w:val="single"/>
              </w:rPr>
              <w:t>BBM-STD-66</w:t>
            </w:r>
            <w:r>
              <w:rPr>
                <w:sz w:val="17"/>
              </w:rPr>
              <w:t xml:space="preserve"> /​ </w:t>
            </w:r>
            <w:r>
              <w:rPr>
                <w:color w:val="9A7B45"/>
                <w:sz w:val="17"/>
                <w:u w:val="single"/>
              </w:rPr>
              <w:t>BBM-STD-67</w:t>
            </w:r>
            <w:r>
              <w:rPr>
                <w:sz w:val="17"/>
              </w:rPr>
              <w:t xml:space="preserve"> (fonts)</w:t>
            </w:r>
          </w:p>
        </w:tc>
      </w:tr>
      <w:tr>
        <w:trPr>
          <w:cantSplit/>
        </w:trPr>
        <w:tc>
          <w:tcPr>
            <w:tcW w:type="dxa" w:w="1982"/>
          </w:tcPr>
          <w:p>
            <w:r>
              <w:rPr>
                <w:sz w:val="17"/>
              </w:rPr>
            </w:r>
            <w:r>
              <w:rPr>
                <w:sz w:val="17"/>
              </w:rPr>
              <w:t>Redistribution rights</w:t>
            </w:r>
          </w:p>
        </w:tc>
        <w:tc>
          <w:tcPr>
            <w:tcW w:type="dxa" w:w="8484"/>
          </w:tcPr>
          <w:p>
            <w:r>
              <w:rPr>
                <w:sz w:val="17"/>
              </w:rPr>
            </w:r>
            <w:r>
              <w:rPr>
                <w:sz w:val="17"/>
              </w:rPr>
              <w:t>Yes /​ No /​ Conditional, with the clause reference: may it be shared with clients, consultants, contractors or the public? Inside project models?</w:t>
            </w:r>
          </w:p>
        </w:tc>
      </w:tr>
      <w:tr>
        <w:trPr>
          <w:cantSplit/>
        </w:trPr>
        <w:tc>
          <w:tcPr>
            <w:tcW w:type="dxa" w:w="1982"/>
          </w:tcPr>
          <w:p>
            <w:r>
              <w:rPr>
                <w:sz w:val="17"/>
              </w:rPr>
            </w:r>
            <w:r>
              <w:rPr>
                <w:sz w:val="17"/>
              </w:rPr>
              <w:t>Credential custody</w:t>
            </w:r>
          </w:p>
        </w:tc>
        <w:tc>
          <w:tcPr>
            <w:tcW w:type="dxa" w:w="8484"/>
          </w:tcPr>
          <w:p>
            <w:r>
              <w:rPr>
                <w:sz w:val="17"/>
              </w:rPr>
            </w:r>
            <w:r>
              <w:rPr>
                <w:sz w:val="17"/>
              </w:rPr>
              <w:t>Name of the entry in the office password manager and its custodian; never the secret itself</w:t>
            </w:r>
          </w:p>
        </w:tc>
      </w:tr>
      <w:tr>
        <w:trPr>
          <w:cantSplit/>
        </w:trPr>
        <w:tc>
          <w:tcPr>
            <w:tcW w:type="dxa" w:w="1982"/>
          </w:tcPr>
          <w:p>
            <w:r>
              <w:rPr>
                <w:sz w:val="17"/>
              </w:rPr>
            </w:r>
            <w:r>
              <w:rPr>
                <w:sz w:val="17"/>
              </w:rPr>
              <w:t>Evidence</w:t>
            </w:r>
          </w:p>
        </w:tc>
        <w:tc>
          <w:tcPr>
            <w:tcW w:type="dxa" w:w="8484"/>
          </w:tcPr>
          <w:p>
            <w:r>
              <w:rPr>
                <w:sz w:val="17"/>
              </w:rPr>
            </w:r>
            <w:r>
              <w:rPr>
                <w:sz w:val="17"/>
              </w:rPr>
              <w:t>Link to proof of purchase/​subscription and installation record</w:t>
            </w:r>
          </w:p>
        </w:tc>
      </w:tr>
      <w:tr>
        <w:trPr>
          <w:cantSplit/>
        </w:trPr>
        <w:tc>
          <w:tcPr>
            <w:tcW w:type="dxa" w:w="1982"/>
          </w:tcPr>
          <w:p>
            <w:r>
              <w:rPr>
                <w:sz w:val="17"/>
              </w:rPr>
            </w:r>
            <w:r>
              <w:rPr>
                <w:sz w:val="17"/>
              </w:rPr>
              <w:t>State and review date</w:t>
            </w:r>
          </w:p>
        </w:tc>
        <w:tc>
          <w:tcPr>
            <w:tcW w:type="dxa" w:w="8484"/>
          </w:tcPr>
          <w:p>
            <w:r>
              <w:rPr>
                <w:sz w:val="17"/>
              </w:rPr>
            </w:r>
            <w:r>
              <w:rPr>
                <w:sz w:val="17"/>
              </w:rPr>
              <w:t>Active /​ Expiring /​ Expired /​ Retired; next review date</w:t>
            </w:r>
          </w:p>
        </w:tc>
      </w:tr>
    </w:tbl>
    <w:p/>
    <w:p>
      <w:pPr>
        <w:pStyle w:val="Heading1"/>
      </w:pPr>
      <w:r>
        <w:t>3 Redistribution rules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3242"/>
        <w:gridCol w:w="7224"/>
      </w:tblGrid>
      <w:tr>
        <w:trPr>
          <w:cantSplit/>
          <w:tblHeader/>
        </w:trPr>
        <w:tc>
          <w:tcPr>
            <w:tcW w:type="dxa" w:w="3242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Asset type</w:t>
            </w:r>
          </w:p>
        </w:tc>
        <w:tc>
          <w:tcPr>
            <w:tcW w:type="dxa" w:w="722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Default rule unless the instrument says otherwise</w:t>
            </w:r>
          </w:p>
        </w:tc>
      </w:tr>
      <w:tr>
        <w:trPr>
          <w:cantSplit/>
        </w:trPr>
        <w:tc>
          <w:tcPr>
            <w:tcW w:type="dxa" w:w="3242"/>
          </w:tcPr>
          <w:p>
            <w:r>
              <w:rPr>
                <w:sz w:val="17"/>
              </w:rPr>
            </w:r>
            <w:r>
              <w:rPr>
                <w:sz w:val="17"/>
              </w:rPr>
              <w:t>Standards PDFs (ISO, BSI, other paid publications)</w:t>
            </w:r>
          </w:p>
        </w:tc>
        <w:tc>
          <w:tcPr>
            <w:tcW w:type="dxa" w:w="7224"/>
          </w:tcPr>
          <w:p>
            <w:r>
              <w:rPr>
                <w:sz w:val="17"/>
              </w:rPr>
            </w:r>
            <w:r>
              <w:rPr>
                <w:sz w:val="17"/>
              </w:rPr>
              <w:t>Licensed readers only, in the controlled standards store; cite and paraphrase in office standards; never copy paid text or send the PDF to clients or consultants</w:t>
            </w:r>
          </w:p>
        </w:tc>
      </w:tr>
      <w:tr>
        <w:trPr>
          <w:cantSplit/>
        </w:trPr>
        <w:tc>
          <w:tcPr>
            <w:tcW w:type="dxa" w:w="3242"/>
          </w:tcPr>
          <w:p>
            <w:r>
              <w:rPr>
                <w:sz w:val="17"/>
              </w:rPr>
            </w:r>
            <w:r>
              <w:rPr>
                <w:sz w:val="17"/>
              </w:rPr>
              <w:t>Free official publications (authority codes, circulars, open buildingSMART specifications)</w:t>
            </w:r>
          </w:p>
        </w:tc>
        <w:tc>
          <w:tcPr>
            <w:tcW w:type="dxa" w:w="7224"/>
          </w:tcPr>
          <w:p>
            <w:r>
              <w:rPr>
                <w:sz w:val="17"/>
              </w:rPr>
            </w:r>
            <w:r>
              <w:rPr>
                <w:sz w:val="17"/>
              </w:rPr>
              <w:t>May be linked; copies follow the publisher's terms; the official URL and check date are kept in the BBM-STD-51 edition register</w:t>
            </w:r>
          </w:p>
        </w:tc>
      </w:tr>
      <w:tr>
        <w:trPr>
          <w:cantSplit/>
        </w:trPr>
        <w:tc>
          <w:tcPr>
            <w:tcW w:type="dxa" w:w="3242"/>
          </w:tcPr>
          <w:p>
            <w:r>
              <w:rPr>
                <w:sz w:val="17"/>
              </w:rPr>
            </w:r>
            <w:r>
              <w:rPr>
                <w:sz w:val="17"/>
              </w:rPr>
              <w:t>Third-party content (families, materials, textures, fonts, imagery)</w:t>
            </w:r>
          </w:p>
        </w:tc>
        <w:tc>
          <w:tcPr>
            <w:tcW w:type="dxa" w:w="7224"/>
          </w:tcPr>
          <w:p>
            <w:r>
              <w:rPr>
                <w:sz w:val="17"/>
              </w:rPr>
            </w:r>
            <w:r>
              <w:rPr>
                <w:sz w:val="17"/>
              </w:rPr>
              <w:t>Internal use only until the register shows redistribution "Yes" for the exact item and recipient; a software seat does not authorise redistribution of a content library</w:t>
            </w:r>
          </w:p>
        </w:tc>
      </w:tr>
      <w:tr>
        <w:trPr>
          <w:cantSplit/>
        </w:trPr>
        <w:tc>
          <w:tcPr>
            <w:tcW w:type="dxa" w:w="3242"/>
          </w:tcPr>
          <w:p>
            <w:r>
              <w:rPr>
                <w:sz w:val="17"/>
              </w:rPr>
            </w:r>
            <w:r>
              <w:rPr>
                <w:sz w:val="17"/>
              </w:rPr>
              <w:t>Classification tables (e.g. Uniclass)</w:t>
            </w:r>
          </w:p>
        </w:tc>
        <w:tc>
          <w:tcPr>
            <w:tcW w:type="dxa" w:w="7224"/>
          </w:tcPr>
          <w:p>
            <w:r>
              <w:rPr>
                <w:sz w:val="17"/>
              </w:rPr>
            </w:r>
            <w:r>
              <w:rPr>
                <w:sz w:val="17"/>
              </w:rPr>
              <w:t>Use and embed codes per the publisher's licence for the adopted release, recorded here and in BBM-STD-72</w:t>
            </w:r>
          </w:p>
        </w:tc>
      </w:tr>
      <w:tr>
        <w:trPr>
          <w:cantSplit/>
        </w:trPr>
        <w:tc>
          <w:tcPr>
            <w:tcW w:type="dxa" w:w="3242"/>
          </w:tcPr>
          <w:p>
            <w:r>
              <w:rPr>
                <w:sz w:val="17"/>
              </w:rPr>
            </w:r>
            <w:r>
              <w:rPr>
                <w:sz w:val="17"/>
              </w:rPr>
              <w:t>Fonts (including Arabic-capable fonts for authority drawings)</w:t>
            </w:r>
          </w:p>
        </w:tc>
        <w:tc>
          <w:tcPr>
            <w:tcW w:type="dxa" w:w="7224"/>
          </w:tcPr>
          <w:p>
            <w:r>
              <w:rPr>
                <w:sz w:val="17"/>
              </w:rPr>
            </w:r>
            <w:r>
              <w:rPr>
                <w:sz w:val="17"/>
              </w:rPr>
              <w:t>Embedding in PDFs and sharing in native files only where the font licence allows; licence entry and file hash recorded before the font enters a template</w:t>
            </w:r>
          </w:p>
        </w:tc>
      </w:tr>
      <w:tr>
        <w:trPr>
          <w:cantSplit/>
        </w:trPr>
        <w:tc>
          <w:tcPr>
            <w:tcW w:type="dxa" w:w="3242"/>
          </w:tcPr>
          <w:p>
            <w:r>
              <w:rPr>
                <w:sz w:val="17"/>
              </w:rPr>
            </w:r>
            <w:r>
              <w:rPr>
                <w:sz w:val="17"/>
              </w:rPr>
              <w:t>Office-authored content and model IP</w:t>
            </w:r>
          </w:p>
        </w:tc>
        <w:tc>
          <w:tcPr>
            <w:tcW w:type="dxa" w:w="7224"/>
          </w:tcPr>
          <w:p>
            <w:r>
              <w:rPr>
                <w:sz w:val="17"/>
              </w:rPr>
            </w:r>
            <w:r>
              <w:rPr>
                <w:sz w:val="17"/>
              </w:rPr>
              <w:t>Shared per the appointment's licence terms; the appointment wins over this table</w:t>
            </w:r>
          </w:p>
        </w:tc>
      </w:tr>
    </w:tbl>
    <w:p/>
    <w:p>
      <w:pPr>
        <w:pStyle w:val="Heading1"/>
      </w:pPr>
      <w:r>
        <w:t>4 Credential custody</w:t>
      </w:r>
    </w:p>
    <w:p>
      <w:pPr/>
      <w:r>
        <w:t xml:space="preserve">Credentials (passwords, licence keys, API keys, tokens, activation codes, service-account secrets) are never written in documents, registers, models, scripts, prompts, emails or chat. They are held only in the office password manager, in a vault restricted to the named custodians. The register names the vault entry, not its value. A credential found anywhere else is treated as exposed: rotate it, remove the copy and record the incident under </w:t>
      </w:r>
      <w:r>
        <w:rPr>
          <w:color w:val="9A7B45"/>
          <w:u w:val="single"/>
        </w:rPr>
        <w:t>BBM-STD-87</w:t>
      </w:r>
      <w:r>
        <w:t xml:space="preserve"> §4. The password-manager vault and any export of it are SensitivityClass Restricted (BBM-STD-87 §2). Leavers lose vault access the same day; shared credentials they knew are rotated.</w:t>
      </w:r>
    </w:p>
    <w:p>
      <w:pPr>
        <w:pStyle w:val="Heading1"/>
      </w:pPr>
      <w:r>
        <w:t>5 Review cycle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3837"/>
        <w:gridCol w:w="6629"/>
      </w:tblGrid>
      <w:tr>
        <w:trPr>
          <w:cantSplit/>
          <w:tblHeader/>
        </w:trPr>
        <w:tc>
          <w:tcPr>
            <w:tcW w:type="dxa" w:w="383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Trigger</w:t>
            </w:r>
          </w:p>
        </w:tc>
        <w:tc>
          <w:tcPr>
            <w:tcW w:type="dxa" w:w="662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Action</w:t>
            </w:r>
          </w:p>
        </w:tc>
      </w:tr>
      <w:tr>
        <w:trPr>
          <w:cantSplit/>
        </w:trPr>
        <w:tc>
          <w:tcPr>
            <w:tcW w:type="dxa" w:w="3837"/>
          </w:tcPr>
          <w:p>
            <w:r>
              <w:rPr>
                <w:sz w:val="17"/>
              </w:rPr>
            </w:r>
            <w:r>
              <w:rPr>
                <w:sz w:val="17"/>
              </w:rPr>
              <w:t>Monthly</w:t>
            </w:r>
          </w:p>
        </w:tc>
        <w:tc>
          <w:tcPr>
            <w:tcW w:type="dxa" w:w="6629"/>
          </w:tcPr>
          <w:p>
            <w:r>
              <w:rPr>
                <w:sz w:val="17"/>
              </w:rPr>
            </w:r>
            <w:r>
              <w:rPr>
                <w:sz w:val="17"/>
              </w:rPr>
              <w:t>Rights steward checks renewal dates due within 90 days and alerts the owner</w:t>
            </w:r>
          </w:p>
        </w:tc>
      </w:tr>
      <w:tr>
        <w:trPr>
          <w:cantSplit/>
        </w:trPr>
        <w:tc>
          <w:tcPr>
            <w:tcW w:type="dxa" w:w="3837"/>
          </w:tcPr>
          <w:p>
            <w:r>
              <w:rPr>
                <w:sz w:val="17"/>
              </w:rPr>
            </w:r>
            <w:r>
              <w:rPr>
                <w:sz w:val="17"/>
              </w:rPr>
              <w:t>Renewal or new licence</w:t>
            </w:r>
          </w:p>
        </w:tc>
        <w:tc>
          <w:tcPr>
            <w:tcW w:type="dxa" w:w="6629"/>
          </w:tcPr>
          <w:p>
            <w:r>
              <w:rPr>
                <w:sz w:val="17"/>
              </w:rPr>
            </w:r>
            <w:r>
              <w:rPr>
                <w:sz w:val="17"/>
              </w:rPr>
              <w:t>Director approval; register row updated before the licence is used</w:t>
            </w:r>
          </w:p>
        </w:tc>
      </w:tr>
      <w:tr>
        <w:trPr>
          <w:cantSplit/>
        </w:trPr>
        <w:tc>
          <w:tcPr>
            <w:tcW w:type="dxa" w:w="3837"/>
          </w:tcPr>
          <w:p>
            <w:r>
              <w:rPr>
                <w:sz w:val="17"/>
              </w:rPr>
            </w:r>
            <w:r>
              <w:rPr>
                <w:sz w:val="17"/>
              </w:rPr>
              <w:t>Change of terms, provider or product version</w:t>
            </w:r>
          </w:p>
        </w:tc>
        <w:tc>
          <w:tcPr>
            <w:tcW w:type="dxa" w:w="6629"/>
          </w:tcPr>
          <w:p>
            <w:r>
              <w:rPr>
                <w:sz w:val="17"/>
              </w:rPr>
            </w:r>
            <w:r>
              <w:rPr>
                <w:sz w:val="17"/>
              </w:rPr>
              <w:t>Re-check redistribution and dependent standards; notify their owners</w:t>
            </w:r>
          </w:p>
        </w:tc>
      </w:tr>
      <w:tr>
        <w:trPr>
          <w:cantSplit/>
        </w:trPr>
        <w:tc>
          <w:tcPr>
            <w:tcW w:type="dxa" w:w="3837"/>
          </w:tcPr>
          <w:p>
            <w:r>
              <w:rPr>
                <w:sz w:val="17"/>
              </w:rPr>
            </w:r>
            <w:r>
              <w:rPr>
                <w:sz w:val="17"/>
              </w:rPr>
              <w:t>New Revit major or release leaving support</w:t>
            </w:r>
          </w:p>
        </w:tc>
        <w:tc>
          <w:tcPr>
            <w:tcW w:type="dxa" w:w="6629"/>
          </w:tcPr>
          <w:p>
            <w:r>
              <w:rPr>
                <w:sz w:val="17"/>
              </w:rPr>
            </w:r>
            <w:r>
              <w:rPr>
                <w:sz w:val="17"/>
              </w:rPr>
              <w:t xml:space="preserve">Update with the </w:t>
            </w:r>
            <w:r>
              <w:rPr>
                <w:color w:val="9A7B45"/>
                <w:sz w:val="17"/>
                <w:u w:val="single"/>
              </w:rPr>
              <w:t>BBM-STD-91</w:t>
            </w:r>
            <w:r>
              <w:rPr>
                <w:sz w:val="17"/>
              </w:rPr>
              <w:t xml:space="preserve"> lifecycle review</w:t>
            </w:r>
          </w:p>
        </w:tc>
      </w:tr>
      <w:tr>
        <w:trPr>
          <w:cantSplit/>
        </w:trPr>
        <w:tc>
          <w:tcPr>
            <w:tcW w:type="dxa" w:w="3837"/>
          </w:tcPr>
          <w:p>
            <w:r>
              <w:rPr>
                <w:sz w:val="17"/>
              </w:rPr>
            </w:r>
            <w:r>
              <w:rPr>
                <w:sz w:val="17"/>
              </w:rPr>
              <w:t>Every 12 months</w:t>
            </w:r>
          </w:p>
        </w:tc>
        <w:tc>
          <w:tcPr>
            <w:tcW w:type="dxa" w:w="6629"/>
          </w:tcPr>
          <w:p>
            <w:r>
              <w:rPr>
                <w:sz w:val="17"/>
              </w:rPr>
            </w:r>
            <w:r>
              <w:rPr>
                <w:sz w:val="17"/>
              </w:rPr>
              <w:t>Full review of all rows, seat use against allocation, retired items</w:t>
            </w:r>
          </w:p>
        </w:tc>
      </w:tr>
      <w:tr>
        <w:trPr>
          <w:cantSplit/>
        </w:trPr>
        <w:tc>
          <w:tcPr>
            <w:tcW w:type="dxa" w:w="3837"/>
          </w:tcPr>
          <w:p>
            <w:r>
              <w:rPr>
                <w:sz w:val="17"/>
              </w:rPr>
            </w:r>
            <w:r>
              <w:rPr>
                <w:sz w:val="17"/>
              </w:rPr>
              <w:t>Expiry or revoked access</w:t>
            </w:r>
          </w:p>
        </w:tc>
        <w:tc>
          <w:tcPr>
            <w:tcW w:type="dxa" w:w="6629"/>
          </w:tcPr>
          <w:p>
            <w:r>
              <w:rPr>
                <w:sz w:val="17"/>
              </w:rPr>
            </w:r>
            <w:r>
              <w:rPr>
                <w:sz w:val="17"/>
              </w:rPr>
              <w:t xml:space="preserve">Hold the affected new use; retention of existing records follows </w:t>
            </w:r>
            <w:r>
              <w:rPr>
                <w:color w:val="9A7B45"/>
                <w:sz w:val="17"/>
                <w:u w:val="single"/>
              </w:rPr>
              <w:t>BBM-STD-90</w:t>
            </w:r>
            <w:r>
              <w:rPr>
                <w:sz w:val="17"/>
              </w:rPr>
              <w:t>, not immediate deletion</w:t>
            </w:r>
          </w:p>
        </w:tc>
      </w:tr>
    </w:tbl>
    <w:p/>
    <w:p>
      <w:pPr>
        <w:pStyle w:val="Heading1"/>
      </w:pPr>
      <w:r>
        <w:t>6 Acceptance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340"/>
        <w:gridCol w:w="9126"/>
      </w:tblGrid>
      <w:tr>
        <w:trPr>
          <w:cantSplit/>
          <w:tblHeader/>
        </w:trPr>
        <w:tc>
          <w:tcPr>
            <w:tcW w:type="dxa" w:w="1340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Check</w:t>
            </w:r>
          </w:p>
        </w:tc>
        <w:tc>
          <w:tcPr>
            <w:tcW w:type="dxa" w:w="9126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Evidence</w:t>
            </w:r>
          </w:p>
        </w:tc>
      </w:tr>
      <w:tr>
        <w:trPr>
          <w:cantSplit/>
        </w:trPr>
        <w:tc>
          <w:tcPr>
            <w:tcW w:type="dxa" w:w="1340"/>
          </w:tcPr>
          <w:p>
            <w:r>
              <w:rPr>
                <w:sz w:val="17"/>
              </w:rPr>
            </w:r>
            <w:r>
              <w:rPr>
                <w:sz w:val="17"/>
              </w:rPr>
              <w:t>Completeness</w:t>
            </w:r>
          </w:p>
        </w:tc>
        <w:tc>
          <w:tcPr>
            <w:tcW w:type="dxa" w:w="9126"/>
          </w:tcPr>
          <w:p>
            <w:r>
              <w:rPr>
                <w:sz w:val="17"/>
              </w:rPr>
            </w:r>
            <w:r>
              <w:rPr>
                <w:sz w:val="17"/>
              </w:rPr>
              <w:t>Every tool in BBM-STD-91 and BBM-STD-73, every AI service in BBM-STD-92 and every standards subscription has a row</w:t>
            </w:r>
          </w:p>
        </w:tc>
      </w:tr>
      <w:tr>
        <w:trPr>
          <w:cantSplit/>
        </w:trPr>
        <w:tc>
          <w:tcPr>
            <w:tcW w:type="dxa" w:w="1340"/>
          </w:tcPr>
          <w:p>
            <w:r>
              <w:rPr>
                <w:sz w:val="17"/>
              </w:rPr>
            </w:r>
            <w:r>
              <w:rPr>
                <w:sz w:val="17"/>
              </w:rPr>
              <w:t>No secrets</w:t>
            </w:r>
          </w:p>
        </w:tc>
        <w:tc>
          <w:tcPr>
            <w:tcW w:type="dxa" w:w="9126"/>
          </w:tcPr>
          <w:p>
            <w:r>
              <w:rPr>
                <w:sz w:val="17"/>
              </w:rPr>
            </w:r>
            <w:r>
              <w:rPr>
                <w:sz w:val="17"/>
              </w:rPr>
              <w:t>Search of the register and standards set finds no key, password or token</w:t>
            </w:r>
          </w:p>
        </w:tc>
      </w:tr>
      <w:tr>
        <w:trPr>
          <w:cantSplit/>
        </w:trPr>
        <w:tc>
          <w:tcPr>
            <w:tcW w:type="dxa" w:w="1340"/>
          </w:tcPr>
          <w:p>
            <w:r>
              <w:rPr>
                <w:sz w:val="17"/>
              </w:rPr>
            </w:r>
            <w:r>
              <w:rPr>
                <w:sz w:val="17"/>
              </w:rPr>
              <w:t>In date</w:t>
            </w:r>
          </w:p>
        </w:tc>
        <w:tc>
          <w:tcPr>
            <w:tcW w:type="dxa" w:w="9126"/>
          </w:tcPr>
          <w:p>
            <w:r>
              <w:rPr>
                <w:sz w:val="17"/>
              </w:rPr>
            </w:r>
            <w:r>
              <w:rPr>
                <w:sz w:val="17"/>
              </w:rPr>
              <w:t>No Active row past its end date; renewals due within 90 days have an owner action</w:t>
            </w:r>
          </w:p>
        </w:tc>
      </w:tr>
    </w:tbl>
    <w:p/>
    <w:p>
      <w:pPr>
        <w:pStyle w:val="Heading1"/>
      </w:pPr>
      <w:r>
        <w:t>References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ISO/IEC 27001:2022 + Amd 1:2024 (access control, supplier relationships, secret authentication information): https://committee.iso.org/standard/82875.html, checked 2026-11-04.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ISO 19650-5:2020 (security-minded approach to information management): https://committee.iso.org/standard/74206.html, checked 2026-11-04.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NBS Uniclass 2015 downloads and licence terms (July 2026 release): https://uniclass.thenbs.com/download, checked 2026-11-04.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Autodesk support lifecycle and previous versions (licence and download availability per release): https://www.autodesk.com/support/account/manage/versions/support-lifecycle, checked 2026-11-04.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Office interfaces: </w:t>
      </w:r>
      <w:r>
        <w:rPr>
          <w:color w:val="9A7B45"/>
          <w:u w:val="single"/>
        </w:rPr>
        <w:t>BBM-STD-51</w:t>
      </w:r>
      <w:r>
        <w:t xml:space="preserve"> §5, </w:t>
      </w:r>
      <w:r>
        <w:rPr>
          <w:color w:val="9A7B45"/>
          <w:u w:val="single"/>
        </w:rPr>
        <w:t>BBM-STD-73</w:t>
      </w:r>
      <w:r>
        <w:t xml:space="preserve">, </w:t>
      </w:r>
      <w:r>
        <w:rPr>
          <w:color w:val="9A7B45"/>
          <w:u w:val="single"/>
        </w:rPr>
        <w:t>BBM-STD-80</w:t>
      </w:r>
      <w:r>
        <w:t xml:space="preserve">, </w:t>
      </w:r>
      <w:r>
        <w:rPr>
          <w:color w:val="9A7B45"/>
          <w:u w:val="single"/>
        </w:rPr>
        <w:t>BBM-STD-92</w:t>
      </w:r>
      <w:r>
        <w:t xml:space="preserve">, </w:t>
      </w:r>
      <w:r>
        <w:rPr>
          <w:color w:val="9A7B45"/>
          <w:u w:val="single"/>
        </w:rPr>
        <w:t>BBM-STD-91</w:t>
      </w:r>
      <w:r>
        <w:t>.</w:t>
      </w:r>
    </w:p>
    <w:sectPr w:rsidR="00922C46" w:rsidSect="00922C46">
      <w:headerReference w:type="default" r:id="rId8"/>
      <w:footerReference w:type="default" r:id="rId9"/>
      <w:headerReference w:type="first" r:id="rId10"/>
      <w:pgSz w:w="11906" w:h="16838"/>
      <w:pgMar w:top="1701" w:right="720" w:bottom="720" w:left="720" w:header="454" w:footer="20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3B23" w14:textId="77777777" w:rsidR="00721C27" w:rsidRDefault="00721C27" w:rsidP="00CB352A">
      <w:pPr>
        <w:spacing w:after="0" w:line="240" w:lineRule="auto"/>
      </w:pPr>
      <w:r>
        <w:separator/>
      </w:r>
    </w:p>
  </w:endnote>
  <w:endnote w:type="continuationSeparator" w:id="0">
    <w:p w14:paraId="311C7F5C" w14:textId="77777777" w:rsidR="00721C27" w:rsidRDefault="00721C27" w:rsidP="00CB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ter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0387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233345" w14:textId="16A281E0" w:rsidR="00F66F4B" w:rsidRDefault="00F66F4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B1D756A" w14:textId="666CA5D8" w:rsidR="00F66F4B" w:rsidRDefault="00F66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EE4E" w14:textId="77777777" w:rsidR="00721C27" w:rsidRDefault="00721C27" w:rsidP="00CB352A">
      <w:pPr>
        <w:spacing w:after="0" w:line="240" w:lineRule="auto"/>
      </w:pPr>
      <w:r>
        <w:separator/>
      </w:r>
    </w:p>
  </w:footnote>
  <w:footnote w:type="continuationSeparator" w:id="0">
    <w:p w14:paraId="12244030" w14:textId="77777777" w:rsidR="00721C27" w:rsidRDefault="00721C27" w:rsidP="00CB3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8C6C" w14:textId="515D1FCF" w:rsidR="00CB352A" w:rsidRDefault="009C7B28">
    <w:pPr>
      <w:pStyle w:val="Header"/>
      <w:rPr>
        <w:b/>
        <w:bCs/>
      </w:rPr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58240" behindDoc="0" locked="0" layoutInCell="1" allowOverlap="1" wp14:anchorId="0228A8AB" wp14:editId="336A9345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923870934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320F" w:rsidRPr="0089320F">
      <w:rPr>
        <w:b/>
        <w:bCs/>
      </w:rPr>
      <w:t>BBM-BIM | BBM-STD-94-LICENCE_REGISTER-V0.1</w:t>
    </w:r>
    <w:r w:rsidR="00A018A2">
      <w:rPr>
        <w:b/>
        <w:bCs/>
      </w:rPr>
    </w:r>
    <w:r w:rsidR="00050B13">
      <w:rPr>
        <w:b/>
        <w:bCs/>
      </w:rPr>
    </w:r>
  </w:p>
  <w:p w14:paraId="6DEDEFD4" w14:textId="77777777" w:rsidR="00F66F4B" w:rsidRDefault="00F66F4B">
    <w:pPr>
      <w:pStyle w:val="Header"/>
      <w:rPr>
        <w:b/>
        <w:bCs/>
      </w:rPr>
    </w:pPr>
  </w:p>
  <w:p w14:paraId="1F087E3B" w14:textId="77777777" w:rsidR="0089320F" w:rsidRPr="0089320F" w:rsidRDefault="0089320F">
    <w:pPr>
      <w:pStyle w:val="Head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3CAFC" w14:textId="11F1D81D" w:rsidR="0038312B" w:rsidRDefault="0038312B">
    <w:pPr>
      <w:pStyle w:val="Header"/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60288" behindDoc="0" locked="0" layoutInCell="1" allowOverlap="1" wp14:anchorId="05FC8F1B" wp14:editId="450AA59F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1296434436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CB5"/>
    <w:multiLevelType w:val="multilevel"/>
    <w:tmpl w:val="A9BE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E5580"/>
    <w:multiLevelType w:val="multilevel"/>
    <w:tmpl w:val="9F8C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10C3F"/>
    <w:multiLevelType w:val="multilevel"/>
    <w:tmpl w:val="FDB4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F5278"/>
    <w:multiLevelType w:val="multilevel"/>
    <w:tmpl w:val="D27A30C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E607D4"/>
    <w:multiLevelType w:val="multilevel"/>
    <w:tmpl w:val="0F5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22449"/>
    <w:multiLevelType w:val="multilevel"/>
    <w:tmpl w:val="7FDA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91BE1"/>
    <w:multiLevelType w:val="multilevel"/>
    <w:tmpl w:val="9A9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16DFE"/>
    <w:multiLevelType w:val="multilevel"/>
    <w:tmpl w:val="10F8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480DBE"/>
    <w:multiLevelType w:val="multilevel"/>
    <w:tmpl w:val="C850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E3636F"/>
    <w:multiLevelType w:val="multilevel"/>
    <w:tmpl w:val="DA9E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1543BB"/>
    <w:multiLevelType w:val="multilevel"/>
    <w:tmpl w:val="19F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B2324D"/>
    <w:multiLevelType w:val="multilevel"/>
    <w:tmpl w:val="F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3A2E07"/>
    <w:multiLevelType w:val="multilevel"/>
    <w:tmpl w:val="E240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BD2A97"/>
    <w:multiLevelType w:val="multilevel"/>
    <w:tmpl w:val="43A2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C43213"/>
    <w:multiLevelType w:val="multilevel"/>
    <w:tmpl w:val="848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B110E8"/>
    <w:multiLevelType w:val="multilevel"/>
    <w:tmpl w:val="8052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C465B0"/>
    <w:multiLevelType w:val="multilevel"/>
    <w:tmpl w:val="C050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9A7D33"/>
    <w:multiLevelType w:val="hybridMultilevel"/>
    <w:tmpl w:val="ACE66CBA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187B4E90"/>
    <w:multiLevelType w:val="multilevel"/>
    <w:tmpl w:val="5EAA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F47AEF"/>
    <w:multiLevelType w:val="multilevel"/>
    <w:tmpl w:val="0CD4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651B91"/>
    <w:multiLevelType w:val="multilevel"/>
    <w:tmpl w:val="999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8076E0"/>
    <w:multiLevelType w:val="multilevel"/>
    <w:tmpl w:val="9A4E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916E4C"/>
    <w:multiLevelType w:val="multilevel"/>
    <w:tmpl w:val="730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983E25"/>
    <w:multiLevelType w:val="multilevel"/>
    <w:tmpl w:val="9FD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F27FC"/>
    <w:multiLevelType w:val="multilevel"/>
    <w:tmpl w:val="4310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CE0CD0"/>
    <w:multiLevelType w:val="hybridMultilevel"/>
    <w:tmpl w:val="877C0468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25E45045"/>
    <w:multiLevelType w:val="multilevel"/>
    <w:tmpl w:val="6D22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BD15BC"/>
    <w:multiLevelType w:val="multilevel"/>
    <w:tmpl w:val="E4B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054ACD"/>
    <w:multiLevelType w:val="multilevel"/>
    <w:tmpl w:val="A5BE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BE48F0"/>
    <w:multiLevelType w:val="multilevel"/>
    <w:tmpl w:val="A14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DA1723"/>
    <w:multiLevelType w:val="hybridMultilevel"/>
    <w:tmpl w:val="1AD011EC"/>
    <w:lvl w:ilvl="0" w:tplc="498CDA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B418A3"/>
    <w:multiLevelType w:val="multilevel"/>
    <w:tmpl w:val="9328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3038C1"/>
    <w:multiLevelType w:val="multilevel"/>
    <w:tmpl w:val="252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D27B7E"/>
    <w:multiLevelType w:val="multilevel"/>
    <w:tmpl w:val="BB3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3824DB"/>
    <w:multiLevelType w:val="hybridMultilevel"/>
    <w:tmpl w:val="BD40DAA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AC3C79"/>
    <w:multiLevelType w:val="hybridMultilevel"/>
    <w:tmpl w:val="743EF4B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E442A6"/>
    <w:multiLevelType w:val="hybridMultilevel"/>
    <w:tmpl w:val="25DCC4C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03C6B"/>
    <w:multiLevelType w:val="multilevel"/>
    <w:tmpl w:val="482E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80033A"/>
    <w:multiLevelType w:val="multilevel"/>
    <w:tmpl w:val="F54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90FD6"/>
    <w:multiLevelType w:val="multilevel"/>
    <w:tmpl w:val="5DB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5B207C1"/>
    <w:multiLevelType w:val="multilevel"/>
    <w:tmpl w:val="3F58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4743A6"/>
    <w:multiLevelType w:val="multilevel"/>
    <w:tmpl w:val="0464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9D6270"/>
    <w:multiLevelType w:val="multilevel"/>
    <w:tmpl w:val="493859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B37442B"/>
    <w:multiLevelType w:val="multilevel"/>
    <w:tmpl w:val="DCC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4D4C7F"/>
    <w:multiLevelType w:val="multilevel"/>
    <w:tmpl w:val="F8B8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6C620A"/>
    <w:multiLevelType w:val="multilevel"/>
    <w:tmpl w:val="D01A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A02F28"/>
    <w:multiLevelType w:val="hybridMultilevel"/>
    <w:tmpl w:val="89589A5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0A30BE"/>
    <w:multiLevelType w:val="multilevel"/>
    <w:tmpl w:val="387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D07053"/>
    <w:multiLevelType w:val="hybridMultilevel"/>
    <w:tmpl w:val="753CE6EA"/>
    <w:lvl w:ilvl="0" w:tplc="137A815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F9764D"/>
    <w:multiLevelType w:val="hybridMultilevel"/>
    <w:tmpl w:val="6D90A5F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257493"/>
    <w:multiLevelType w:val="multilevel"/>
    <w:tmpl w:val="1862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55033D6"/>
    <w:multiLevelType w:val="multilevel"/>
    <w:tmpl w:val="C024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DF1E1A"/>
    <w:multiLevelType w:val="multilevel"/>
    <w:tmpl w:val="EA0A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897B19"/>
    <w:multiLevelType w:val="hybridMultilevel"/>
    <w:tmpl w:val="C5142CA6"/>
    <w:lvl w:ilvl="0" w:tplc="D1F2EE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87667"/>
    <w:multiLevelType w:val="multilevel"/>
    <w:tmpl w:val="4428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4841AC"/>
    <w:multiLevelType w:val="multilevel"/>
    <w:tmpl w:val="65D4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154B9E"/>
    <w:multiLevelType w:val="multilevel"/>
    <w:tmpl w:val="3EDC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CF446D6"/>
    <w:multiLevelType w:val="multilevel"/>
    <w:tmpl w:val="9AE8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A12C63"/>
    <w:multiLevelType w:val="multilevel"/>
    <w:tmpl w:val="19BA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A64FFB"/>
    <w:multiLevelType w:val="multilevel"/>
    <w:tmpl w:val="4BEC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26775D"/>
    <w:multiLevelType w:val="multilevel"/>
    <w:tmpl w:val="0DC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F4C2599"/>
    <w:multiLevelType w:val="multilevel"/>
    <w:tmpl w:val="13B8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07C44F1"/>
    <w:multiLevelType w:val="multilevel"/>
    <w:tmpl w:val="3CC6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3467FE"/>
    <w:multiLevelType w:val="multilevel"/>
    <w:tmpl w:val="9522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B57CDF"/>
    <w:multiLevelType w:val="multilevel"/>
    <w:tmpl w:val="72E6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964972"/>
    <w:multiLevelType w:val="multilevel"/>
    <w:tmpl w:val="C3AC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511F6D"/>
    <w:multiLevelType w:val="multilevel"/>
    <w:tmpl w:val="9BE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23172F"/>
    <w:multiLevelType w:val="multilevel"/>
    <w:tmpl w:val="12B6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BE5B37"/>
    <w:multiLevelType w:val="multilevel"/>
    <w:tmpl w:val="27C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180DFE"/>
    <w:multiLevelType w:val="multilevel"/>
    <w:tmpl w:val="176C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83555A3"/>
    <w:multiLevelType w:val="multilevel"/>
    <w:tmpl w:val="1EF2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CD7C91"/>
    <w:multiLevelType w:val="multilevel"/>
    <w:tmpl w:val="0FC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D12550"/>
    <w:multiLevelType w:val="multilevel"/>
    <w:tmpl w:val="5F0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FC1C66"/>
    <w:multiLevelType w:val="hybridMultilevel"/>
    <w:tmpl w:val="6246873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BAE16B6"/>
    <w:multiLevelType w:val="hybridMultilevel"/>
    <w:tmpl w:val="E8164416"/>
    <w:lvl w:ilvl="0" w:tplc="D52ED5B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3F25B3"/>
    <w:multiLevelType w:val="multilevel"/>
    <w:tmpl w:val="EA4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C23B7E"/>
    <w:multiLevelType w:val="multilevel"/>
    <w:tmpl w:val="416C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F26A17"/>
    <w:multiLevelType w:val="hybridMultilevel"/>
    <w:tmpl w:val="E7F42ABC"/>
    <w:lvl w:ilvl="0" w:tplc="51D0EC10">
      <w:start w:val="2"/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FD14F4"/>
    <w:multiLevelType w:val="hybridMultilevel"/>
    <w:tmpl w:val="1E98011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F303287"/>
    <w:multiLevelType w:val="multilevel"/>
    <w:tmpl w:val="2EBA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837531">
    <w:abstractNumId w:val="11"/>
  </w:num>
  <w:num w:numId="2" w16cid:durableId="1351297986">
    <w:abstractNumId w:val="53"/>
  </w:num>
  <w:num w:numId="3" w16cid:durableId="1365397943">
    <w:abstractNumId w:val="56"/>
  </w:num>
  <w:num w:numId="4" w16cid:durableId="2071027318">
    <w:abstractNumId w:val="75"/>
  </w:num>
  <w:num w:numId="5" w16cid:durableId="210533793">
    <w:abstractNumId w:val="32"/>
  </w:num>
  <w:num w:numId="6" w16cid:durableId="445732298">
    <w:abstractNumId w:val="61"/>
  </w:num>
  <w:num w:numId="7" w16cid:durableId="133573405">
    <w:abstractNumId w:val="30"/>
  </w:num>
  <w:num w:numId="8" w16cid:durableId="574585613">
    <w:abstractNumId w:val="74"/>
  </w:num>
  <w:num w:numId="9" w16cid:durableId="1349478103">
    <w:abstractNumId w:val="59"/>
  </w:num>
  <w:num w:numId="10" w16cid:durableId="2110003057">
    <w:abstractNumId w:val="45"/>
  </w:num>
  <w:num w:numId="11" w16cid:durableId="1874147494">
    <w:abstractNumId w:val="28"/>
  </w:num>
  <w:num w:numId="12" w16cid:durableId="2079087691">
    <w:abstractNumId w:val="3"/>
  </w:num>
  <w:num w:numId="13" w16cid:durableId="1823153762">
    <w:abstractNumId w:val="36"/>
  </w:num>
  <w:num w:numId="14" w16cid:durableId="1909921589">
    <w:abstractNumId w:val="12"/>
  </w:num>
  <w:num w:numId="15" w16cid:durableId="641083692">
    <w:abstractNumId w:val="77"/>
  </w:num>
  <w:num w:numId="16" w16cid:durableId="1245065181">
    <w:abstractNumId w:val="21"/>
  </w:num>
  <w:num w:numId="17" w16cid:durableId="398945280">
    <w:abstractNumId w:val="14"/>
  </w:num>
  <w:num w:numId="18" w16cid:durableId="16122890">
    <w:abstractNumId w:val="42"/>
  </w:num>
  <w:num w:numId="19" w16cid:durableId="1635210469">
    <w:abstractNumId w:val="25"/>
  </w:num>
  <w:num w:numId="20" w16cid:durableId="218126872">
    <w:abstractNumId w:val="17"/>
  </w:num>
  <w:num w:numId="21" w16cid:durableId="1801800760">
    <w:abstractNumId w:val="34"/>
  </w:num>
  <w:num w:numId="22" w16cid:durableId="1988775808">
    <w:abstractNumId w:val="47"/>
  </w:num>
  <w:num w:numId="23" w16cid:durableId="471681732">
    <w:abstractNumId w:val="27"/>
  </w:num>
  <w:num w:numId="24" w16cid:durableId="1064639593">
    <w:abstractNumId w:val="72"/>
  </w:num>
  <w:num w:numId="25" w16cid:durableId="2090497845">
    <w:abstractNumId w:val="23"/>
  </w:num>
  <w:num w:numId="26" w16cid:durableId="1181160950">
    <w:abstractNumId w:val="66"/>
  </w:num>
  <w:num w:numId="27" w16cid:durableId="1095247099">
    <w:abstractNumId w:val="26"/>
  </w:num>
  <w:num w:numId="28" w16cid:durableId="1520775121">
    <w:abstractNumId w:val="55"/>
  </w:num>
  <w:num w:numId="29" w16cid:durableId="600991068">
    <w:abstractNumId w:val="29"/>
  </w:num>
  <w:num w:numId="30" w16cid:durableId="1683556577">
    <w:abstractNumId w:val="51"/>
  </w:num>
  <w:num w:numId="31" w16cid:durableId="974061579">
    <w:abstractNumId w:val="43"/>
  </w:num>
  <w:num w:numId="32" w16cid:durableId="1131433968">
    <w:abstractNumId w:val="50"/>
  </w:num>
  <w:num w:numId="33" w16cid:durableId="512912934">
    <w:abstractNumId w:val="58"/>
  </w:num>
  <w:num w:numId="34" w16cid:durableId="1647661682">
    <w:abstractNumId w:val="5"/>
  </w:num>
  <w:num w:numId="35" w16cid:durableId="973022565">
    <w:abstractNumId w:val="24"/>
  </w:num>
  <w:num w:numId="36" w16cid:durableId="2025981299">
    <w:abstractNumId w:val="37"/>
  </w:num>
  <w:num w:numId="37" w16cid:durableId="60642266">
    <w:abstractNumId w:val="31"/>
  </w:num>
  <w:num w:numId="38" w16cid:durableId="2132359830">
    <w:abstractNumId w:val="9"/>
  </w:num>
  <w:num w:numId="39" w16cid:durableId="313875134">
    <w:abstractNumId w:val="38"/>
  </w:num>
  <w:num w:numId="40" w16cid:durableId="1400589230">
    <w:abstractNumId w:val="1"/>
  </w:num>
  <w:num w:numId="41" w16cid:durableId="2120292575">
    <w:abstractNumId w:val="22"/>
  </w:num>
  <w:num w:numId="42" w16cid:durableId="1371876170">
    <w:abstractNumId w:val="57"/>
  </w:num>
  <w:num w:numId="43" w16cid:durableId="1466267942">
    <w:abstractNumId w:val="62"/>
  </w:num>
  <w:num w:numId="44" w16cid:durableId="3631326">
    <w:abstractNumId w:val="4"/>
  </w:num>
  <w:num w:numId="45" w16cid:durableId="1991057930">
    <w:abstractNumId w:val="41"/>
  </w:num>
  <w:num w:numId="46" w16cid:durableId="664094968">
    <w:abstractNumId w:val="76"/>
  </w:num>
  <w:num w:numId="47" w16cid:durableId="1739940048">
    <w:abstractNumId w:val="49"/>
  </w:num>
  <w:num w:numId="48" w16cid:durableId="286551571">
    <w:abstractNumId w:val="16"/>
  </w:num>
  <w:num w:numId="49" w16cid:durableId="846596105">
    <w:abstractNumId w:val="40"/>
  </w:num>
  <w:num w:numId="50" w16cid:durableId="510607186">
    <w:abstractNumId w:val="63"/>
  </w:num>
  <w:num w:numId="51" w16cid:durableId="12155379">
    <w:abstractNumId w:val="2"/>
  </w:num>
  <w:num w:numId="52" w16cid:durableId="1045834822">
    <w:abstractNumId w:val="54"/>
  </w:num>
  <w:num w:numId="53" w16cid:durableId="804196552">
    <w:abstractNumId w:val="73"/>
  </w:num>
  <w:num w:numId="54" w16cid:durableId="178736295">
    <w:abstractNumId w:val="10"/>
  </w:num>
  <w:num w:numId="55" w16cid:durableId="1877966397">
    <w:abstractNumId w:val="46"/>
  </w:num>
  <w:num w:numId="56" w16cid:durableId="1944485735">
    <w:abstractNumId w:val="8"/>
  </w:num>
  <w:num w:numId="57" w16cid:durableId="1237714374">
    <w:abstractNumId w:val="35"/>
  </w:num>
  <w:num w:numId="58" w16cid:durableId="165638271">
    <w:abstractNumId w:val="78"/>
  </w:num>
  <w:num w:numId="59" w16cid:durableId="881479234">
    <w:abstractNumId w:val="48"/>
  </w:num>
  <w:num w:numId="60" w16cid:durableId="861405408">
    <w:abstractNumId w:val="18"/>
  </w:num>
  <w:num w:numId="61" w16cid:durableId="1968507311">
    <w:abstractNumId w:val="52"/>
  </w:num>
  <w:num w:numId="62" w16cid:durableId="726805067">
    <w:abstractNumId w:val="7"/>
  </w:num>
  <w:num w:numId="63" w16cid:durableId="694841789">
    <w:abstractNumId w:val="19"/>
  </w:num>
  <w:num w:numId="64" w16cid:durableId="628516054">
    <w:abstractNumId w:val="69"/>
  </w:num>
  <w:num w:numId="65" w16cid:durableId="1222668138">
    <w:abstractNumId w:val="65"/>
  </w:num>
  <w:num w:numId="66" w16cid:durableId="1019281562">
    <w:abstractNumId w:val="70"/>
  </w:num>
  <w:num w:numId="67" w16cid:durableId="1271547946">
    <w:abstractNumId w:val="20"/>
  </w:num>
  <w:num w:numId="68" w16cid:durableId="726295327">
    <w:abstractNumId w:val="64"/>
  </w:num>
  <w:num w:numId="69" w16cid:durableId="831221370">
    <w:abstractNumId w:val="68"/>
  </w:num>
  <w:num w:numId="70" w16cid:durableId="137649203">
    <w:abstractNumId w:val="44"/>
  </w:num>
  <w:num w:numId="71" w16cid:durableId="1085299768">
    <w:abstractNumId w:val="71"/>
  </w:num>
  <w:num w:numId="72" w16cid:durableId="1020814749">
    <w:abstractNumId w:val="79"/>
  </w:num>
  <w:num w:numId="73" w16cid:durableId="1082262486">
    <w:abstractNumId w:val="33"/>
  </w:num>
  <w:num w:numId="74" w16cid:durableId="1776947863">
    <w:abstractNumId w:val="67"/>
  </w:num>
  <w:num w:numId="75" w16cid:durableId="115297018">
    <w:abstractNumId w:val="60"/>
  </w:num>
  <w:num w:numId="76" w16cid:durableId="23871195">
    <w:abstractNumId w:val="39"/>
  </w:num>
  <w:num w:numId="77" w16cid:durableId="2099859680">
    <w:abstractNumId w:val="13"/>
  </w:num>
  <w:num w:numId="78" w16cid:durableId="900794897">
    <w:abstractNumId w:val="0"/>
  </w:num>
  <w:num w:numId="79" w16cid:durableId="2037386573">
    <w:abstractNumId w:val="15"/>
  </w:num>
  <w:num w:numId="80" w16cid:durableId="11658962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A1"/>
    <w:rsid w:val="00011DE7"/>
    <w:rsid w:val="00014181"/>
    <w:rsid w:val="00015002"/>
    <w:rsid w:val="00031E93"/>
    <w:rsid w:val="00050B13"/>
    <w:rsid w:val="00071679"/>
    <w:rsid w:val="000B77CC"/>
    <w:rsid w:val="000D2CAD"/>
    <w:rsid w:val="000D3F31"/>
    <w:rsid w:val="000E40BB"/>
    <w:rsid w:val="00106139"/>
    <w:rsid w:val="001344DE"/>
    <w:rsid w:val="00135631"/>
    <w:rsid w:val="001455B9"/>
    <w:rsid w:val="00166022"/>
    <w:rsid w:val="001921A6"/>
    <w:rsid w:val="001C3FBF"/>
    <w:rsid w:val="001E35E1"/>
    <w:rsid w:val="0024151C"/>
    <w:rsid w:val="00244E2A"/>
    <w:rsid w:val="002B62CB"/>
    <w:rsid w:val="002B72A5"/>
    <w:rsid w:val="002E22B1"/>
    <w:rsid w:val="002E26B1"/>
    <w:rsid w:val="002E7B1C"/>
    <w:rsid w:val="003465B5"/>
    <w:rsid w:val="00381C02"/>
    <w:rsid w:val="0038312B"/>
    <w:rsid w:val="00384EA1"/>
    <w:rsid w:val="00386C78"/>
    <w:rsid w:val="003E3D4A"/>
    <w:rsid w:val="003F0FED"/>
    <w:rsid w:val="0044196E"/>
    <w:rsid w:val="0046252B"/>
    <w:rsid w:val="004A6153"/>
    <w:rsid w:val="004B0410"/>
    <w:rsid w:val="004C5116"/>
    <w:rsid w:val="004F0F2D"/>
    <w:rsid w:val="00584E33"/>
    <w:rsid w:val="005C3D0B"/>
    <w:rsid w:val="005C6025"/>
    <w:rsid w:val="00603D1F"/>
    <w:rsid w:val="00606DB4"/>
    <w:rsid w:val="00670C60"/>
    <w:rsid w:val="00675752"/>
    <w:rsid w:val="006A3C85"/>
    <w:rsid w:val="006F2333"/>
    <w:rsid w:val="00721C27"/>
    <w:rsid w:val="0072403D"/>
    <w:rsid w:val="00811E67"/>
    <w:rsid w:val="0081580C"/>
    <w:rsid w:val="008246ED"/>
    <w:rsid w:val="00832F4E"/>
    <w:rsid w:val="00836FBF"/>
    <w:rsid w:val="008449E9"/>
    <w:rsid w:val="00872D61"/>
    <w:rsid w:val="00884127"/>
    <w:rsid w:val="0089320F"/>
    <w:rsid w:val="00922C46"/>
    <w:rsid w:val="009C7B28"/>
    <w:rsid w:val="009E6369"/>
    <w:rsid w:val="009F2E66"/>
    <w:rsid w:val="009F657F"/>
    <w:rsid w:val="00A018A2"/>
    <w:rsid w:val="00A11121"/>
    <w:rsid w:val="00A267E2"/>
    <w:rsid w:val="00A8584F"/>
    <w:rsid w:val="00AA67BF"/>
    <w:rsid w:val="00AA7E9A"/>
    <w:rsid w:val="00AB36A2"/>
    <w:rsid w:val="00AD592D"/>
    <w:rsid w:val="00B26407"/>
    <w:rsid w:val="00B82C0A"/>
    <w:rsid w:val="00BA4935"/>
    <w:rsid w:val="00BB2E0C"/>
    <w:rsid w:val="00BF5F8A"/>
    <w:rsid w:val="00BF6C96"/>
    <w:rsid w:val="00C10D76"/>
    <w:rsid w:val="00C128AF"/>
    <w:rsid w:val="00C47258"/>
    <w:rsid w:val="00C62CFE"/>
    <w:rsid w:val="00C90F45"/>
    <w:rsid w:val="00CB352A"/>
    <w:rsid w:val="00CC064F"/>
    <w:rsid w:val="00CF67A1"/>
    <w:rsid w:val="00D04E04"/>
    <w:rsid w:val="00D50B5A"/>
    <w:rsid w:val="00D676C0"/>
    <w:rsid w:val="00D76C48"/>
    <w:rsid w:val="00DD0AC6"/>
    <w:rsid w:val="00DE2E50"/>
    <w:rsid w:val="00E070CA"/>
    <w:rsid w:val="00E07122"/>
    <w:rsid w:val="00E61CAC"/>
    <w:rsid w:val="00E74AA0"/>
    <w:rsid w:val="00E86154"/>
    <w:rsid w:val="00E868BF"/>
    <w:rsid w:val="00E94A0E"/>
    <w:rsid w:val="00EA0679"/>
    <w:rsid w:val="00EA3575"/>
    <w:rsid w:val="00EC0C97"/>
    <w:rsid w:val="00ED53F1"/>
    <w:rsid w:val="00F3602F"/>
    <w:rsid w:val="00F66F4B"/>
    <w:rsid w:val="00F861B0"/>
    <w:rsid w:val="00F93E7C"/>
    <w:rsid w:val="00FA2C09"/>
    <w:rsid w:val="00FA42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9A19"/>
  <w15:chartTrackingRefBased/>
  <w15:docId w15:val="{97BBD25F-B166-4413-9BF0-9496AD41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C78"/>
    <w:rPr>
      <w:rFonts w:ascii="Inter" w:hAnsi="Inter" w:eastAsia="Inter" w:cs="Inter"/>
      <w:color w:val="14130F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7B28"/>
    <w:pPr>
      <w:keepNext/>
      <w:keepLines/>
      <w:spacing w:before="360" w:after="80"/>
      <w:outlineLvl w:val="0"/>
    </w:pPr>
    <w:rPr>
      <w:rFonts w:ascii="Inter" w:eastAsiaTheme="majorEastAsia" w:hAnsi="Inter" w:cstheme="majorBidi" w:eastAsia="Inter" w:cs="Inter"/>
      <w:b/>
      <w:color w:val="9A7B45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86C78"/>
    <w:pPr>
      <w:keepNext/>
      <w:keepLines/>
      <w:tabs>
        <w:tab w:val="left" w:pos="1080"/>
      </w:tabs>
      <w:spacing w:before="280" w:after="200"/>
      <w:outlineLvl w:val="1"/>
    </w:pPr>
    <w:rPr>
      <w:rFonts w:ascii="Inter" w:eastAsiaTheme="majorEastAsia" w:hAnsi="Inter" w:cstheme="majorBidi" w:eastAsia="Inter" w:cs="Inter"/>
      <w:b/>
      <w:color w:val="14130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6B1"/>
    <w:pPr>
      <w:keepNext/>
      <w:keepLines/>
      <w:spacing w:before="160" w:after="80"/>
      <w:outlineLvl w:val="2"/>
    </w:pPr>
    <w:rPr>
      <w:rFonts w:eastAsiaTheme="majorEastAsia" w:cstheme="majorBidi" w:ascii="Inter" w:hAnsi="Inter" w:eastAsia="Inter" w:cs="Inter"/>
      <w:b/>
      <w:color w:val="111113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28"/>
    <w:rPr>
      <w:rFonts w:ascii="Verdana" w:eastAsiaTheme="majorEastAsia" w:hAnsi="Verdana" w:cstheme="majorBidi"/>
      <w:b/>
      <w:color w:val="FF330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151C"/>
    <w:rPr>
      <w:rFonts w:ascii="Verdana" w:eastAsiaTheme="majorEastAsia" w:hAnsi="Verdana" w:cstheme="majorBidi"/>
      <w:b/>
      <w:color w:val="1C1C1C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26B1"/>
    <w:rPr>
      <w:rFonts w:eastAsiaTheme="majorEastAsia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7B28"/>
    <w:pPr>
      <w:spacing w:after="80" w:line="240" w:lineRule="auto"/>
      <w:contextualSpacing/>
      <w:jc w:val="center"/>
    </w:pPr>
    <w:rPr>
      <w:rFonts w:ascii="Inter" w:eastAsiaTheme="majorEastAsia" w:hAnsi="Inter" w:cstheme="majorBidi" w:eastAsia="Inter" w:cs="Inter"/>
      <w:b/>
      <w:color w:val="9A7B45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28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A1"/>
    <w:pPr>
      <w:ind w:left="720"/>
      <w:contextualSpacing/>
    </w:pPr>
    <w:rPr>
      <w:rFonts w:ascii="Inter" w:hAnsi="Inter" w:eastAsia="Inter" w:cs="Inter"/>
    </w:rPr>
  </w:style>
  <w:style w:type="character" w:styleId="IntenseEmphasis">
    <w:name w:val="Intense Emphasis"/>
    <w:basedOn w:val="DefaultParagraphFont"/>
    <w:uiPriority w:val="21"/>
    <w:qFormat/>
    <w:rsid w:val="00CF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CB352A"/>
  </w:style>
  <w:style w:type="paragraph" w:styleId="Footer">
    <w:name w:val="footer"/>
    <w:basedOn w:val="Normal"/>
    <w:link w:val="Foot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B352A"/>
  </w:style>
  <w:style w:type="character" w:styleId="Strong">
    <w:name w:val="Strong"/>
    <w:basedOn w:val="DefaultParagraphFont"/>
    <w:uiPriority w:val="22"/>
    <w:qFormat/>
    <w:rsid w:val="009C7B28"/>
    <w:rPr>
      <w:rFonts w:ascii="Verdana" w:hAnsi="Verdana"/>
      <w:b/>
      <w:bCs/>
      <w:sz w:val="20"/>
    </w:rPr>
  </w:style>
  <w:style w:type="table" w:styleId="TableGrid">
    <w:name w:val="Table Grid"/>
    <w:basedOn w:val="TableNormal"/>
    <w:uiPriority w:val="39"/>
    <w:rsid w:val="00AD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22C4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22C46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63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www.notion.so/28ff57b4e72f803daa6bc393963af368" TargetMode="External"/><Relationship Id="rId14" Type="http://schemas.openxmlformats.org/officeDocument/2006/relationships/hyperlink" Target="https://github.com/Fargaly/baboom-bim-standard/blob/main/04-DOCUMENTS/BBM-STD-94-LICENCE_REGISTER-V0.1.docx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4872</Words>
  <Characters>27773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GLOSSARY</vt:lpstr>
    </vt:vector>
  </TitlesOfParts>
  <Company/>
  <LinksUpToDate>false</LinksUpToDate>
  <CharactersWithSpaces>32580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GLOSSARY</dc:title>
  <dc:subject>Bep</dc:subject>
  <dc:creator>Fargaly</dc:creator>
  <cp:keywords/>
  <dc:description/>
  <cp:lastModifiedBy>Fargaly</cp:lastModifiedBy>
  <cp:revision>20</cp:revision>
  <dcterms:created xsi:type="dcterms:W3CDTF">2024-11-06T10:52:00Z</dcterms:created>
  <dcterms:modified xsi:type="dcterms:W3CDTF">2025-10-21T13:40:00Z</dcterms:modified>
</cp:coreProperties>
</file>