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design system</w:t>
      </w:r>
    </w:p>
    <w:p>
      <w:pPr/>
      <w:r>
        <w:t xml:space="preserve">Linked copies: ID STD-95 · </w:t>
      </w:r>
      <w:hyperlink r:id="rId13">
        <w:r>
          <w:rPr>
            <w:color w:val="9A7B45"/>
            <w:u w:val="single"/>
          </w:rPr>
          <w:t>BABOOM edition</w:t>
        </w:r>
      </w:hyperlink>
      <w:r>
        <w:t xml:space="preserve"> · ArchHub: BABOOM companion</w:t>
      </w:r>
    </w:p>
    <w:p>
      <w:pPr/>
      <w:r>
        <w:t>BBM-STD-95-OFFICE_DESIGN_SYSTEM-V0.1 | Office standard | 4 November 2026 | V0.1 | Private controlled WIP draft</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Initial controlled WIP draft. The office design system taken from the office logo and the 2026 email signature; applied to the BABOOM BIM Standard pages, guides and the BBM-STD Word generator. + folder names without dots (O-DEC-149)</w:t>
            </w:r>
          </w:p>
        </w:tc>
      </w:tr>
    </w:tbl>
    <w:p/>
    <w:p>
      <w:pPr>
        <w:pStyle w:val="Heading1"/>
      </w:pPr>
      <w:r>
        <w:t>1 Purpose and scope</w:t>
      </w:r>
    </w:p>
    <w:p>
      <w:pPr/>
      <w:r>
        <w:t>This standard sets how everything BABOOM issues looks: drawing sheets and title blocks, sheet and report covers, Word documents, slides, the BIM standard pages and guides, and email signatures. It is the office's own system. It is not the personal design system of any member of staff and it is not the ArchHub product system; the three are never mixed in one output.</w:t>
      </w:r>
    </w:p>
    <w:p>
      <w:pPr/>
      <w:r>
        <w:t xml:space="preserve">The published files are at </w:t>
      </w:r>
      <w:r>
        <w:rPr>
          <w:rFonts w:ascii="JetBrains Mono" w:hAnsi="JetBrains Mono"/>
        </w:rPr>
        <w:t>BABOOM-BIM-STANDARD/01-TEMPLATES/03-BRANDING</w:t>
      </w:r>
      <w:r>
        <w:t xml:space="preserve">. The illustrated guide is </w:t>
      </w:r>
      <w:r>
        <w:rPr>
          <w:rFonts w:ascii="JetBrains Mono" w:hAnsi="JetBrains Mono"/>
        </w:rPr>
        <w:t>05-GUIDE/BBM-OFFICE-DESIGN-SYSTEM.pdf</w:t>
      </w:r>
      <w:r>
        <w:t xml:space="preserve">. The single source of every value below is </w:t>
      </w:r>
      <w:r>
        <w:rPr>
          <w:rFonts w:ascii="JetBrains Mono" w:hAnsi="JetBrains Mono"/>
        </w:rPr>
        <w:t>02-TOKENS/tokens.json</w:t>
      </w:r>
      <w:r>
        <w:t>; pages, guides and the BBM-STD Word generator read it, so a change is made once.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53"/>
        <w:gridCol w:w="7913"/>
      </w:tblGrid>
      <w:tr>
        <w:trPr>
          <w:cantSplit/>
          <w:tblHeader/>
        </w:trPr>
        <w:tc>
          <w:tcPr>
            <w:tcW w:type="dxa" w:w="2553"/>
            <w:shd w:val="clear" w:color="auto" w:fill="111113"/>
          </w:tcPr>
          <w:p>
            <w:r>
              <w:rPr>
                <w:b/>
                <w:color w:val="FFFFFF"/>
                <w:sz w:val="17"/>
              </w:rPr>
            </w:r>
            <w:r>
              <w:rPr>
                <w:b/>
                <w:color w:val="FFFFFF"/>
                <w:sz w:val="17"/>
              </w:rPr>
              <w:t>Folder</w:t>
            </w:r>
          </w:p>
        </w:tc>
        <w:tc>
          <w:tcPr>
            <w:tcW w:type="dxa" w:w="7913"/>
            <w:shd w:val="clear" w:color="auto" w:fill="111113"/>
          </w:tcPr>
          <w:p>
            <w:r>
              <w:rPr>
                <w:b/>
                <w:color w:val="FFFFFF"/>
                <w:sz w:val="17"/>
              </w:rPr>
            </w:r>
            <w:r>
              <w:rPr>
                <w:b/>
                <w:color w:val="FFFFFF"/>
                <w:sz w:val="17"/>
              </w:rPr>
              <w:t>Content</w:t>
            </w:r>
          </w:p>
        </w:tc>
      </w:tr>
      <w:tr>
        <w:trPr>
          <w:cantSplit/>
        </w:trPr>
        <w:tc>
          <w:tcPr>
            <w:tcW w:type="dxa" w:w="2553"/>
          </w:tcPr>
          <w:p>
            <w:r>
              <w:rPr>
                <w:sz w:val="17"/>
              </w:rPr>
            </w:r>
            <w:r>
              <w:rPr>
                <w:rFonts w:ascii="JetBrains Mono" w:hAnsi="JetBrains Mono"/>
                <w:sz w:val="17"/>
              </w:rPr>
              <w:t>01-LOGOS</w:t>
            </w:r>
          </w:p>
        </w:tc>
        <w:tc>
          <w:tcPr>
            <w:tcW w:type="dxa" w:w="7913"/>
          </w:tcPr>
          <w:p>
            <w:r>
              <w:rPr>
                <w:sz w:val="17"/>
              </w:rPr>
            </w:r>
            <w:r>
              <w:rPr>
                <w:sz w:val="17"/>
              </w:rPr>
              <w:t xml:space="preserve">bbm-logo-colour, bbm-logo-white, bbm-logo-black, bbm-mark-colour, bbm-mark-white, bbm-favicon-64 (PNG, transparent), the source logo as received; </w:t>
            </w:r>
            <w:r>
              <w:rPr>
                <w:rFonts w:ascii="JetBrains Mono" w:hAnsi="JetBrains Mono"/>
                <w:sz w:val="17"/>
              </w:rPr>
              <w:t>98-ARCHIVE</w:t>
            </w:r>
            <w:r>
              <w:rPr>
                <w:sz w:val="17"/>
              </w:rPr>
              <w:t xml:space="preserve"> the superseded 2025 logo</w:t>
            </w:r>
          </w:p>
        </w:tc>
      </w:tr>
      <w:tr>
        <w:trPr>
          <w:cantSplit/>
        </w:trPr>
        <w:tc>
          <w:tcPr>
            <w:tcW w:type="dxa" w:w="2553"/>
          </w:tcPr>
          <w:p>
            <w:r>
              <w:rPr>
                <w:sz w:val="17"/>
              </w:rPr>
            </w:r>
            <w:r>
              <w:rPr>
                <w:rFonts w:ascii="JetBrains Mono" w:hAnsi="JetBrains Mono"/>
                <w:sz w:val="17"/>
              </w:rPr>
              <w:t>02-TOKENS</w:t>
            </w:r>
          </w:p>
        </w:tc>
        <w:tc>
          <w:tcPr>
            <w:tcW w:type="dxa" w:w="7913"/>
          </w:tcPr>
          <w:p>
            <w:r>
              <w:rPr>
                <w:sz w:val="17"/>
              </w:rPr>
            </w:r>
            <w:r>
              <w:rPr>
                <w:sz w:val="17"/>
              </w:rPr>
              <w:t>tokens.json (source), tokens.css, ba-office.css (screen page kit), ba-guide.css (A4 guide kit)</w:t>
            </w:r>
          </w:p>
        </w:tc>
      </w:tr>
      <w:tr>
        <w:trPr>
          <w:cantSplit/>
        </w:trPr>
        <w:tc>
          <w:tcPr>
            <w:tcW w:type="dxa" w:w="2553"/>
          </w:tcPr>
          <w:p>
            <w:r>
              <w:rPr>
                <w:sz w:val="17"/>
              </w:rPr>
            </w:r>
            <w:r>
              <w:rPr>
                <w:rFonts w:ascii="JetBrains Mono" w:hAnsi="JetBrains Mono"/>
                <w:sz w:val="17"/>
              </w:rPr>
              <w:t>03-SIGNATURES</w:t>
            </w:r>
          </w:p>
        </w:tc>
        <w:tc>
          <w:tcPr>
            <w:tcW w:type="dxa" w:w="7913"/>
          </w:tcPr>
          <w:p>
            <w:r>
              <w:rPr>
                <w:sz w:val="17"/>
              </w:rPr>
            </w:r>
            <w:r>
              <w:rPr>
                <w:sz w:val="17"/>
              </w:rPr>
              <w:t>BBM-EMAIL-SIGNATURE.htm, its logo and web icon, installation note</w:t>
            </w:r>
          </w:p>
        </w:tc>
      </w:tr>
      <w:tr>
        <w:trPr>
          <w:cantSplit/>
        </w:trPr>
        <w:tc>
          <w:tcPr>
            <w:tcW w:type="dxa" w:w="2553"/>
          </w:tcPr>
          <w:p>
            <w:r>
              <w:rPr>
                <w:sz w:val="17"/>
              </w:rPr>
            </w:r>
            <w:r>
              <w:rPr>
                <w:rFonts w:ascii="JetBrains Mono" w:hAnsi="JetBrains Mono"/>
                <w:sz w:val="17"/>
              </w:rPr>
              <w:t>04-DOCUMENT-TEMPLATES</w:t>
            </w:r>
          </w:p>
        </w:tc>
        <w:tc>
          <w:tcPr>
            <w:tcW w:type="dxa" w:w="7913"/>
          </w:tcPr>
          <w:p>
            <w:r>
              <w:rPr>
                <w:sz w:val="17"/>
              </w:rPr>
            </w:r>
            <w:r>
              <w:rPr>
                <w:sz w:val="17"/>
              </w:rPr>
              <w:t>BBM-OFFICE-WORD-TEMPLATE.docx, BBM-OFFICE-PAGE-KIT.html</w:t>
            </w:r>
          </w:p>
        </w:tc>
      </w:tr>
      <w:tr>
        <w:trPr>
          <w:cantSplit/>
        </w:trPr>
        <w:tc>
          <w:tcPr>
            <w:tcW w:type="dxa" w:w="2553"/>
          </w:tcPr>
          <w:p>
            <w:r>
              <w:rPr>
                <w:sz w:val="17"/>
              </w:rPr>
            </w:r>
            <w:r>
              <w:rPr>
                <w:rFonts w:ascii="JetBrains Mono" w:hAnsi="JetBrains Mono"/>
                <w:sz w:val="17"/>
              </w:rPr>
              <w:t>05-GUIDE</w:t>
            </w:r>
          </w:p>
        </w:tc>
        <w:tc>
          <w:tcPr>
            <w:tcW w:type="dxa" w:w="7913"/>
          </w:tcPr>
          <w:p>
            <w:r>
              <w:rPr>
                <w:sz w:val="17"/>
              </w:rPr>
            </w:r>
            <w:r>
              <w:rPr>
                <w:sz w:val="17"/>
              </w:rPr>
              <w:t>BBM-OFFICE-DESIGN-SYSTEM.pdf</w:t>
            </w:r>
          </w:p>
        </w:tc>
      </w:tr>
    </w:tbl>
    <w:p/>
    <w:p>
      <w:pPr>
        <w:pStyle w:val="Heading1"/>
      </w:pPr>
      <w:r>
        <w:t>2 Sources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450"/>
        <w:gridCol w:w="6016"/>
      </w:tblGrid>
      <w:tr>
        <w:trPr>
          <w:cantSplit/>
          <w:tblHeader/>
        </w:trPr>
        <w:tc>
          <w:tcPr>
            <w:tcW w:type="dxa" w:w="4450"/>
            <w:shd w:val="clear" w:color="auto" w:fill="111113"/>
          </w:tcPr>
          <w:p>
            <w:r>
              <w:rPr>
                <w:b/>
                <w:color w:val="FFFFFF"/>
                <w:sz w:val="17"/>
              </w:rPr>
            </w:r>
            <w:r>
              <w:rPr>
                <w:b/>
                <w:color w:val="FFFFFF"/>
                <w:sz w:val="17"/>
              </w:rPr>
              <w:t>Source</w:t>
            </w:r>
          </w:p>
        </w:tc>
        <w:tc>
          <w:tcPr>
            <w:tcW w:type="dxa" w:w="6016"/>
            <w:shd w:val="clear" w:color="auto" w:fill="111113"/>
          </w:tcPr>
          <w:p>
            <w:r>
              <w:rPr>
                <w:b/>
                <w:color w:val="FFFFFF"/>
                <w:sz w:val="17"/>
              </w:rPr>
            </w:r>
            <w:r>
              <w:rPr>
                <w:b/>
                <w:color w:val="FFFFFF"/>
                <w:sz w:val="17"/>
              </w:rPr>
              <w:t>Taken from it</w:t>
            </w:r>
          </w:p>
        </w:tc>
      </w:tr>
      <w:tr>
        <w:trPr>
          <w:cantSplit/>
        </w:trPr>
        <w:tc>
          <w:tcPr>
            <w:tcW w:type="dxa" w:w="4450"/>
          </w:tcPr>
          <w:p>
            <w:r>
              <w:rPr>
                <w:sz w:val="17"/>
              </w:rPr>
            </w:r>
            <w:r>
              <w:rPr>
                <w:sz w:val="17"/>
              </w:rPr>
              <w:t>Office logo in the 2026 Outlook signature (PNG 413 x 287 px, transparent)</w:t>
            </w:r>
          </w:p>
        </w:tc>
        <w:tc>
          <w:tcPr>
            <w:tcW w:type="dxa" w:w="6016"/>
          </w:tcPr>
          <w:p>
            <w:r>
              <w:rPr>
                <w:sz w:val="17"/>
              </w:rPr>
            </w:r>
            <w:r>
              <w:rPr>
                <w:sz w:val="17"/>
              </w:rPr>
              <w:t xml:space="preserve">The logo set; crimson </w:t>
            </w:r>
            <w:r>
              <w:rPr>
                <w:rFonts w:ascii="JetBrains Mono" w:hAnsi="JetBrains Mono"/>
                <w:sz w:val="17"/>
              </w:rPr>
              <w:t>#9A7B45</w:t>
            </w:r>
            <w:r>
              <w:rPr>
                <w:sz w:val="17"/>
              </w:rPr>
              <w:t xml:space="preserve">; logo grey </w:t>
            </w:r>
            <w:r>
              <w:rPr>
                <w:rFonts w:ascii="JetBrains Mono" w:hAnsi="JetBrains Mono"/>
                <w:sz w:val="17"/>
              </w:rPr>
              <w:t>#111113</w:t>
            </w:r>
          </w:p>
        </w:tc>
      </w:tr>
      <w:tr>
        <w:trPr>
          <w:cantSplit/>
        </w:trPr>
        <w:tc>
          <w:tcPr>
            <w:tcW w:type="dxa" w:w="4450"/>
          </w:tcPr>
          <w:p>
            <w:r>
              <w:rPr>
                <w:sz w:val="17"/>
              </w:rPr>
            </w:r>
            <w:r>
              <w:rPr>
                <w:sz w:val="17"/>
              </w:rPr>
              <w:t>2026 Outlook signature</w:t>
            </w:r>
          </w:p>
        </w:tc>
        <w:tc>
          <w:tcPr>
            <w:tcW w:type="dxa" w:w="6016"/>
          </w:tcPr>
          <w:p>
            <w:r>
              <w:rPr>
                <w:sz w:val="17"/>
              </w:rPr>
            </w:r>
            <w:r>
              <w:rPr>
                <w:sz w:val="17"/>
              </w:rPr>
              <w:t xml:space="preserve">Arial; name bold 13.5 pt crimson; title 10 pt, phones 9 pt, address 8.5 pt in grey </w:t>
            </w:r>
            <w:r>
              <w:rPr>
                <w:rFonts w:ascii="JetBrains Mono" w:hAnsi="JetBrains Mono"/>
                <w:sz w:val="17"/>
              </w:rPr>
              <w:t>#3A3A3C</w:t>
            </w:r>
            <w:r>
              <w:rPr>
                <w:sz w:val="17"/>
              </w:rPr>
              <w:t>; 1 pt crimson divider; 18 px crimson web icon</w:t>
            </w:r>
          </w:p>
        </w:tc>
      </w:tr>
      <w:tr>
        <w:trPr>
          <w:cantSplit/>
        </w:trPr>
        <w:tc>
          <w:tcPr>
            <w:tcW w:type="dxa" w:w="4450"/>
          </w:tcPr>
          <w:p>
            <w:r>
              <w:rPr>
                <w:sz w:val="17"/>
              </w:rPr>
            </w:r>
            <w:r>
              <w:rPr>
                <w:sz w:val="17"/>
              </w:rPr>
              <w:t>BBM-STD Word documents</w:t>
            </w:r>
          </w:p>
        </w:tc>
        <w:tc>
          <w:tcPr>
            <w:tcW w:type="dxa" w:w="6016"/>
          </w:tcPr>
          <w:p>
            <w:r>
              <w:rPr>
                <w:sz w:val="17"/>
              </w:rPr>
            </w:r>
            <w:r>
              <w:rPr>
                <w:sz w:val="17"/>
              </w:rPr>
              <w:t>Document structure: cover title, heading levels, tables, header logo</w:t>
            </w:r>
          </w:p>
        </w:tc>
      </w:tr>
      <w:tr>
        <w:trPr>
          <w:cantSplit/>
        </w:trPr>
        <w:tc>
          <w:tcPr>
            <w:tcW w:type="dxa" w:w="4450"/>
          </w:tcPr>
          <w:p>
            <w:r>
              <w:rPr>
                <w:sz w:val="17"/>
              </w:rPr>
            </w:r>
            <w:r>
              <w:rPr>
                <w:sz w:val="17"/>
              </w:rPr>
              <w:t>Office Revit and AutoCAD templates</w:t>
            </w:r>
          </w:p>
        </w:tc>
        <w:tc>
          <w:tcPr>
            <w:tcW w:type="dxa" w:w="6016"/>
          </w:tcPr>
          <w:p>
            <w:r>
              <w:rPr>
                <w:sz w:val="17"/>
              </w:rPr>
            </w:r>
            <w:r>
              <w:rPr>
                <w:sz w:val="17"/>
              </w:rPr>
              <w:t>Logo in the title block; monochrome plotting</w:t>
            </w:r>
          </w:p>
        </w:tc>
      </w:tr>
    </w:tbl>
    <w:p/>
    <w:p>
      <w:pPr/>
      <w:r>
        <w:t xml:space="preserve">Superseded: the 2025 horizontal logo (224 x 57 px) and the interim Verdana with navy </w:t>
      </w:r>
      <w:r>
        <w:rPr>
          <w:rFonts w:ascii="JetBrains Mono" w:hAnsi="JetBrains Mono"/>
        </w:rPr>
        <w:t>#1F4E79</w:t>
      </w:r>
      <w:r>
        <w:t xml:space="preserve"> used by the first pages and Word drafts. They are not used in new work. No vector logo was found; the PNG set is cut from the 413 px source and is fit for screen, documents and print up to about 70 mm wide. A vector master is to be obtained from the logo's designer.</w:t>
      </w:r>
    </w:p>
    <w:p>
      <w:pPr>
        <w:pStyle w:val="Heading1"/>
      </w:pPr>
      <w:r>
        <w:t>3 Logo</w:t>
      </w:r>
    </w:p>
    <w:p>
      <w:pPr>
        <w:pStyle w:val="ListParagraph"/>
        <w:spacing w:after="40"/>
        <w:ind w:left="360" w:hanging="280"/>
      </w:pPr>
      <w:r>
        <w:t xml:space="preserve">1.  </w:t>
      </w:r>
      <w:r>
        <w:t xml:space="preserve">Use only the files in </w:t>
      </w:r>
      <w:r>
        <w:rPr>
          <w:rFonts w:ascii="JetBrains Mono" w:hAnsi="JetBrains Mono"/>
        </w:rPr>
        <w:t>01-LOGOS</w:t>
      </w:r>
      <w:r>
        <w:t>. Never redraw, retype, stretch, recolour, rotate, outline or add effects to the logo, and never copy it out of an email or a PDF.</w:t>
      </w:r>
    </w:p>
    <w:p>
      <w:pPr>
        <w:pStyle w:val="ListParagraph"/>
        <w:spacing w:after="40"/>
        <w:ind w:left="360" w:hanging="280"/>
      </w:pPr>
      <w:r>
        <w:t xml:space="preserve">2.  </w:t>
      </w:r>
      <w:r>
        <w:t>Colour logo on white or the light page grey. White logo on crimson, logo grey or a dark calm photograph. Black logo for one-colour work and monochrome plots.</w:t>
      </w:r>
    </w:p>
    <w:p>
      <w:pPr>
        <w:pStyle w:val="ListParagraph"/>
        <w:spacing w:after="40"/>
        <w:ind w:left="360" w:hanging="280"/>
      </w:pPr>
      <w:r>
        <w:t xml:space="preserve">3.  </w:t>
      </w:r>
      <w:r>
        <w:t>Clear space on every side: the cap height of the B in the wordmark, 1/9 of the logo height.</w:t>
      </w:r>
    </w:p>
    <w:p>
      <w:pPr>
        <w:pStyle w:val="ListParagraph"/>
        <w:spacing w:after="40"/>
        <w:ind w:left="360" w:hanging="280"/>
      </w:pPr>
      <w:r>
        <w:t xml:space="preserve">4.  </w:t>
      </w:r>
      <w:r>
        <w:t>Minimum size: 120 px wide on screen; 25 mm wide in print.</w:t>
      </w:r>
    </w:p>
    <w:p>
      <w:pPr>
        <w:pStyle w:val="ListParagraph"/>
        <w:spacing w:after="40"/>
        <w:ind w:left="360" w:hanging="280"/>
      </w:pPr>
      <w:r>
        <w:t xml:space="preserve">5.  </w:t>
      </w:r>
      <w:r>
        <w:t>The calligraphy mark alone (bbm-mark) is for icons, favicons and avatars only, and never next to a typed company name.</w:t>
      </w:r>
    </w:p>
    <w:p>
      <w:pPr>
        <w:pStyle w:val="Heading1"/>
      </w:pPr>
      <w:r>
        <w:t>4 Colour</w:t>
      </w:r>
    </w:p>
    <w:p>
      <w:pPr/>
      <w:r>
        <w:t>One accent, the logo crimson. All other colours are the logo's greys. Text contrast meets WCAG 2.2 AA (4.5:1); the guide lists every pair with its measured ratio.</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55"/>
        <w:gridCol w:w="2985"/>
        <w:gridCol w:w="5126"/>
      </w:tblGrid>
      <w:tr>
        <w:trPr>
          <w:cantSplit/>
          <w:tblHeader/>
        </w:trPr>
        <w:tc>
          <w:tcPr>
            <w:tcW w:type="dxa" w:w="2355"/>
            <w:shd w:val="clear" w:color="auto" w:fill="111113"/>
          </w:tcPr>
          <w:p>
            <w:r>
              <w:rPr>
                <w:b/>
                <w:color w:val="FFFFFF"/>
                <w:sz w:val="17"/>
              </w:rPr>
            </w:r>
            <w:r>
              <w:rPr>
                <w:b/>
                <w:color w:val="FFFFFF"/>
                <w:sz w:val="17"/>
              </w:rPr>
              <w:t>Token</w:t>
            </w:r>
          </w:p>
        </w:tc>
        <w:tc>
          <w:tcPr>
            <w:tcW w:type="dxa" w:w="2985"/>
            <w:shd w:val="clear" w:color="auto" w:fill="111113"/>
          </w:tcPr>
          <w:p>
            <w:r>
              <w:rPr>
                <w:b/>
                <w:color w:val="FFFFFF"/>
                <w:sz w:val="17"/>
              </w:rPr>
            </w:r>
            <w:r>
              <w:rPr>
                <w:b/>
                <w:color w:val="FFFFFF"/>
                <w:sz w:val="17"/>
              </w:rPr>
              <w:t>Value</w:t>
            </w:r>
          </w:p>
        </w:tc>
        <w:tc>
          <w:tcPr>
            <w:tcW w:type="dxa" w:w="5126"/>
            <w:shd w:val="clear" w:color="auto" w:fill="111113"/>
          </w:tcPr>
          <w:p>
            <w:r>
              <w:rPr>
                <w:b/>
                <w:color w:val="FFFFFF"/>
                <w:sz w:val="17"/>
              </w:rPr>
            </w:r>
            <w:r>
              <w:rPr>
                <w:b/>
                <w:color w:val="FFFFFF"/>
                <w:sz w:val="17"/>
              </w:rPr>
              <w:t>Use</w:t>
            </w:r>
          </w:p>
        </w:tc>
      </w:tr>
      <w:tr>
        <w:trPr>
          <w:cantSplit/>
        </w:trPr>
        <w:tc>
          <w:tcPr>
            <w:tcW w:type="dxa" w:w="2355"/>
          </w:tcPr>
          <w:p>
            <w:r>
              <w:rPr>
                <w:sz w:val="17"/>
              </w:rPr>
            </w:r>
            <w:r>
              <w:rPr>
                <w:sz w:val="17"/>
              </w:rPr>
              <w:t>accent</w:t>
            </w:r>
          </w:p>
        </w:tc>
        <w:tc>
          <w:tcPr>
            <w:tcW w:type="dxa" w:w="2985"/>
          </w:tcPr>
          <w:p>
            <w:r>
              <w:rPr>
                <w:sz w:val="17"/>
              </w:rPr>
            </w:r>
            <w:r>
              <w:rPr>
                <w:rFonts w:ascii="JetBrains Mono" w:hAnsi="JetBrains Mono"/>
                <w:sz w:val="17"/>
              </w:rPr>
              <w:t>#9A7B45</w:t>
            </w:r>
          </w:p>
        </w:tc>
        <w:tc>
          <w:tcPr>
            <w:tcW w:type="dxa" w:w="5126"/>
          </w:tcPr>
          <w:p>
            <w:r>
              <w:rPr>
                <w:sz w:val="17"/>
              </w:rPr>
            </w:r>
            <w:r>
              <w:rPr>
                <w:sz w:val="17"/>
              </w:rPr>
              <w:t>Links, primary buttons, rules, numbers, the logo divider</w:t>
            </w:r>
          </w:p>
        </w:tc>
      </w:tr>
      <w:tr>
        <w:trPr>
          <w:cantSplit/>
        </w:trPr>
        <w:tc>
          <w:tcPr>
            <w:tcW w:type="dxa" w:w="2355"/>
          </w:tcPr>
          <w:p>
            <w:r>
              <w:rPr>
                <w:sz w:val="17"/>
              </w:rPr>
            </w:r>
            <w:r>
              <w:rPr>
                <w:sz w:val="17"/>
              </w:rPr>
              <w:t>accent-strong</w:t>
            </w:r>
          </w:p>
        </w:tc>
        <w:tc>
          <w:tcPr>
            <w:tcW w:type="dxa" w:w="2985"/>
          </w:tcPr>
          <w:p>
            <w:r>
              <w:rPr>
                <w:sz w:val="17"/>
              </w:rPr>
            </w:r>
            <w:r>
              <w:rPr>
                <w:rFonts w:ascii="JetBrains Mono" w:hAnsi="JetBrains Mono"/>
                <w:sz w:val="17"/>
              </w:rPr>
              <w:t>#14130F</w:t>
            </w:r>
          </w:p>
        </w:tc>
        <w:tc>
          <w:tcPr>
            <w:tcW w:type="dxa" w:w="5126"/>
          </w:tcPr>
          <w:p>
            <w:r>
              <w:rPr>
                <w:sz w:val="17"/>
              </w:rPr>
            </w:r>
            <w:r>
              <w:rPr>
                <w:sz w:val="17"/>
              </w:rPr>
              <w:t>Hover and pressed accent</w:t>
            </w:r>
          </w:p>
        </w:tc>
      </w:tr>
      <w:tr>
        <w:trPr>
          <w:cantSplit/>
        </w:trPr>
        <w:tc>
          <w:tcPr>
            <w:tcW w:type="dxa" w:w="2355"/>
          </w:tcPr>
          <w:p>
            <w:r>
              <w:rPr>
                <w:sz w:val="17"/>
              </w:rPr>
            </w:r>
            <w:r>
              <w:rPr>
                <w:sz w:val="17"/>
              </w:rPr>
              <w:t>accent-soft</w:t>
            </w:r>
          </w:p>
        </w:tc>
        <w:tc>
          <w:tcPr>
            <w:tcW w:type="dxa" w:w="2985"/>
          </w:tcPr>
          <w:p>
            <w:r>
              <w:rPr>
                <w:sz w:val="17"/>
              </w:rPr>
            </w:r>
            <w:r>
              <w:rPr>
                <w:rFonts w:ascii="JetBrains Mono" w:hAnsi="JetBrains Mono"/>
                <w:sz w:val="17"/>
              </w:rPr>
              <w:t>#F4F1EA</w:t>
            </w:r>
          </w:p>
        </w:tc>
        <w:tc>
          <w:tcPr>
            <w:tcW w:type="dxa" w:w="5126"/>
          </w:tcPr>
          <w:p>
            <w:r>
              <w:rPr>
                <w:sz w:val="17"/>
              </w:rPr>
            </w:r>
            <w:r>
              <w:rPr>
                <w:sz w:val="17"/>
              </w:rPr>
              <w:t>Tinted highlight background</w:t>
            </w:r>
          </w:p>
        </w:tc>
      </w:tr>
      <w:tr>
        <w:trPr>
          <w:cantSplit/>
        </w:trPr>
        <w:tc>
          <w:tcPr>
            <w:tcW w:type="dxa" w:w="2355"/>
          </w:tcPr>
          <w:p>
            <w:r>
              <w:rPr>
                <w:sz w:val="17"/>
              </w:rPr>
            </w:r>
            <w:r>
              <w:rPr>
                <w:sz w:val="17"/>
              </w:rPr>
              <w:t>ink</w:t>
            </w:r>
          </w:p>
        </w:tc>
        <w:tc>
          <w:tcPr>
            <w:tcW w:type="dxa" w:w="2985"/>
          </w:tcPr>
          <w:p>
            <w:r>
              <w:rPr>
                <w:sz w:val="17"/>
              </w:rPr>
            </w:r>
            <w:r>
              <w:rPr>
                <w:rFonts w:ascii="JetBrains Mono" w:hAnsi="JetBrains Mono"/>
                <w:sz w:val="17"/>
              </w:rPr>
              <w:t>#14130F</w:t>
            </w:r>
          </w:p>
        </w:tc>
        <w:tc>
          <w:tcPr>
            <w:tcW w:type="dxa" w:w="5126"/>
          </w:tcPr>
          <w:p>
            <w:r>
              <w:rPr>
                <w:sz w:val="17"/>
              </w:rPr>
            </w:r>
            <w:r>
              <w:rPr>
                <w:sz w:val="17"/>
              </w:rPr>
              <w:t>Body text and headings</w:t>
            </w:r>
          </w:p>
        </w:tc>
      </w:tr>
      <w:tr>
        <w:trPr>
          <w:cantSplit/>
        </w:trPr>
        <w:tc>
          <w:tcPr>
            <w:tcW w:type="dxa" w:w="2355"/>
          </w:tcPr>
          <w:p>
            <w:r>
              <w:rPr>
                <w:sz w:val="17"/>
              </w:rPr>
            </w:r>
            <w:r>
              <w:rPr>
                <w:sz w:val="17"/>
              </w:rPr>
              <w:t>ink-2</w:t>
            </w:r>
          </w:p>
        </w:tc>
        <w:tc>
          <w:tcPr>
            <w:tcW w:type="dxa" w:w="2985"/>
          </w:tcPr>
          <w:p>
            <w:r>
              <w:rPr>
                <w:sz w:val="17"/>
              </w:rPr>
            </w:r>
            <w:r>
              <w:rPr>
                <w:rFonts w:ascii="JetBrains Mono" w:hAnsi="JetBrains Mono"/>
                <w:sz w:val="17"/>
              </w:rPr>
              <w:t>#111113</w:t>
            </w:r>
          </w:p>
        </w:tc>
        <w:tc>
          <w:tcPr>
            <w:tcW w:type="dxa" w:w="5126"/>
          </w:tcPr>
          <w:p>
            <w:r>
              <w:rPr>
                <w:sz w:val="17"/>
              </w:rPr>
            </w:r>
            <w:r>
              <w:rPr>
                <w:sz w:val="17"/>
              </w:rPr>
              <w:t>Table headers, code chips, number tiles</w:t>
            </w:r>
          </w:p>
        </w:tc>
      </w:tr>
      <w:tr>
        <w:trPr>
          <w:cantSplit/>
        </w:trPr>
        <w:tc>
          <w:tcPr>
            <w:tcW w:type="dxa" w:w="2355"/>
          </w:tcPr>
          <w:p>
            <w:r>
              <w:rPr>
                <w:sz w:val="17"/>
              </w:rPr>
            </w:r>
            <w:r>
              <w:rPr>
                <w:sz w:val="17"/>
              </w:rPr>
              <w:t>mute</w:t>
            </w:r>
          </w:p>
        </w:tc>
        <w:tc>
          <w:tcPr>
            <w:tcW w:type="dxa" w:w="2985"/>
          </w:tcPr>
          <w:p>
            <w:r>
              <w:rPr>
                <w:sz w:val="17"/>
              </w:rPr>
            </w:r>
            <w:r>
              <w:rPr>
                <w:rFonts w:ascii="JetBrains Mono" w:hAnsi="JetBrains Mono"/>
                <w:sz w:val="17"/>
              </w:rPr>
              <w:t>#3A3A3C</w:t>
            </w:r>
          </w:p>
        </w:tc>
        <w:tc>
          <w:tcPr>
            <w:tcW w:type="dxa" w:w="5126"/>
          </w:tcPr>
          <w:p>
            <w:r>
              <w:rPr>
                <w:sz w:val="17"/>
              </w:rPr>
            </w:r>
            <w:r>
              <w:rPr>
                <w:sz w:val="17"/>
              </w:rPr>
              <w:t>Secondary text, captions</w:t>
            </w:r>
          </w:p>
        </w:tc>
      </w:tr>
      <w:tr>
        <w:trPr>
          <w:cantSplit/>
        </w:trPr>
        <w:tc>
          <w:tcPr>
            <w:tcW w:type="dxa" w:w="2355"/>
          </w:tcPr>
          <w:p>
            <w:r>
              <w:rPr>
                <w:sz w:val="17"/>
              </w:rPr>
            </w:r>
            <w:r>
              <w:rPr>
                <w:sz w:val="17"/>
              </w:rPr>
              <w:t>line /​ line-strong</w:t>
            </w:r>
          </w:p>
        </w:tc>
        <w:tc>
          <w:tcPr>
            <w:tcW w:type="dxa" w:w="2985"/>
          </w:tcPr>
          <w:p>
            <w:r>
              <w:rPr>
                <w:sz w:val="17"/>
              </w:rPr>
            </w:r>
            <w:r>
              <w:rPr>
                <w:rFonts w:ascii="JetBrains Mono" w:hAnsi="JetBrains Mono"/>
                <w:sz w:val="17"/>
              </w:rPr>
              <w:t>#D9D3C4</w:t>
            </w:r>
            <w:r>
              <w:rPr>
                <w:sz w:val="17"/>
              </w:rPr>
              <w:t xml:space="preserve"> /​ </w:t>
            </w:r>
            <w:r>
              <w:rPr>
                <w:rFonts w:ascii="JetBrains Mono" w:hAnsi="JetBrains Mono"/>
                <w:sz w:val="17"/>
              </w:rPr>
              <w:t>#D9D3C4</w:t>
            </w:r>
          </w:p>
        </w:tc>
        <w:tc>
          <w:tcPr>
            <w:tcW w:type="dxa" w:w="5126"/>
          </w:tcPr>
          <w:p>
            <w:r>
              <w:rPr>
                <w:sz w:val="17"/>
              </w:rPr>
            </w:r>
            <w:r>
              <w:rPr>
                <w:sz w:val="17"/>
              </w:rPr>
              <w:t>Hairlines /​ input and hover borders</w:t>
            </w:r>
          </w:p>
        </w:tc>
      </w:tr>
      <w:tr>
        <w:trPr>
          <w:cantSplit/>
        </w:trPr>
        <w:tc>
          <w:tcPr>
            <w:tcW w:type="dxa" w:w="2355"/>
          </w:tcPr>
          <w:p>
            <w:r>
              <w:rPr>
                <w:sz w:val="17"/>
              </w:rPr>
            </w:r>
            <w:r>
              <w:rPr>
                <w:sz w:val="17"/>
              </w:rPr>
              <w:t>bg /​ surface /​ surface-2</w:t>
            </w:r>
          </w:p>
        </w:tc>
        <w:tc>
          <w:tcPr>
            <w:tcW w:type="dxa" w:w="2985"/>
          </w:tcPr>
          <w:p>
            <w:r>
              <w:rPr>
                <w:sz w:val="17"/>
              </w:rPr>
            </w:r>
            <w:r>
              <w:rPr>
                <w:rFonts w:ascii="JetBrains Mono" w:hAnsi="JetBrains Mono"/>
                <w:sz w:val="17"/>
              </w:rPr>
              <w:t>#EDE9DF</w:t>
            </w:r>
            <w:r>
              <w:rPr>
                <w:sz w:val="17"/>
              </w:rPr>
              <w:t xml:space="preserve"> /​ </w:t>
            </w:r>
            <w:r>
              <w:rPr>
                <w:rFonts w:ascii="JetBrains Mono" w:hAnsi="JetBrains Mono"/>
                <w:sz w:val="17"/>
              </w:rPr>
              <w:t>#FFFFFF</w:t>
            </w:r>
            <w:r>
              <w:rPr>
                <w:sz w:val="17"/>
              </w:rPr>
              <w:t xml:space="preserve"> /​ </w:t>
            </w:r>
            <w:r>
              <w:rPr>
                <w:rFonts w:ascii="JetBrains Mono" w:hAnsi="JetBrains Mono"/>
                <w:sz w:val="17"/>
              </w:rPr>
              <w:t>#F4F1EA</w:t>
            </w:r>
          </w:p>
        </w:tc>
        <w:tc>
          <w:tcPr>
            <w:tcW w:type="dxa" w:w="5126"/>
          </w:tcPr>
          <w:p>
            <w:r>
              <w:rPr>
                <w:sz w:val="17"/>
              </w:rPr>
            </w:r>
            <w:r>
              <w:rPr>
                <w:sz w:val="17"/>
              </w:rPr>
              <w:t>Page /​ cards /​ grey tint</w:t>
            </w:r>
          </w:p>
        </w:tc>
      </w:tr>
      <w:tr>
        <w:trPr>
          <w:cantSplit/>
        </w:trPr>
        <w:tc>
          <w:tcPr>
            <w:tcW w:type="dxa" w:w="2355"/>
          </w:tcPr>
          <w:p>
            <w:r>
              <w:rPr>
                <w:sz w:val="17"/>
              </w:rPr>
            </w:r>
            <w:r>
              <w:rPr>
                <w:sz w:val="17"/>
              </w:rPr>
              <w:t>ok</w:t>
            </w:r>
          </w:p>
        </w:tc>
        <w:tc>
          <w:tcPr>
            <w:tcW w:type="dxa" w:w="2985"/>
          </w:tcPr>
          <w:p>
            <w:r>
              <w:rPr>
                <w:sz w:val="17"/>
              </w:rPr>
            </w:r>
            <w:r>
              <w:rPr>
                <w:rFonts w:ascii="JetBrains Mono" w:hAnsi="JetBrains Mono"/>
                <w:sz w:val="17"/>
              </w:rPr>
              <w:t>#6E8B5F</w:t>
            </w:r>
          </w:p>
        </w:tc>
        <w:tc>
          <w:tcPr>
            <w:tcW w:type="dxa" w:w="5126"/>
          </w:tcPr>
          <w:p>
            <w:r>
              <w:rPr>
                <w:sz w:val="17"/>
              </w:rPr>
            </w:r>
            <w:r>
              <w:rPr>
                <w:sz w:val="17"/>
              </w:rPr>
              <w:t>Functional only: the Do column of do and don't boxes</w:t>
            </w:r>
          </w:p>
        </w:tc>
      </w:tr>
    </w:tbl>
    <w:p/>
    <w:p>
      <w:pPr/>
      <w:r>
        <w:t>No second accent, no gradients. Crimson fills only a cover, a section slide or a start tile.</w:t>
      </w:r>
    </w:p>
    <w:p>
      <w:pPr>
        <w:pStyle w:val="Heading1"/>
      </w:pPr>
      <w:r>
        <w:t>5 Type, spacing, corners, lines</w:t>
      </w:r>
    </w:p>
    <w:p>
      <w:pPr>
        <w:pStyle w:val="ListParagraph"/>
        <w:spacing w:after="40"/>
        <w:ind w:left="360" w:hanging="240"/>
      </w:pPr>
      <w:r>
        <w:t xml:space="preserve">•  </w:t>
      </w:r>
      <w:r>
        <w:t>Arial for everything (regular and bold); Consolas for paths, file names and codes. Sentence case headings.</w:t>
      </w:r>
    </w:p>
    <w:p>
      <w:pPr>
        <w:pStyle w:val="ListParagraph"/>
        <w:spacing w:after="40"/>
        <w:ind w:left="360" w:hanging="240"/>
      </w:pPr>
      <w:r>
        <w:t xml:space="preserve">•  </w:t>
      </w:r>
      <w:r>
        <w:t>Screen sizes 11, 12.5, 14 (body), 16, 19, 24, 30 px. Print guide sizes 7.5, 8.4, 9.6 (body), 11, 14, 30 pt.</w:t>
      </w:r>
    </w:p>
    <w:p>
      <w:pPr>
        <w:pStyle w:val="ListParagraph"/>
        <w:spacing w:after="40"/>
        <w:ind w:left="360" w:hanging="240"/>
      </w:pPr>
      <w:r>
        <w:t xml:space="preserve">•  </w:t>
      </w:r>
      <w:r>
        <w:t>Spacing in 4 px steps: 4, 8, 12, 16, 24, 32, 48.</w:t>
      </w:r>
    </w:p>
    <w:p>
      <w:pPr>
        <w:pStyle w:val="ListParagraph"/>
        <w:spacing w:after="40"/>
        <w:ind w:left="360" w:hanging="240"/>
      </w:pPr>
      <w:r>
        <w:t xml:space="preserve">•  </w:t>
      </w:r>
      <w:r>
        <w:t>Corners: 2 px on chips and tags, 4 px on everything else. No pills or larger radii.</w:t>
      </w:r>
    </w:p>
    <w:p>
      <w:pPr>
        <w:pStyle w:val="ListParagraph"/>
        <w:spacing w:after="40"/>
        <w:ind w:left="360" w:hanging="240"/>
      </w:pPr>
      <w:r>
        <w:t xml:space="preserve">•  </w:t>
      </w:r>
      <w:r>
        <w:t>Lines: 1 px hairline; 1 px crimson divider beside the logo; 3 px crimson rule under page headers. Shadow on hover only, tinted with the logo grey.</w:t>
      </w:r>
    </w:p>
    <w:p>
      <w:pPr>
        <w:pStyle w:val="Heading1"/>
      </w:pPr>
      <w:r>
        <w:t>6 Email signature</w:t>
      </w:r>
    </w:p>
    <w:p>
      <w:pPr/>
      <w:r>
        <w:t xml:space="preserve">Everyone uses </w:t>
      </w:r>
      <w:r>
        <w:rPr>
          <w:rFonts w:ascii="JetBrains Mono" w:hAnsi="JetBrains Mono"/>
        </w:rPr>
        <w:t>03-SIGNATURES/BBM-EMAIL-SIGNATURE.htm</w:t>
      </w:r>
      <w:r>
        <w:t xml:space="preserve"> and changes only name, title and mobile. Layout: sign-off "Thank you and best regards," Arial 10 pt; colour logo 180 x 125 px linked to BABOOM; 1 pt crimson divider; name Arial bold 13.5 pt crimson; title 10 pt grey; "M: mobile | T: " 9 pt grey; office address 8.5 pt grey; 18 px web icon. No quotes, banners, extra icons or disclaimers.</w:t>
      </w:r>
    </w:p>
    <w:p>
      <w:pPr>
        <w:pStyle w:val="Heading1"/>
      </w:pPr>
      <w:r>
        <w:t>7 Documents, slides and sheets</w:t>
      </w:r>
    </w:p>
    <w:p>
      <w:pPr/>
      <w:r>
        <w:rPr>
          <w:b/>
        </w:rPr>
        <w:t>Word.</w:t>
      </w:r>
      <w:r>
        <w:t xml:space="preserve"> The BBM-STD Word files are built by </w:t>
      </w:r>
      <w:r>
        <w:rPr>
          <w:rFonts w:ascii="JetBrains Mono" w:hAnsi="JetBrains Mono"/>
        </w:rPr>
        <w:t>build_docx.py</w:t>
      </w:r>
      <w:r>
        <w:t xml:space="preserve">, which reads tokens.json: Title Arial 26 pt bold crimson; Heading 1 16 pt bold crimson; Heading 2 13 pt bold ink; Heading 3 11 pt bold logo grey; body 10 pt ink; tables 7 to 8.5 pt with a logo-grey header row in white bold text, repeated on every page, and 0.5 pt grey borders; links crimson and underlined; colour logo 25 mm wide in the header. </w:t>
      </w:r>
      <w:r>
        <w:rPr>
          <w:rFonts w:ascii="JetBrains Mono" w:hAnsi="JetBrains Mono"/>
        </w:rPr>
        <w:t>BBM-OFFICE-WORD-TEMPLATE.docx</w:t>
      </w:r>
      <w:r>
        <w:t xml:space="preserve"> is a sample built by the same generator.</w:t>
      </w:r>
    </w:p>
    <w:p>
      <w:pPr/>
      <w:r>
        <w:rPr>
          <w:b/>
        </w:rPr>
        <w:t>Slides (16:9).</w:t>
      </w:r>
      <w:r>
        <w:t xml:space="preserve"> Cover: white, colour logo top left at least 25 mm wide, 2 pt crimson rule, title Arial bold 32 to 40 pt, subtitle in grey. Content: white, title 24 pt, body 14 to 18 pt, one crimson accent per slide. Crimson full-bleed with the white logo only for section and closing slides.</w:t>
      </w:r>
    </w:p>
    <w:p>
      <w:pPr/>
      <w:r>
        <w:rPr>
          <w:b/>
        </w:rPr>
        <w:t>Drawing sheets.</w:t>
      </w:r>
      <w:r>
        <w:t xml:space="preserve"> Black logo in the title block, at least 25 mm wide, with clear space; Arial text; no colour except a colour logo on colour-printed covers. Sheet and report covers follow the slide cover layout at A3 or A4.</w:t>
      </w:r>
    </w:p>
    <w:p>
      <w:pPr>
        <w:pStyle w:val="Heading1"/>
      </w:pPr>
      <w:r>
        <w:t>8 Pages and tools</w:t>
      </w:r>
    </w:p>
    <w:p>
      <w:pPr/>
      <w:r>
        <w:t xml:space="preserve">Every generated page of the BABOOM BIM Standard (front page, family catalogue, details catalogue) and every A4 guide (standard guide, family library guide, AI and render farm guide, this system's guide) takes its style from </w:t>
      </w:r>
      <w:r>
        <w:rPr>
          <w:rFonts w:ascii="JetBrains Mono" w:hAnsi="JetBrains Mono"/>
        </w:rPr>
        <w:t>ba-office.css</w:t>
      </w:r>
      <w:r>
        <w:t xml:space="preserve"> or </w:t>
      </w:r>
      <w:r>
        <w:rPr>
          <w:rFonts w:ascii="JetBrains Mono" w:hAnsi="JetBrains Mono"/>
        </w:rPr>
        <w:t>ba-guide.css</w:t>
      </w:r>
      <w:r>
        <w:t xml:space="preserve"> on </w:t>
      </w:r>
      <w:r>
        <w:rPr>
          <w:rFonts w:ascii="JetBrains Mono" w:hAnsi="JetBrains Mono"/>
        </w:rPr>
        <w:t>tokens.css</w:t>
      </w:r>
      <w:r>
        <w:t xml:space="preserve">, injected by the generators; no page carries its own copy of the colours. Pages have a title, the favicon, one h1, a skip link, alt text on images, a 2 px crimson focus ring, no sideways scrolling at 375 px, a print view without controls, and an empty state that says what to do when a search or folder has nothing. </w:t>
      </w:r>
      <w:r>
        <w:rPr>
          <w:rFonts w:ascii="JetBrains Mono" w:hAnsi="JetBrains Mono"/>
        </w:rPr>
        <w:t>build_all.py</w:t>
      </w:r>
      <w:r>
        <w:t xml:space="preserve"> checks these at 1440 and 375 px on every run.</w:t>
      </w:r>
    </w:p>
    <w:p>
      <w:pPr>
        <w:pStyle w:val="Heading1"/>
      </w:pPr>
      <w:r>
        <w:t>9 Do and do not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025"/>
        <w:gridCol w:w="5441"/>
      </w:tblGrid>
      <w:tr>
        <w:trPr>
          <w:cantSplit/>
          <w:tblHeader/>
        </w:trPr>
        <w:tc>
          <w:tcPr>
            <w:tcW w:type="dxa" w:w="5025"/>
            <w:shd w:val="clear" w:color="auto" w:fill="111113"/>
          </w:tcPr>
          <w:p>
            <w:r>
              <w:rPr>
                <w:b/>
                <w:color w:val="FFFFFF"/>
                <w:sz w:val="17"/>
              </w:rPr>
            </w:r>
            <w:r>
              <w:rPr>
                <w:b/>
                <w:color w:val="FFFFFF"/>
                <w:sz w:val="17"/>
              </w:rPr>
              <w:t>Do</w:t>
            </w:r>
          </w:p>
        </w:tc>
        <w:tc>
          <w:tcPr>
            <w:tcW w:type="dxa" w:w="5441"/>
            <w:shd w:val="clear" w:color="auto" w:fill="111113"/>
          </w:tcPr>
          <w:p>
            <w:r>
              <w:rPr>
                <w:b/>
                <w:color w:val="FFFFFF"/>
                <w:sz w:val="17"/>
              </w:rPr>
            </w:r>
            <w:r>
              <w:rPr>
                <w:b/>
                <w:color w:val="FFFFFF"/>
                <w:sz w:val="17"/>
              </w:rPr>
              <w:t>Do not</w:t>
            </w:r>
          </w:p>
        </w:tc>
      </w:tr>
      <w:tr>
        <w:trPr>
          <w:cantSplit/>
        </w:trPr>
        <w:tc>
          <w:tcPr>
            <w:tcW w:type="dxa" w:w="5025"/>
          </w:tcPr>
          <w:p>
            <w:r>
              <w:rPr>
                <w:sz w:val="17"/>
              </w:rPr>
            </w:r>
            <w:r>
              <w:rPr>
                <w:sz w:val="17"/>
              </w:rPr>
              <w:t xml:space="preserve">Take the logo from </w:t>
            </w:r>
            <w:r>
              <w:rPr>
                <w:rFonts w:ascii="JetBrains Mono" w:hAnsi="JetBrains Mono"/>
                <w:sz w:val="17"/>
              </w:rPr>
              <w:t>01-LOGOS</w:t>
            </w:r>
            <w:r>
              <w:rPr>
                <w:sz w:val="17"/>
              </w:rPr>
              <w:t xml:space="preserve"> every time</w:t>
            </w:r>
          </w:p>
        </w:tc>
        <w:tc>
          <w:tcPr>
            <w:tcW w:type="dxa" w:w="5441"/>
          </w:tcPr>
          <w:p>
            <w:r>
              <w:rPr>
                <w:sz w:val="17"/>
              </w:rPr>
            </w:r>
            <w:r>
              <w:rPr>
                <w:sz w:val="17"/>
              </w:rPr>
              <w:t>Copy the logo from an email or PDF</w:t>
            </w:r>
          </w:p>
        </w:tc>
      </w:tr>
      <w:tr>
        <w:trPr>
          <w:cantSplit/>
        </w:trPr>
        <w:tc>
          <w:tcPr>
            <w:tcW w:type="dxa" w:w="5025"/>
          </w:tcPr>
          <w:p>
            <w:r>
              <w:rPr>
                <w:sz w:val="17"/>
              </w:rPr>
            </w:r>
            <w:r>
              <w:rPr>
                <w:sz w:val="17"/>
              </w:rPr>
              <w:t>Use Arial and the token colours</w:t>
            </w:r>
          </w:p>
        </w:tc>
        <w:tc>
          <w:tcPr>
            <w:tcW w:type="dxa" w:w="5441"/>
          </w:tcPr>
          <w:p>
            <w:r>
              <w:rPr>
                <w:sz w:val="17"/>
              </w:rPr>
            </w:r>
            <w:r>
              <w:rPr>
                <w:sz w:val="17"/>
              </w:rPr>
              <w:t>Use the 2025 logo, navy or Verdana in new work</w:t>
            </w:r>
          </w:p>
        </w:tc>
      </w:tr>
      <w:tr>
        <w:trPr>
          <w:cantSplit/>
        </w:trPr>
        <w:tc>
          <w:tcPr>
            <w:tcW w:type="dxa" w:w="5025"/>
          </w:tcPr>
          <w:p>
            <w:r>
              <w:rPr>
                <w:sz w:val="17"/>
              </w:rPr>
            </w:r>
            <w:r>
              <w:rPr>
                <w:sz w:val="17"/>
              </w:rPr>
              <w:t>Keep one accent: crimson</w:t>
            </w:r>
          </w:p>
        </w:tc>
        <w:tc>
          <w:tcPr>
            <w:tcW w:type="dxa" w:w="5441"/>
          </w:tcPr>
          <w:p>
            <w:r>
              <w:rPr>
                <w:sz w:val="17"/>
              </w:rPr>
            </w:r>
            <w:r>
              <w:rPr>
                <w:sz w:val="17"/>
              </w:rPr>
              <w:t>Add a second accent or gradients</w:t>
            </w:r>
          </w:p>
        </w:tc>
      </w:tr>
      <w:tr>
        <w:trPr>
          <w:cantSplit/>
        </w:trPr>
        <w:tc>
          <w:tcPr>
            <w:tcW w:type="dxa" w:w="5025"/>
          </w:tcPr>
          <w:p>
            <w:r>
              <w:rPr>
                <w:sz w:val="17"/>
              </w:rPr>
            </w:r>
            <w:r>
              <w:rPr>
                <w:sz w:val="17"/>
              </w:rPr>
              <w:t>Group with lines and white space</w:t>
            </w:r>
          </w:p>
        </w:tc>
        <w:tc>
          <w:tcPr>
            <w:tcW w:type="dxa" w:w="5441"/>
          </w:tcPr>
          <w:p>
            <w:r>
              <w:rPr>
                <w:sz w:val="17"/>
              </w:rPr>
            </w:r>
            <w:r>
              <w:rPr>
                <w:sz w:val="17"/>
              </w:rPr>
              <w:t>Box everything; use shadows at rest</w:t>
            </w:r>
          </w:p>
        </w:tc>
      </w:tr>
      <w:tr>
        <w:trPr>
          <w:cantSplit/>
        </w:trPr>
        <w:tc>
          <w:tcPr>
            <w:tcW w:type="dxa" w:w="5025"/>
          </w:tcPr>
          <w:p>
            <w:r>
              <w:rPr>
                <w:sz w:val="17"/>
              </w:rPr>
            </w:r>
            <w:r>
              <w:rPr>
                <w:sz w:val="17"/>
              </w:rPr>
              <w:t>Use "Name Surname /​ Title" in templates</w:t>
            </w:r>
          </w:p>
        </w:tc>
        <w:tc>
          <w:tcPr>
            <w:tcW w:type="dxa" w:w="5441"/>
          </w:tcPr>
          <w:p>
            <w:r>
              <w:rPr>
                <w:sz w:val="17"/>
              </w:rPr>
            </w:r>
            <w:r>
              <w:rPr>
                <w:sz w:val="17"/>
              </w:rPr>
              <w:t>Put staff, client or project names or fees in templates</w:t>
            </w:r>
          </w:p>
        </w:tc>
      </w:tr>
      <w:tr>
        <w:trPr>
          <w:cantSplit/>
        </w:trPr>
        <w:tc>
          <w:tcPr>
            <w:tcW w:type="dxa" w:w="5025"/>
          </w:tcPr>
          <w:p>
            <w:r>
              <w:rPr>
                <w:sz w:val="17"/>
              </w:rPr>
            </w:r>
            <w:r>
              <w:rPr>
                <w:sz w:val="17"/>
              </w:rPr>
              <w:t>Use the office's own drawings and photographs</w:t>
            </w:r>
          </w:p>
        </w:tc>
        <w:tc>
          <w:tcPr>
            <w:tcW w:type="dxa" w:w="5441"/>
          </w:tcPr>
          <w:p>
            <w:r>
              <w:rPr>
                <w:sz w:val="17"/>
              </w:rPr>
            </w:r>
            <w:r>
              <w:rPr>
                <w:sz w:val="17"/>
              </w:rPr>
              <w:t>Use stock or generated images as the office's work</w:t>
            </w:r>
          </w:p>
        </w:tc>
      </w:tr>
    </w:tbl>
    <w:p/>
    <w:p>
      <w:pPr>
        <w:pStyle w:val="Heading1"/>
      </w:pPr>
      <w:r>
        <w:t>10 Ownership and change</w:t>
      </w:r>
    </w:p>
    <w:p>
      <w:pPr/>
      <w:r>
        <w:t xml:space="preserve">The BIM team owns this standard. A change is made in </w:t>
      </w:r>
      <w:r>
        <w:rPr>
          <w:rFonts w:ascii="JetBrains Mono" w:hAnsi="JetBrains Mono"/>
        </w:rPr>
        <w:t>tokens.json</w:t>
      </w:r>
      <w:r>
        <w:t xml:space="preserve"> (50.TOOLING/52.AEC-LIBRARIES/52.03-BBM-STANDARD/06.DESIGN-SYSTEM, an ArchHub workspace path outside this standard's folder tree), then </w:t>
      </w:r>
      <w:r>
        <w:rPr>
          <w:rFonts w:ascii="JetBrains Mono" w:hAnsi="JetBrains Mono"/>
        </w:rPr>
        <w:t>publish_ds.py</w:t>
      </w:r>
      <w:r>
        <w:t xml:space="preserve"> republishes </w:t>
      </w:r>
      <w:r>
        <w:rPr>
          <w:rFonts w:ascii="JetBrains Mono" w:hAnsi="JetBrains Mono"/>
        </w:rPr>
        <w:t>03-BRANDING</w:t>
      </w:r>
      <w:r>
        <w:t xml:space="preserve"> and </w:t>
      </w:r>
      <w:r>
        <w:rPr>
          <w:rFonts w:ascii="JetBrains Mono" w:hAnsi="JetBrains Mono"/>
        </w:rPr>
        <w:t>build_all.py</w:t>
      </w:r>
      <w:r>
        <w:t xml:space="preserve"> rebuilds every page and guide; the Word standards take it on their next build. Nothing is edited by hand on the server; superseded files move to </w:t>
      </w:r>
      <w:r>
        <w:rPr>
          <w:rFonts w:ascii="JetBrains Mono" w:hAnsi="JetBrains Mono"/>
        </w:rPr>
        <w:t>98-ARCHIVE</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BBM-STD-95-OFFICE_DESIGN_SYSTEM-V0.1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github.com/Fargaly/baboom-bim-standard/blob/main/04-DOCUMENTS/BBM-STD-95-OFFICE_DESIGN_SYSTEM-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