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quality procedures</w:t>
      </w:r>
    </w:p>
    <w:p>
      <w:pPr/>
      <w:r>
        <w:t xml:space="preserve">Linked copies: ID STD-97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BBM-STD-97-QUALITY_PROCEDURES-V0.3 | Office standard | 5 November 2026 | V0.3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the fifteen quality procedures QP-01 to QP-15 of the office QMS (</w:t>
            </w:r>
            <w:r>
              <w:rPr>
                <w:color w:val="9A7B45"/>
                <w:sz w:val="17"/>
                <w:u w:val="single"/>
              </w:rPr>
              <w:t>BBM-STD-96</w:t>
            </w:r>
            <w:r>
              <w:rPr>
                <w:sz w:val="17"/>
              </w:rPr>
              <w:t xml:space="preserve">), each with purpose, scope, roles, steps, records, checklist and references. Checklists published in </w:t>
            </w:r>
            <w:r>
              <w:rPr>
                <w:rFonts w:ascii="JetBrains Mono" w:hAnsi="JetBrains Mono"/>
                <w:sz w:val="17"/>
              </w:rPr>
              <w:t>BABOOM-BIM-STANDARD\07-QA-QC</w:t>
            </w:r>
            <w:r>
              <w:rPr>
                <w:sz w:val="17"/>
              </w:rPr>
              <w:t xml:space="preserve"> (02 to 09); BIM checks stay in 01-BIM (</w:t>
            </w:r>
            <w:r>
              <w:rPr>
                <w:color w:val="9A7B45"/>
                <w:sz w:val="17"/>
                <w:u w:val="single"/>
              </w:rPr>
              <w:t>BBM-STD-68</w:t>
            </w:r>
            <w:r>
              <w:rPr>
                <w:sz w:val="17"/>
              </w:rPr>
              <w:t>).</w:t>
            </w:r>
          </w:p>
        </w:tc>
      </w:tr>
      <w:tr>
        <w:trPr/>
        <w:tc>
          <w:tcPr>
            <w:tcW w:type="dxa" w:w="775"/>
          </w:tcPr>
          <w:p>
            <w:r>
              <w:rPr>
                <w:sz w:val="17"/>
              </w:rPr>
            </w:r>
            <w:r>
              <w:rPr>
                <w:sz w:val="17"/>
              </w:rPr>
              <w:t>V0.2</w:t>
            </w:r>
          </w:p>
        </w:tc>
        <w:tc>
          <w:tcPr>
            <w:tcW w:type="dxa" w:w="1033"/>
          </w:tcPr>
          <w:p>
            <w:r>
              <w:rPr>
                <w:sz w:val="17"/>
              </w:rPr>
            </w:r>
            <w:r>
              <w:rPr>
                <w:sz w:val="17"/>
              </w:rPr>
              <w:t>2026-11-05</w:t>
            </w:r>
          </w:p>
        </w:tc>
        <w:tc>
          <w:tcPr>
            <w:tcW w:type="dxa" w:w="8659"/>
          </w:tcPr>
          <w:p>
            <w:r>
              <w:rPr>
                <w:sz w:val="17"/>
              </w:rPr>
            </w:r>
            <w:r>
              <w:rPr>
                <w:sz w:val="17"/>
              </w:rPr>
              <w:t>QP-09 §2 and the references cite DM Administrative Resolution 275 of 2024 (its Art. 16 repealed Resolution 10 of 2019) and Dubai Law No. 14 of 2025 (it repealed Local Order 89 of 1994); QP-07, QP-09 and QP-10 point to the Architect of Record services (</w:t>
            </w:r>
            <w:r>
              <w:rPr>
                <w:color w:val="9A7B45"/>
                <w:sz w:val="17"/>
                <w:u w:val="single"/>
              </w:rPr>
              <w:t>BBM-STD-13</w:t>
            </w:r>
            <w:r>
              <w:rPr>
                <w:sz w:val="17"/>
              </w:rPr>
              <w:t>) and the one tracker set (</w:t>
            </w:r>
            <w:r>
              <w:rPr>
                <w:color w:val="9A7B45"/>
                <w:sz w:val="17"/>
                <w:u w:val="single"/>
              </w:rPr>
              <w:t>BBM-STD-99</w:t>
            </w:r>
            <w:r>
              <w:rPr>
                <w:sz w:val="17"/>
              </w:rPr>
              <w:t xml:space="preserve">); the office forms are now in </w:t>
            </w:r>
            <w:r>
              <w:rPr>
                <w:rFonts w:ascii="JetBrains Mono" w:hAnsi="JetBrains Mono"/>
                <w:sz w:val="17"/>
              </w:rPr>
              <w:t>01-TEMPLATES\04-DOCUMENT-CONTROL</w:t>
            </w:r>
            <w:r>
              <w:rPr>
                <w:sz w:val="17"/>
              </w:rPr>
              <w:t xml:space="preserve"> (</w:t>
            </w:r>
            <w:r>
              <w:rPr>
                <w:color w:val="9A7B45"/>
                <w:sz w:val="17"/>
                <w:u w:val="single"/>
              </w:rPr>
              <w:t>O-DEC-170</w:t>
            </w:r>
            <w:r>
              <w:rPr>
                <w:sz w:val="17"/>
              </w:rPr>
              <w:t xml:space="preserve">, </w:t>
            </w:r>
            <w:r>
              <w:rPr>
                <w:color w:val="9A7B45"/>
                <w:sz w:val="17"/>
                <w:u w:val="single"/>
              </w:rPr>
              <w:t>O-DEC-181</w:t>
            </w:r>
            <w:r>
              <w:rPr>
                <w:sz w:val="17"/>
              </w:rPr>
              <w:t>).</w:t>
            </w:r>
          </w:p>
        </w:tc>
      </w:tr>
      <w:tr>
        <w:trPr>
          <w:cantSplit/>
        </w:trPr>
        <w:tc>
          <w:tcPr>
            <w:tcW w:type="dxa" w:w="775"/>
          </w:tcPr>
          <w:p>
            <w:r>
              <w:rPr>
                <w:sz w:val="17"/>
              </w:rPr>
            </w:r>
            <w:r>
              <w:rPr>
                <w:sz w:val="17"/>
              </w:rPr>
              <w:t>V0.3</w:t>
            </w:r>
          </w:p>
        </w:tc>
        <w:tc>
          <w:tcPr>
            <w:tcW w:type="dxa" w:w="1033"/>
          </w:tcPr>
          <w:p>
            <w:r>
              <w:rPr>
                <w:sz w:val="17"/>
              </w:rPr>
            </w:r>
            <w:r>
              <w:rPr>
                <w:sz w:val="17"/>
              </w:rPr>
              <w:t>2026-11-05</w:t>
            </w:r>
          </w:p>
        </w:tc>
        <w:tc>
          <w:tcPr>
            <w:tcW w:type="dxa" w:w="8659"/>
          </w:tcPr>
          <w:p>
            <w:r>
              <w:rPr>
                <w:sz w:val="17"/>
              </w:rPr>
            </w:r>
            <w:r>
              <w:rPr>
                <w:sz w:val="17"/>
              </w:rPr>
              <w:t>Standard watch no. 1 (RES-017): QP-13 and the references cite ISO 19011:2026 (edition 4; the 2018 edition is withdrawn) (</w:t>
            </w:r>
            <w:r>
              <w:rPr>
                <w:color w:val="9A7B45"/>
                <w:sz w:val="17"/>
                <w:u w:val="single"/>
              </w:rPr>
              <w:t>O-DEC-184</w:t>
            </w:r>
            <w:r>
              <w:rPr>
                <w:sz w:val="17"/>
              </w:rPr>
              <w:t>); QP-09 §2 covers supervision of remediation works under a Dubai Building Quality and Safety Certificate assessment (</w:t>
            </w:r>
            <w:r>
              <w:rPr>
                <w:color w:val="9A7B45"/>
                <w:sz w:val="17"/>
                <w:u w:val="single"/>
              </w:rPr>
              <w:t>BBM-STD-75</w:t>
            </w:r>
            <w:r>
              <w:rPr>
                <w:sz w:val="17"/>
              </w:rPr>
              <w:t xml:space="preserve"> §7, </w:t>
            </w:r>
            <w:r>
              <w:rPr>
                <w:color w:val="9A7B45"/>
                <w:sz w:val="17"/>
                <w:u w:val="single"/>
              </w:rPr>
              <w:t>O-DEC-185</w:t>
            </w:r>
            <w:r>
              <w:rPr>
                <w:sz w:val="17"/>
              </w:rPr>
              <w:t>)</w:t>
            </w:r>
          </w:p>
        </w:tc>
      </w:tr>
    </w:tbl>
    <w:p/>
    <w:p>
      <w:pPr>
        <w:pStyle w:val="Heading1"/>
      </w:pPr>
      <w:r>
        <w:t>0 How to read the procedures</w:t>
      </w:r>
    </w:p>
    <w:p>
      <w:pPr/>
      <w:r>
        <w:t xml:space="preserve">Each procedure is one office process with one owner. Roles are the functions of </w:t>
      </w:r>
      <w:r>
        <w:rPr>
          <w:color w:val="9A7B45"/>
          <w:u w:val="single"/>
        </w:rPr>
        <w:t>BBM-STD-96</w:t>
      </w:r>
      <w:r>
        <w:t xml:space="preserve"> §4 and </w:t>
      </w:r>
      <w:r>
        <w:rPr>
          <w:color w:val="9A7B45"/>
          <w:u w:val="single"/>
        </w:rPr>
        <w:t>BBM-STD-55</w:t>
      </w:r>
      <w:r>
        <w:t xml:space="preserve"> §2. The checklist named in each procedure is the working tool: filling it in is doing the step, and its signed copy is the record. Check IDs read </w:t>
      </w:r>
      <w:r>
        <w:rPr>
          <w:rFonts w:ascii="JetBrains Mono" w:hAnsi="JetBrains Mono"/>
        </w:rPr>
        <w:t>&lt;workbook&gt;-&lt;sheet&gt;-&lt;nn&gt;</w:t>
      </w:r>
      <w:r>
        <w:t xml:space="preserve"> (for example DR-AR-03; numbering </w:t>
      </w:r>
      <w:r>
        <w:rPr>
          <w:color w:val="9A7B45"/>
          <w:u w:val="single"/>
        </w:rPr>
        <w:t>O-DEC-151</w:t>
      </w:r>
      <w:r>
        <w:t xml:space="preserve">). A mandatory check that fails is a nonconformity under QP-11. Outcomes of gates are A/B/C and review tiers are L1/L2/L3 per </w:t>
      </w:r>
      <w:r>
        <w:rPr>
          <w:color w:val="9A7B45"/>
          <w:u w:val="single"/>
        </w:rPr>
        <w:t>BBM-STD-93</w:t>
      </w:r>
      <w:r>
        <w:t xml:space="preserve"> §5 and §8.</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36"/>
        <w:gridCol w:w="2932"/>
        <w:gridCol w:w="1639"/>
        <w:gridCol w:w="5259"/>
      </w:tblGrid>
      <w:tr>
        <w:trPr>
          <w:cantSplit/>
          <w:tblHeader/>
        </w:trPr>
        <w:tc>
          <w:tcPr>
            <w:tcW w:type="dxa" w:w="636"/>
            <w:shd w:val="clear" w:color="auto" w:fill="111113"/>
          </w:tcPr>
          <w:p>
            <w:r>
              <w:rPr>
                <w:b/>
                <w:color w:val="FFFFFF"/>
                <w:sz w:val="17"/>
              </w:rPr>
            </w:r>
            <w:r>
              <w:rPr>
                <w:b/>
                <w:color w:val="FFFFFF"/>
                <w:sz w:val="17"/>
              </w:rPr>
              <w:t>ID</w:t>
            </w:r>
          </w:p>
        </w:tc>
        <w:tc>
          <w:tcPr>
            <w:tcW w:type="dxa" w:w="2932"/>
            <w:shd w:val="clear" w:color="auto" w:fill="111113"/>
          </w:tcPr>
          <w:p>
            <w:r>
              <w:rPr>
                <w:b/>
                <w:color w:val="FFFFFF"/>
                <w:sz w:val="17"/>
              </w:rPr>
            </w:r>
            <w:r>
              <w:rPr>
                <w:b/>
                <w:color w:val="FFFFFF"/>
                <w:sz w:val="17"/>
              </w:rPr>
              <w:t>Procedure</w:t>
            </w:r>
          </w:p>
        </w:tc>
        <w:tc>
          <w:tcPr>
            <w:tcW w:type="dxa" w:w="1639"/>
            <w:shd w:val="clear" w:color="auto" w:fill="111113"/>
          </w:tcPr>
          <w:p>
            <w:r>
              <w:rPr>
                <w:b/>
                <w:color w:val="FFFFFF"/>
                <w:sz w:val="17"/>
              </w:rPr>
            </w:r>
            <w:r>
              <w:rPr>
                <w:b/>
                <w:color w:val="FFFFFF"/>
                <w:sz w:val="17"/>
              </w:rPr>
              <w:t>Owner</w:t>
            </w:r>
          </w:p>
        </w:tc>
        <w:tc>
          <w:tcPr>
            <w:tcW w:type="dxa" w:w="5259"/>
            <w:shd w:val="clear" w:color="auto" w:fill="111113"/>
          </w:tcPr>
          <w:p>
            <w:r>
              <w:rPr>
                <w:b/>
                <w:color w:val="FFFFFF"/>
                <w:sz w:val="17"/>
              </w:rPr>
            </w:r>
            <w:r>
              <w:rPr>
                <w:b/>
                <w:color w:val="FFFFFF"/>
                <w:sz w:val="17"/>
              </w:rPr>
              <w:t>Checklist (07-QA-QC)</w:t>
            </w:r>
          </w:p>
        </w:tc>
      </w:tr>
      <w:tr>
        <w:trPr>
          <w:cantSplit/>
        </w:trPr>
        <w:tc>
          <w:tcPr>
            <w:tcW w:type="dxa" w:w="636"/>
          </w:tcPr>
          <w:p>
            <w:r>
              <w:rPr>
                <w:sz w:val="17"/>
              </w:rPr>
            </w:r>
            <w:r>
              <w:rPr>
                <w:sz w:val="17"/>
              </w:rPr>
              <w:t>QP-01</w:t>
            </w:r>
          </w:p>
        </w:tc>
        <w:tc>
          <w:tcPr>
            <w:tcW w:type="dxa" w:w="2932"/>
          </w:tcPr>
          <w:p>
            <w:r>
              <w:rPr>
                <w:sz w:val="17"/>
              </w:rPr>
            </w:r>
            <w:r>
              <w:rPr>
                <w:sz w:val="17"/>
              </w:rPr>
              <w:t>Proposals, go/​no-go and contract review</w:t>
            </w:r>
          </w:p>
        </w:tc>
        <w:tc>
          <w:tcPr>
            <w:tcW w:type="dxa" w:w="1639"/>
          </w:tcPr>
          <w:p>
            <w:r>
              <w:rPr>
                <w:sz w:val="17"/>
              </w:rPr>
            </w:r>
            <w:r>
              <w:rPr>
                <w:sz w:val="17"/>
              </w:rPr>
              <w:t>Practice director</w:t>
            </w:r>
          </w:p>
        </w:tc>
        <w:tc>
          <w:tcPr>
            <w:tcW w:type="dxa" w:w="5259"/>
          </w:tcPr>
          <w:p>
            <w:r>
              <w:rPr>
                <w:sz w:val="17"/>
              </w:rPr>
            </w:r>
            <w:r>
              <w:rPr>
                <w:sz w:val="17"/>
              </w:rPr>
              <w:t>03-PROPOSALS/​BBM-STD-97-PROPOSALS-CHECKLIST-V1.0.xlsx (GO, CR, FE, RK, PQ)</w:t>
            </w:r>
          </w:p>
        </w:tc>
      </w:tr>
      <w:tr>
        <w:trPr>
          <w:cantSplit/>
        </w:trPr>
        <w:tc>
          <w:tcPr>
            <w:tcW w:type="dxa" w:w="636"/>
          </w:tcPr>
          <w:p>
            <w:r>
              <w:rPr>
                <w:sz w:val="17"/>
              </w:rPr>
            </w:r>
            <w:r>
              <w:rPr>
                <w:sz w:val="17"/>
              </w:rPr>
              <w:t>QP-02</w:t>
            </w:r>
          </w:p>
        </w:tc>
        <w:tc>
          <w:tcPr>
            <w:tcW w:type="dxa" w:w="2932"/>
          </w:tcPr>
          <w:p>
            <w:r>
              <w:rPr>
                <w:sz w:val="17"/>
              </w:rPr>
            </w:r>
            <w:r>
              <w:rPr>
                <w:sz w:val="17"/>
              </w:rPr>
              <w:t>Project quality plan</w:t>
            </w:r>
          </w:p>
        </w:tc>
        <w:tc>
          <w:tcPr>
            <w:tcW w:type="dxa" w:w="1639"/>
          </w:tcPr>
          <w:p>
            <w:r>
              <w:rPr>
                <w:sz w:val="17"/>
              </w:rPr>
            </w:r>
            <w:r>
              <w:rPr>
                <w:sz w:val="17"/>
              </w:rPr>
              <w:t>Project director</w:t>
            </w:r>
          </w:p>
        </w:tc>
        <w:tc>
          <w:tcPr>
            <w:tcW w:type="dxa" w:w="5259"/>
          </w:tcPr>
          <w:p>
            <w:r>
              <w:rPr>
                <w:sz w:val="17"/>
              </w:rPr>
            </w:r>
            <w:r>
              <w:rPr>
                <w:sz w:val="17"/>
              </w:rPr>
              <w:t>09-AUDIT/​BBM-STD-96-QMS-AUDIT-CHECKLIST-V1.0.xlsx (QP)</w:t>
            </w:r>
          </w:p>
        </w:tc>
      </w:tr>
      <w:tr>
        <w:trPr>
          <w:cantSplit/>
        </w:trPr>
        <w:tc>
          <w:tcPr>
            <w:tcW w:type="dxa" w:w="636"/>
          </w:tcPr>
          <w:p>
            <w:r>
              <w:rPr>
                <w:sz w:val="17"/>
              </w:rPr>
            </w:r>
            <w:r>
              <w:rPr>
                <w:sz w:val="17"/>
              </w:rPr>
              <w:t>QP-03</w:t>
            </w:r>
          </w:p>
        </w:tc>
        <w:tc>
          <w:tcPr>
            <w:tcW w:type="dxa" w:w="2932"/>
          </w:tcPr>
          <w:p>
            <w:r>
              <w:rPr>
                <w:sz w:val="17"/>
              </w:rPr>
            </w:r>
            <w:r>
              <w:rPr>
                <w:sz w:val="17"/>
              </w:rPr>
              <w:t>Design review and verification per discipline</w:t>
            </w:r>
          </w:p>
        </w:tc>
        <w:tc>
          <w:tcPr>
            <w:tcW w:type="dxa" w:w="1639"/>
          </w:tcPr>
          <w:p>
            <w:r>
              <w:rPr>
                <w:sz w:val="17"/>
              </w:rPr>
            </w:r>
            <w:r>
              <w:rPr>
                <w:sz w:val="17"/>
              </w:rPr>
              <w:t>Discipline leads</w:t>
            </w:r>
          </w:p>
        </w:tc>
        <w:tc>
          <w:tcPr>
            <w:tcW w:type="dxa" w:w="5259"/>
          </w:tcPr>
          <w:p>
            <w:r>
              <w:rPr>
                <w:sz w:val="17"/>
              </w:rPr>
            </w:r>
            <w:r>
              <w:rPr>
                <w:sz w:val="17"/>
              </w:rPr>
              <w:t>02-DESIGN-REVIEW/​BBM-STD-97-DESIGN-REVIEW-CHECKLIST-V1.0.xlsx (GN, AR, IN, LS, ST, MP, FL)</w:t>
            </w:r>
          </w:p>
        </w:tc>
      </w:tr>
      <w:tr>
        <w:trPr>
          <w:cantSplit/>
        </w:trPr>
        <w:tc>
          <w:tcPr>
            <w:tcW w:type="dxa" w:w="636"/>
          </w:tcPr>
          <w:p>
            <w:r>
              <w:rPr>
                <w:sz w:val="17"/>
              </w:rPr>
            </w:r>
            <w:r>
              <w:rPr>
                <w:sz w:val="17"/>
              </w:rPr>
              <w:t>QP-04</w:t>
            </w:r>
          </w:p>
        </w:tc>
        <w:tc>
          <w:tcPr>
            <w:tcW w:type="dxa" w:w="2932"/>
          </w:tcPr>
          <w:p>
            <w:r>
              <w:rPr>
                <w:sz w:val="17"/>
              </w:rPr>
            </w:r>
            <w:r>
              <w:rPr>
                <w:sz w:val="17"/>
              </w:rPr>
              <w:t>Interdisciplinary coordination and constructability</w:t>
            </w:r>
          </w:p>
        </w:tc>
        <w:tc>
          <w:tcPr>
            <w:tcW w:type="dxa" w:w="1639"/>
          </w:tcPr>
          <w:p>
            <w:r>
              <w:rPr>
                <w:sz w:val="17"/>
              </w:rPr>
            </w:r>
            <w:r>
              <w:rPr>
                <w:sz w:val="17"/>
              </w:rPr>
              <w:t>Lead design consultant</w:t>
            </w:r>
          </w:p>
        </w:tc>
        <w:tc>
          <w:tcPr>
            <w:tcW w:type="dxa" w:w="5259"/>
          </w:tcPr>
          <w:p>
            <w:r>
              <w:rPr>
                <w:sz w:val="17"/>
              </w:rPr>
            </w:r>
            <w:r>
              <w:rPr>
                <w:sz w:val="17"/>
              </w:rPr>
              <w:t>02-DESIGN-REVIEW (CO, CB)</w:t>
            </w:r>
          </w:p>
        </w:tc>
      </w:tr>
      <w:tr>
        <w:trPr>
          <w:cantSplit/>
        </w:trPr>
        <w:tc>
          <w:tcPr>
            <w:tcW w:type="dxa" w:w="636"/>
          </w:tcPr>
          <w:p>
            <w:r>
              <w:rPr>
                <w:sz w:val="17"/>
              </w:rPr>
            </w:r>
            <w:r>
              <w:rPr>
                <w:sz w:val="17"/>
              </w:rPr>
              <w:t>QP-05</w:t>
            </w:r>
          </w:p>
        </w:tc>
        <w:tc>
          <w:tcPr>
            <w:tcW w:type="dxa" w:w="2932"/>
          </w:tcPr>
          <w:p>
            <w:r>
              <w:rPr>
                <w:sz w:val="17"/>
              </w:rPr>
            </w:r>
            <w:r>
              <w:rPr>
                <w:sz w:val="17"/>
              </w:rPr>
              <w:t>Specifications</w:t>
            </w:r>
          </w:p>
        </w:tc>
        <w:tc>
          <w:tcPr>
            <w:tcW w:type="dxa" w:w="1639"/>
          </w:tcPr>
          <w:p>
            <w:r>
              <w:rPr>
                <w:sz w:val="17"/>
              </w:rPr>
            </w:r>
            <w:r>
              <w:rPr>
                <w:sz w:val="17"/>
              </w:rPr>
              <w:t>Specification lead</w:t>
            </w:r>
          </w:p>
        </w:tc>
        <w:tc>
          <w:tcPr>
            <w:tcW w:type="dxa" w:w="5259"/>
          </w:tcPr>
          <w:p>
            <w:r>
              <w:rPr>
                <w:sz w:val="17"/>
              </w:rPr>
            </w:r>
            <w:r>
              <w:rPr>
                <w:sz w:val="17"/>
              </w:rPr>
              <w:t>04-SPECIFICATIONS/​BBM-STD-97-SPECIFICATIONS-CHECKLIST-V1.0.xlsx</w:t>
            </w:r>
          </w:p>
        </w:tc>
      </w:tr>
      <w:tr>
        <w:trPr>
          <w:cantSplit/>
        </w:trPr>
        <w:tc>
          <w:tcPr>
            <w:tcW w:type="dxa" w:w="636"/>
          </w:tcPr>
          <w:p>
            <w:r>
              <w:rPr>
                <w:sz w:val="17"/>
              </w:rPr>
            </w:r>
            <w:r>
              <w:rPr>
                <w:sz w:val="17"/>
              </w:rPr>
              <w:t>QP-06</w:t>
            </w:r>
          </w:p>
        </w:tc>
        <w:tc>
          <w:tcPr>
            <w:tcW w:type="dxa" w:w="2932"/>
          </w:tcPr>
          <w:p>
            <w:r>
              <w:rPr>
                <w:sz w:val="17"/>
              </w:rPr>
            </w:r>
            <w:r>
              <w:rPr>
                <w:sz w:val="17"/>
              </w:rPr>
              <w:t>Sustainability ratings (Estidama, Al Sa'fat, LEED)</w:t>
            </w:r>
          </w:p>
        </w:tc>
        <w:tc>
          <w:tcPr>
            <w:tcW w:type="dxa" w:w="1639"/>
          </w:tcPr>
          <w:p>
            <w:r>
              <w:rPr>
                <w:sz w:val="17"/>
              </w:rPr>
            </w:r>
            <w:r>
              <w:rPr>
                <w:sz w:val="17"/>
              </w:rPr>
              <w:t>Sustainability lead /​ PQP</w:t>
            </w:r>
          </w:p>
        </w:tc>
        <w:tc>
          <w:tcPr>
            <w:tcW w:type="dxa" w:w="5259"/>
          </w:tcPr>
          <w:p>
            <w:r>
              <w:rPr>
                <w:sz w:val="17"/>
              </w:rPr>
            </w:r>
            <w:r>
              <w:rPr>
                <w:sz w:val="17"/>
              </w:rPr>
              <w:t>05-SUSTAINABILITY/​BBM-STD-97-SUSTAINABILITY-CHECKLIST-V1.0.xlsx</w:t>
            </w:r>
          </w:p>
        </w:tc>
      </w:tr>
      <w:tr>
        <w:trPr>
          <w:cantSplit/>
        </w:trPr>
        <w:tc>
          <w:tcPr>
            <w:tcW w:type="dxa" w:w="636"/>
          </w:tcPr>
          <w:p>
            <w:r>
              <w:rPr>
                <w:sz w:val="17"/>
              </w:rPr>
            </w:r>
            <w:r>
              <w:rPr>
                <w:sz w:val="17"/>
              </w:rPr>
              <w:t>QP-07</w:t>
            </w:r>
          </w:p>
        </w:tc>
        <w:tc>
          <w:tcPr>
            <w:tcW w:type="dxa" w:w="2932"/>
          </w:tcPr>
          <w:p>
            <w:r>
              <w:rPr>
                <w:sz w:val="17"/>
              </w:rPr>
            </w:r>
            <w:r>
              <w:rPr>
                <w:sz w:val="17"/>
              </w:rPr>
              <w:t>Authority submissions</w:t>
            </w:r>
          </w:p>
        </w:tc>
        <w:tc>
          <w:tcPr>
            <w:tcW w:type="dxa" w:w="1639"/>
          </w:tcPr>
          <w:p>
            <w:r>
              <w:rPr>
                <w:sz w:val="17"/>
              </w:rPr>
            </w:r>
            <w:r>
              <w:rPr>
                <w:sz w:val="17"/>
              </w:rPr>
              <w:t>Authority liaison</w:t>
            </w:r>
          </w:p>
        </w:tc>
        <w:tc>
          <w:tcPr>
            <w:tcW w:type="dxa" w:w="5259"/>
          </w:tcPr>
          <w:p>
            <w:r>
              <w:rPr>
                <w:sz w:val="17"/>
              </w:rPr>
            </w:r>
            <w:r>
              <w:rPr>
                <w:sz w:val="17"/>
              </w:rPr>
              <w:t>06-SUBMISSIONS/​BBM-STD-97-AUTHORITY-SUBMISSIONS-CHECKLIST-V1.0.xlsx</w:t>
            </w:r>
          </w:p>
        </w:tc>
      </w:tr>
      <w:tr>
        <w:trPr>
          <w:cantSplit/>
        </w:trPr>
        <w:tc>
          <w:tcPr>
            <w:tcW w:type="dxa" w:w="636"/>
          </w:tcPr>
          <w:p>
            <w:r>
              <w:rPr>
                <w:sz w:val="17"/>
              </w:rPr>
            </w:r>
            <w:r>
              <w:rPr>
                <w:sz w:val="17"/>
              </w:rPr>
              <w:t>QP-08</w:t>
            </w:r>
          </w:p>
        </w:tc>
        <w:tc>
          <w:tcPr>
            <w:tcW w:type="dxa" w:w="2932"/>
          </w:tcPr>
          <w:p>
            <w:r>
              <w:rPr>
                <w:sz w:val="17"/>
              </w:rPr>
            </w:r>
            <w:r>
              <w:rPr>
                <w:sz w:val="17"/>
              </w:rPr>
              <w:t>Drawing and model issue</w:t>
            </w:r>
          </w:p>
        </w:tc>
        <w:tc>
          <w:tcPr>
            <w:tcW w:type="dxa" w:w="1639"/>
          </w:tcPr>
          <w:p>
            <w:r>
              <w:rPr>
                <w:sz w:val="17"/>
              </w:rPr>
            </w:r>
            <w:r>
              <w:rPr>
                <w:sz w:val="17"/>
              </w:rPr>
              <w:t>Information manager</w:t>
            </w:r>
          </w:p>
        </w:tc>
        <w:tc>
          <w:tcPr>
            <w:tcW w:type="dxa" w:w="5259"/>
          </w:tcPr>
          <w:p>
            <w:r>
              <w:rPr>
                <w:sz w:val="17"/>
              </w:rPr>
            </w:r>
            <w:r>
              <w:rPr>
                <w:sz w:val="17"/>
              </w:rPr>
              <w:t>01-BIM/​BBM-STD-68-CHECKLIST-V1.0.xlsx</w:t>
            </w:r>
          </w:p>
        </w:tc>
      </w:tr>
      <w:tr>
        <w:trPr>
          <w:cantSplit/>
        </w:trPr>
        <w:tc>
          <w:tcPr>
            <w:tcW w:type="dxa" w:w="636"/>
          </w:tcPr>
          <w:p>
            <w:r>
              <w:rPr>
                <w:sz w:val="17"/>
              </w:rPr>
            </w:r>
            <w:r>
              <w:rPr>
                <w:sz w:val="17"/>
              </w:rPr>
              <w:t>QP-09</w:t>
            </w:r>
          </w:p>
        </w:tc>
        <w:tc>
          <w:tcPr>
            <w:tcW w:type="dxa" w:w="2932"/>
          </w:tcPr>
          <w:p>
            <w:r>
              <w:rPr>
                <w:sz w:val="17"/>
              </w:rPr>
            </w:r>
            <w:r>
              <w:rPr>
                <w:sz w:val="17"/>
              </w:rPr>
              <w:t>Site supervision and inspections</w:t>
            </w:r>
          </w:p>
        </w:tc>
        <w:tc>
          <w:tcPr>
            <w:tcW w:type="dxa" w:w="1639"/>
          </w:tcPr>
          <w:p>
            <w:r>
              <w:rPr>
                <w:sz w:val="17"/>
              </w:rPr>
            </w:r>
            <w:r>
              <w:rPr>
                <w:sz w:val="17"/>
              </w:rPr>
              <w:t>Supervising engineer</w:t>
            </w:r>
          </w:p>
        </w:tc>
        <w:tc>
          <w:tcPr>
            <w:tcW w:type="dxa" w:w="5259"/>
          </w:tcPr>
          <w:p>
            <w:r>
              <w:rPr>
                <w:sz w:val="17"/>
              </w:rPr>
            </w:r>
            <w:r>
              <w:rPr>
                <w:sz w:val="17"/>
              </w:rPr>
              <w:t>07-SUPERVISION/​BBM-STD-97-SITE-SUPERVISION-CHECKLIST-V1.0.xlsx</w:t>
            </w:r>
          </w:p>
        </w:tc>
      </w:tr>
      <w:tr>
        <w:trPr>
          <w:cantSplit/>
        </w:trPr>
        <w:tc>
          <w:tcPr>
            <w:tcW w:type="dxa" w:w="636"/>
          </w:tcPr>
          <w:p>
            <w:r>
              <w:rPr>
                <w:sz w:val="17"/>
              </w:rPr>
            </w:r>
            <w:r>
              <w:rPr>
                <w:sz w:val="17"/>
              </w:rPr>
              <w:t>QP-10</w:t>
            </w:r>
          </w:p>
        </w:tc>
        <w:tc>
          <w:tcPr>
            <w:tcW w:type="dxa" w:w="2932"/>
          </w:tcPr>
          <w:p>
            <w:r>
              <w:rPr>
                <w:sz w:val="17"/>
              </w:rPr>
            </w:r>
            <w:r>
              <w:rPr>
                <w:sz w:val="17"/>
              </w:rPr>
              <w:t>Document control, transmittals and records</w:t>
            </w:r>
          </w:p>
        </w:tc>
        <w:tc>
          <w:tcPr>
            <w:tcW w:type="dxa" w:w="1639"/>
          </w:tcPr>
          <w:p>
            <w:r>
              <w:rPr>
                <w:sz w:val="17"/>
              </w:rPr>
            </w:r>
            <w:r>
              <w:rPr>
                <w:sz w:val="17"/>
              </w:rPr>
              <w:t>Document controller</w:t>
            </w:r>
          </w:p>
        </w:tc>
        <w:tc>
          <w:tcPr>
            <w:tcW w:type="dxa" w:w="5259"/>
          </w:tcPr>
          <w:p>
            <w:r>
              <w:rPr>
                <w:sz w:val="17"/>
              </w:rPr>
            </w:r>
            <w:r>
              <w:rPr>
                <w:sz w:val="17"/>
              </w:rPr>
              <w:t>08-DOCUMENT-CONTROL/​BBM-STD-97-DOCUMENT-CONTROL-CHECKLIST-V1.0.xlsx</w:t>
            </w:r>
          </w:p>
        </w:tc>
      </w:tr>
      <w:tr>
        <w:trPr>
          <w:cantSplit/>
        </w:trPr>
        <w:tc>
          <w:tcPr>
            <w:tcW w:type="dxa" w:w="636"/>
          </w:tcPr>
          <w:p>
            <w:r>
              <w:rPr>
                <w:sz w:val="17"/>
              </w:rPr>
            </w:r>
            <w:r>
              <w:rPr>
                <w:sz w:val="17"/>
              </w:rPr>
              <w:t>QP-11</w:t>
            </w:r>
          </w:p>
        </w:tc>
        <w:tc>
          <w:tcPr>
            <w:tcW w:type="dxa" w:w="2932"/>
          </w:tcPr>
          <w:p>
            <w:r>
              <w:rPr>
                <w:sz w:val="17"/>
              </w:rPr>
            </w:r>
            <w:r>
              <w:rPr>
                <w:sz w:val="17"/>
              </w:rPr>
              <w:t>Nonconformity, corrective action and lessons learned</w:t>
            </w:r>
          </w:p>
        </w:tc>
        <w:tc>
          <w:tcPr>
            <w:tcW w:type="dxa" w:w="1639"/>
          </w:tcPr>
          <w:p>
            <w:r>
              <w:rPr>
                <w:sz w:val="17"/>
              </w:rPr>
            </w:r>
            <w:r>
              <w:rPr>
                <w:sz w:val="17"/>
              </w:rPr>
              <w:t>QA/​QC lead</w:t>
            </w:r>
          </w:p>
        </w:tc>
        <w:tc>
          <w:tcPr>
            <w:tcW w:type="dxa" w:w="5259"/>
          </w:tcPr>
          <w:p>
            <w:r>
              <w:rPr>
                <w:sz w:val="17"/>
              </w:rPr>
            </w:r>
            <w:r>
              <w:rPr>
                <w:sz w:val="17"/>
              </w:rPr>
              <w:t>09-AUDIT (NC)</w:t>
            </w:r>
          </w:p>
        </w:tc>
      </w:tr>
      <w:tr>
        <w:trPr>
          <w:cantSplit/>
        </w:trPr>
        <w:tc>
          <w:tcPr>
            <w:tcW w:type="dxa" w:w="636"/>
          </w:tcPr>
          <w:p>
            <w:r>
              <w:rPr>
                <w:sz w:val="17"/>
              </w:rPr>
            </w:r>
            <w:r>
              <w:rPr>
                <w:sz w:val="17"/>
              </w:rPr>
              <w:t>QP-12</w:t>
            </w:r>
          </w:p>
        </w:tc>
        <w:tc>
          <w:tcPr>
            <w:tcW w:type="dxa" w:w="2932"/>
          </w:tcPr>
          <w:p>
            <w:r>
              <w:rPr>
                <w:sz w:val="17"/>
              </w:rPr>
            </w:r>
            <w:r>
              <w:rPr>
                <w:sz w:val="17"/>
              </w:rPr>
              <w:t>Client feedback and complaints</w:t>
            </w:r>
          </w:p>
        </w:tc>
        <w:tc>
          <w:tcPr>
            <w:tcW w:type="dxa" w:w="1639"/>
          </w:tcPr>
          <w:p>
            <w:r>
              <w:rPr>
                <w:sz w:val="17"/>
              </w:rPr>
            </w:r>
            <w:r>
              <w:rPr>
                <w:sz w:val="17"/>
              </w:rPr>
              <w:t>Practice director</w:t>
            </w:r>
          </w:p>
        </w:tc>
        <w:tc>
          <w:tcPr>
            <w:tcW w:type="dxa" w:w="5259"/>
          </w:tcPr>
          <w:p>
            <w:r>
              <w:rPr>
                <w:sz w:val="17"/>
              </w:rPr>
            </w:r>
            <w:r>
              <w:rPr>
                <w:sz w:val="17"/>
              </w:rPr>
              <w:t>09-AUDIT (CF)</w:t>
            </w:r>
          </w:p>
        </w:tc>
      </w:tr>
      <w:tr>
        <w:trPr>
          <w:cantSplit/>
        </w:trPr>
        <w:tc>
          <w:tcPr>
            <w:tcW w:type="dxa" w:w="636"/>
          </w:tcPr>
          <w:p>
            <w:r>
              <w:rPr>
                <w:sz w:val="17"/>
              </w:rPr>
            </w:r>
            <w:r>
              <w:rPr>
                <w:sz w:val="17"/>
              </w:rPr>
              <w:t>QP-13</w:t>
            </w:r>
          </w:p>
        </w:tc>
        <w:tc>
          <w:tcPr>
            <w:tcW w:type="dxa" w:w="2932"/>
          </w:tcPr>
          <w:p>
            <w:r>
              <w:rPr>
                <w:sz w:val="17"/>
              </w:rPr>
            </w:r>
            <w:r>
              <w:rPr>
                <w:sz w:val="17"/>
              </w:rPr>
              <w:t>Internal audit</w:t>
            </w:r>
          </w:p>
        </w:tc>
        <w:tc>
          <w:tcPr>
            <w:tcW w:type="dxa" w:w="1639"/>
          </w:tcPr>
          <w:p>
            <w:r>
              <w:rPr>
                <w:sz w:val="17"/>
              </w:rPr>
            </w:r>
            <w:r>
              <w:rPr>
                <w:sz w:val="17"/>
              </w:rPr>
              <w:t>QA/​QC lead</w:t>
            </w:r>
          </w:p>
        </w:tc>
        <w:tc>
          <w:tcPr>
            <w:tcW w:type="dxa" w:w="5259"/>
          </w:tcPr>
          <w:p>
            <w:r>
              <w:rPr>
                <w:sz w:val="17"/>
              </w:rPr>
            </w:r>
            <w:r>
              <w:rPr>
                <w:sz w:val="17"/>
              </w:rPr>
              <w:t>09-AUDIT (IA)</w:t>
            </w:r>
          </w:p>
        </w:tc>
      </w:tr>
      <w:tr>
        <w:trPr>
          <w:cantSplit/>
        </w:trPr>
        <w:tc>
          <w:tcPr>
            <w:tcW w:type="dxa" w:w="636"/>
          </w:tcPr>
          <w:p>
            <w:r>
              <w:rPr>
                <w:sz w:val="17"/>
              </w:rPr>
            </w:r>
            <w:r>
              <w:rPr>
                <w:sz w:val="17"/>
              </w:rPr>
              <w:t>QP-14</w:t>
            </w:r>
          </w:p>
        </w:tc>
        <w:tc>
          <w:tcPr>
            <w:tcW w:type="dxa" w:w="2932"/>
          </w:tcPr>
          <w:p>
            <w:r>
              <w:rPr>
                <w:sz w:val="17"/>
              </w:rPr>
            </w:r>
            <w:r>
              <w:rPr>
                <w:sz w:val="17"/>
              </w:rPr>
              <w:t>Management review</w:t>
            </w:r>
          </w:p>
        </w:tc>
        <w:tc>
          <w:tcPr>
            <w:tcW w:type="dxa" w:w="1639"/>
          </w:tcPr>
          <w:p>
            <w:r>
              <w:rPr>
                <w:sz w:val="17"/>
              </w:rPr>
            </w:r>
            <w:r>
              <w:rPr>
                <w:sz w:val="17"/>
              </w:rPr>
              <w:t>Practice director</w:t>
            </w:r>
          </w:p>
        </w:tc>
        <w:tc>
          <w:tcPr>
            <w:tcW w:type="dxa" w:w="5259"/>
          </w:tcPr>
          <w:p>
            <w:r>
              <w:rPr>
                <w:sz w:val="17"/>
              </w:rPr>
            </w:r>
            <w:r>
              <w:rPr>
                <w:sz w:val="17"/>
              </w:rPr>
              <w:t>09-AUDIT (MR, KPI register)</w:t>
            </w:r>
          </w:p>
        </w:tc>
      </w:tr>
      <w:tr>
        <w:trPr>
          <w:cantSplit/>
        </w:trPr>
        <w:tc>
          <w:tcPr>
            <w:tcW w:type="dxa" w:w="636"/>
          </w:tcPr>
          <w:p>
            <w:r>
              <w:rPr>
                <w:sz w:val="17"/>
              </w:rPr>
            </w:r>
            <w:r>
              <w:rPr>
                <w:sz w:val="17"/>
              </w:rPr>
              <w:t>QP-15</w:t>
            </w:r>
          </w:p>
        </w:tc>
        <w:tc>
          <w:tcPr>
            <w:tcW w:type="dxa" w:w="2932"/>
          </w:tcPr>
          <w:p>
            <w:r>
              <w:rPr>
                <w:sz w:val="17"/>
              </w:rPr>
            </w:r>
            <w:r>
              <w:rPr>
                <w:sz w:val="17"/>
              </w:rPr>
              <w:t>Subconsultants and suppliers</w:t>
            </w:r>
          </w:p>
        </w:tc>
        <w:tc>
          <w:tcPr>
            <w:tcW w:type="dxa" w:w="1639"/>
          </w:tcPr>
          <w:p>
            <w:r>
              <w:rPr>
                <w:sz w:val="17"/>
              </w:rPr>
            </w:r>
            <w:r>
              <w:rPr>
                <w:sz w:val="17"/>
              </w:rPr>
              <w:t>Practice director</w:t>
            </w:r>
          </w:p>
        </w:tc>
        <w:tc>
          <w:tcPr>
            <w:tcW w:type="dxa" w:w="5259"/>
          </w:tcPr>
          <w:p>
            <w:r>
              <w:rPr>
                <w:sz w:val="17"/>
              </w:rPr>
            </w:r>
            <w:r>
              <w:rPr>
                <w:sz w:val="17"/>
              </w:rPr>
              <w:t>03-PROPOSALS (SC)</w:t>
            </w:r>
          </w:p>
        </w:tc>
      </w:tr>
    </w:tbl>
    <w:p/>
    <w:p>
      <w:pPr>
        <w:pStyle w:val="Heading1"/>
      </w:pPr>
      <w:r>
        <w:t>QP-01 Proposals go/no-go and contract review</w:t>
      </w:r>
    </w:p>
    <w:p>
      <w:pPr/>
      <w:r>
        <w:rPr>
          <w:b/>
        </w:rPr>
        <w:t>§1 Purpose.</w:t>
      </w:r>
      <w:r>
        <w:t xml:space="preserve"> Commit only to work the office can deliver well, with requirements, scope, risk and terms understood and accepted before signature (ISO 9001:2026 8.2).</w:t>
      </w:r>
    </w:p>
    <w:p>
      <w:pPr/>
      <w:r>
        <w:rPr>
          <w:b/>
        </w:rPr>
        <w:t>§2 Scope and roles.</w:t>
      </w:r>
      <w:r>
        <w:t xml:space="preserve"> Every enquiry, RFP, fee proposal, renewal and change of scope. Practice director: A for go/no-go and signature. Project director: R for scope, programme and resources. Discipline leads: C for their scope and subconsultant needs. Authority liaison: C for statutory routes.</w:t>
      </w:r>
    </w:p>
    <w:p>
      <w:pPr/>
      <w:r>
        <w:rPr>
          <w:b/>
        </w:rPr>
        <w:t>§3 Go/no-go.</w:t>
      </w:r>
      <w:r>
        <w:t xml:space="preserve"> Within 3 working days of the enquiry, complete sheet GO: client identity and authority, fit with the office classification (DM/DMT categories), capacity, funding and plot status, ethics and conflicts, selection basis. The director records Go, No-go or Go with conditions and the reason (GO-07). Declining is a valid outcome and is logged.</w:t>
      </w:r>
    </w:p>
    <w:p>
      <w:pPr/>
      <w:r>
        <w:rPr>
          <w:b/>
        </w:rPr>
        <w:t>§4 Requirements and scope.</w:t>
      </w:r>
      <w:r>
        <w:t xml:space="preserve"> Register every enquiry document and addendum. Build the scope matrix per RIBA stage 0-7 and discipline, with exclusions; include supervision (visit frequency, resident staff, certificates), statutory duties found by the jurisdiction test of </w:t>
      </w:r>
      <w:r>
        <w:rPr>
          <w:color w:val="9A7B45"/>
          <w:u w:val="single"/>
        </w:rPr>
        <w:t>BBM-STD-85</w:t>
      </w:r>
      <w:r>
        <w:t xml:space="preserve"> §2 (permits, green rating, Civil Defence, BIM permit) and the information requirements (EIR, BEP, CDE, handover; </w:t>
      </w:r>
      <w:r>
        <w:rPr>
          <w:color w:val="9A7B45"/>
          <w:u w:val="single"/>
        </w:rPr>
        <w:t>BBM-STD-54</w:t>
      </w:r>
      <w:r>
        <w:t xml:space="preserve">, </w:t>
      </w:r>
      <w:r>
        <w:rPr>
          <w:color w:val="9A7B45"/>
          <w:u w:val="single"/>
        </w:rPr>
        <w:t>BBM-STD-10</w:t>
      </w:r>
      <w:r>
        <w:t>). Sheet CR-01 to CR-05.</w:t>
      </w:r>
    </w:p>
    <w:p>
      <w:pPr/>
      <w:r>
        <w:rPr>
          <w:b/>
        </w:rPr>
        <w:t>§5 Contract review.</w:t>
      </w:r>
      <w:r>
        <w:t xml:space="preserve"> Review the appointment form (FIDIC White Book or client form) against office terms: liability cap, decennial liability (UAE Civil Transactions Law (register ED-UAE-CTL in </w:t>
      </w:r>
      <w:r>
        <w:rPr>
          <w:color w:val="9A7B45"/>
          <w:u w:val="single"/>
        </w:rPr>
        <w:t>BBM-STD-51</w:t>
      </w:r>
      <w:r>
        <w:t xml:space="preserve"> §3: Art. 821 of Federal Decree-Law 25 of 2025; Art. 880 of Federal Law 5/1985 for contracts signed before 1 June 2026); cannot be excluded), insurance, payment and suspension, programme and extension for delays outside office control, IP and confidentiality, change mechanism, and coordination of the consultant role with the construction contract (certificates, submittals, variations). Unacceptable clauses go to the legal adviser before signature. Sheet CR-06 to CR-12.</w:t>
      </w:r>
    </w:p>
    <w:p>
      <w:pPr/>
      <w:r>
        <w:rPr>
          <w:b/>
        </w:rPr>
        <w:t>§6 Fee basis.</w:t>
      </w:r>
      <w:r>
        <w:t xml:space="preserve"> Build the fee from hours by role and stage, subconsultant quotations and stated inclusions/exclusions; the director reviews it against the risk rating. Fee figures stay in the office commercial file; the checklist records only that the review happened (FE-05).</w:t>
      </w:r>
    </w:p>
    <w:p>
      <w:pPr/>
      <w:r>
        <w:rPr>
          <w:b/>
        </w:rPr>
        <w:t>§7 Bid risk.</w:t>
      </w:r>
      <w:r>
        <w:t xml:space="preserve"> Prepare the bid risk register with risks and, separately, opportunities (ISO 9001:2026 6.1.2/6.1.3), on the Manual 1-5 scale; high risks (15-25) are treated or accepted by the director before submission. At award the register passes into the project quality plan (QP-02). Sheet RK.</w:t>
      </w:r>
    </w:p>
    <w:p>
      <w:pPr/>
      <w:r>
        <w:rPr>
          <w:b/>
        </w:rPr>
        <w:t>§8 Proposal QA and issue.</w:t>
      </w:r>
      <w:r>
        <w:t xml:space="preserve"> Compliance matrix against every RFP clause; team, CVs and references checked; quality statements match the actual QMS status (no certification claim without a valid certificate); office template and design system (</w:t>
      </w:r>
      <w:r>
        <w:rPr>
          <w:color w:val="9A7B45"/>
          <w:u w:val="single"/>
        </w:rPr>
        <w:t>BBM-STD-95</w:t>
      </w:r>
      <w:r>
        <w:t>); second-person check and director approval; issue with a transmittal (QP-10). Record the win/loss outcome and debrief within 30 days for QP-11 lessons. Sheet PQ.</w:t>
      </w:r>
    </w:p>
    <w:p>
      <w:pPr/>
      <w:r>
        <w:rPr>
          <w:b/>
        </w:rPr>
        <w:t>§9 Records.</w:t>
      </w:r>
      <w:r>
        <w:t xml:space="preserve"> Signed proposals checklist; bid risk register; scope matrix; contract review comments; final proposal and transmittal; outcome. KPIs K-PR-01 to 03.</w:t>
      </w:r>
    </w:p>
    <w:p>
      <w:pPr/>
      <w:r>
        <w:t>References: ISO 9001:2026 8.2; AIA Best Practices go/no-go and contract review; FIDIC quality guidance and QBS paper; RIBA Plan of Work 2020; UAE Civil Transactions Law (ED-UAE-CTL).</w:t>
      </w:r>
    </w:p>
    <w:p>
      <w:pPr>
        <w:pStyle w:val="Heading1"/>
      </w:pPr>
      <w:r>
        <w:t>QP-02 Project quality plan</w:t>
      </w:r>
    </w:p>
    <w:p>
      <w:pPr/>
      <w:r>
        <w:rPr>
          <w:b/>
        </w:rPr>
        <w:t>§1 Purpose.</w:t>
      </w:r>
      <w:r>
        <w:t xml:space="preserve"> Plan how one project meets its requirements: the quality plan applies the office QMS to the project (ISO 9001:2026 8.1, ISO 10005, ISO 10006).</w:t>
      </w:r>
    </w:p>
    <w:p>
      <w:pPr/>
      <w:r>
        <w:rPr>
          <w:b/>
        </w:rPr>
        <w:t>§2 Scope and roles.</w:t>
      </w:r>
      <w:r>
        <w:t xml:space="preserve"> Every appointed project, issued within 4 weeks of appointment (</w:t>
      </w:r>
      <w:r>
        <w:rPr>
          <w:color w:val="9A7B45"/>
          <w:u w:val="single"/>
        </w:rPr>
        <w:t>O-DEC-152</w:t>
      </w:r>
      <w:r>
        <w:t>) and revised at each stage gate. Project director: A and approver. Project manager: R. QA/QC lead and BIM Manager: C.</w:t>
      </w:r>
    </w:p>
    <w:p>
      <w:pPr/>
      <w:r>
        <w:rPr>
          <w:b/>
        </w:rPr>
        <w:t>§3 Content.</w:t>
      </w:r>
      <w:r>
        <w:t xml:space="preserve"> One short document (not a copy of the office procedures): project scope and stages; organisation and named roles (from the Directory); client and statutory requirements (link the BoD, </w:t>
      </w:r>
      <w:r>
        <w:rPr>
          <w:color w:val="9A7B45"/>
          <w:u w:val="single"/>
        </w:rPr>
        <w:t>BBM-STD-12</w:t>
      </w:r>
      <w:r>
        <w:t xml:space="preserve">); the procedures that apply and any project-specific deviation; the review and inspection schedule per stage (which checklists, tier L1/L2/L3, reviewer, timing before each issue); the information quality plan by link to the BEP and the </w:t>
      </w:r>
      <w:r>
        <w:rPr>
          <w:color w:val="9A7B45"/>
          <w:u w:val="single"/>
        </w:rPr>
        <w:t>BBM-STD-68</w:t>
      </w:r>
      <w:r>
        <w:t xml:space="preserve"> QMP (IDs and revisions, not repeated); the risk and opportunity register from QP-01; subconsultants and their control (QP-15); records and their location; KPIs reported for the project.</w:t>
      </w:r>
    </w:p>
    <w:p>
      <w:pPr/>
      <w:r>
        <w:rPr>
          <w:b/>
        </w:rPr>
        <w:t>§4 Start-up.</w:t>
      </w:r>
      <w:r>
        <w:t xml:space="preserve"> Review lessons from similar past projects (QP-11) and record those applied.</w:t>
      </w:r>
    </w:p>
    <w:p>
      <w:pPr/>
      <w:r>
        <w:rPr>
          <w:b/>
        </w:rPr>
        <w:t>§5 Change.</w:t>
      </w:r>
      <w:r>
        <w:t xml:space="preserve"> A change to scope, team, programme or requirements updates the plan with a ChangeID, and the affected disciplines are told.</w:t>
      </w:r>
    </w:p>
    <w:p>
      <w:pPr/>
      <w:r>
        <w:rPr>
          <w:b/>
        </w:rPr>
        <w:t>§6 Records.</w:t>
      </w:r>
      <w:r>
        <w:t xml:space="preserve"> Approved PQP with revision history. Checklist: 09-AUDIT sheet QP. KPI K-PQ-01.</w:t>
      </w:r>
    </w:p>
    <w:p>
      <w:pPr/>
      <w:r>
        <w:t>References: ISO 10005:2018; ISO 10006:2017; RIBA Stage 1 checklist (establish project quality management procedures, RIBA Quality Management Toolkit); ISO 19650-2 cl. 5.3 (BEP).</w:t>
      </w:r>
    </w:p>
    <w:p>
      <w:pPr>
        <w:pStyle w:val="Heading1"/>
      </w:pPr>
      <w:r>
        <w:t>QP-03 Design review and verification per discipline</w:t>
      </w:r>
    </w:p>
    <w:p>
      <w:pPr/>
      <w:r>
        <w:rPr>
          <w:b/>
        </w:rPr>
        <w:t>§1 Purpose.</w:t>
      </w:r>
      <w:r>
        <w:t xml:space="preserve"> Make sure every design output meets its inputs (brief, BoD, codes, calculations) and is checked by a competent person who did not produce it, before it is shared (ISO 9001:2026 8.3.4).</w:t>
      </w:r>
    </w:p>
    <w:p>
      <w:pPr/>
      <w:r>
        <w:rPr>
          <w:b/>
        </w:rPr>
        <w:t>§2 Scope and roles.</w:t>
      </w:r>
      <w:r>
        <w:t xml:space="preserve"> Every package of ARC, INT, LSC, STR, MEC/PLU/ELE and FLS at every issue and stage gate, including subconsultant packages. Discipline lead: A/R for L1. Project director: A for the gate. Lead design consultant: L2. Design/quality committee: L3 at stage gates of complex or high-risk projects.</w:t>
      </w:r>
    </w:p>
    <w:p>
      <w:pPr/>
      <w:r>
        <w:rPr>
          <w:b/>
        </w:rPr>
        <w:t>§3 Inputs.</w:t>
      </w:r>
      <w:r>
        <w:t xml:space="preserve"> The reviewer works from the current brief and BoD, the code editions in the </w:t>
      </w:r>
      <w:r>
        <w:rPr>
          <w:color w:val="9A7B45"/>
          <w:u w:val="single"/>
        </w:rPr>
        <w:t>BBM-STD-51</w:t>
      </w:r>
      <w:r>
        <w:t xml:space="preserve"> §3 edition register and the jurisdiction record (BBM-STD-57 §2), the previous review comments and the change log. Sheet GN-01/02.</w:t>
      </w:r>
    </w:p>
    <w:p>
      <w:pPr/>
      <w:r>
        <w:rPr>
          <w:b/>
        </w:rPr>
        <w:t>§4 Review tiers and independence.</w:t>
      </w:r>
      <w:r>
        <w:t xml:space="preserve"> L1 discipline review inside the task team before every issue; L2 cross-discipline review (QP-04) before every coordinated issue and gate; L3 committee review at Stage 2, 3 and 4 gates where the project quality plan requires it. Author and checker are different competent people (BBM-STD-55 §2); a small team does not waive the check. GN-03/04.</w:t>
      </w:r>
    </w:p>
    <w:p>
      <w:pPr/>
      <w:r>
        <w:rPr>
          <w:b/>
        </w:rPr>
        <w:t>§5 Comments.</w:t>
      </w:r>
      <w:r>
        <w:t xml:space="preserve"> Every comment is logged with reference, reviewer, response, status and closing revision. No comment is silently dropped; open items are carried with owner and date. GN-05.</w:t>
      </w:r>
    </w:p>
    <w:p>
      <w:pPr/>
      <w:r>
        <w:rPr>
          <w:b/>
        </w:rPr>
        <w:t>§6 Verification.</w:t>
      </w:r>
      <w:r>
        <w:t xml:space="preserve"> Calculations exist for every sized element and are checked independently (author, checker, inputs, code edition); drawings, schedules and specification agree on sampled items. Discipline sheets AR, IN, LS, ST, MP, FL hold the discipline checks (planning compliance, accessibility, envelope; finishes and joinery; levels, planting and irrigation; structural basis, analysis and openings; loads, ventilation, energy, water, utilities; fire strategy, means of escape, compartmentation, systems, facade, access). GN-06/07.</w:t>
      </w:r>
    </w:p>
    <w:p>
      <w:pPr/>
      <w:r>
        <w:rPr>
          <w:b/>
        </w:rPr>
        <w:t>§7 Design change.</w:t>
      </w:r>
      <w:r>
        <w:t xml:space="preserve"> Every change since the last issue is listed with reason, approver and the disciplines told; changes affecting an approved authority submission go back through QP-07. GN-08.</w:t>
      </w:r>
    </w:p>
    <w:p>
      <w:pPr/>
      <w:r>
        <w:rPr>
          <w:b/>
        </w:rPr>
        <w:t>§8 Records.</w:t>
      </w:r>
      <w:r>
        <w:t xml:space="preserve"> Signed design review checklist per package and revision, comment sheets, calculation check records. BIM and drawing-output checks are recorded in the BIM checklist (QP-08), referenced at GN-11. KPIs K-DR-01/02.</w:t>
      </w:r>
    </w:p>
    <w:p>
      <w:pPr/>
      <w:r>
        <w:t>References: ISO 9001:2026 8.3; AIA Best Practices (working drawings QC, design development quality); Port Authority NY&amp;NJ architectural QC checklist (2026); Dubai Building Code 2021; Estidama PBRS; Al Sa'fat 2nd edition; BBM-STD-58 to 62.</w:t>
      </w:r>
    </w:p>
    <w:p>
      <w:pPr>
        <w:pStyle w:val="Heading1"/>
      </w:pPr>
      <w:r>
        <w:t>QP-04 Interdisciplinary coordination and constructability</w:t>
      </w:r>
    </w:p>
    <w:p>
      <w:pPr/>
      <w:r>
        <w:rPr>
          <w:b/>
        </w:rPr>
        <w:t>§1 Purpose.</w:t>
      </w:r>
      <w:r>
        <w:t xml:space="preserve"> One consistent design across disciplines, buildable, biddable and maintainable.</w:t>
      </w:r>
    </w:p>
    <w:p>
      <w:pPr/>
      <w:r>
        <w:rPr>
          <w:b/>
        </w:rPr>
        <w:t>§2 Scope and roles.</w:t>
      </w:r>
      <w:r>
        <w:t xml:space="preserve"> Every coordinated issue from Stage 2. Lead design consultant: A/R. Discipline leads: R. BIM coordinator: R for the federated model and clash runs (</w:t>
      </w:r>
      <w:r>
        <w:rPr>
          <w:color w:val="9A7B45"/>
          <w:u w:val="single"/>
        </w:rPr>
        <w:t>BBM-STD-50</w:t>
      </w:r>
      <w:r>
        <w:t xml:space="preserve">, </w:t>
      </w:r>
      <w:r>
        <w:rPr>
          <w:color w:val="9A7B45"/>
          <w:u w:val="single"/>
        </w:rPr>
        <w:t>BBM-STD-64</w:t>
      </w:r>
      <w:r>
        <w:t>). A construction-experienced reviewer (in-house or appointed): R for constructability.</w:t>
      </w:r>
    </w:p>
    <w:p>
      <w:pPr/>
      <w:r>
        <w:rPr>
          <w:b/>
        </w:rPr>
        <w:t>§3 Coordination cycle.</w:t>
      </w:r>
      <w:r>
        <w:t xml:space="preserve"> Before each coordinated issue: shared grids, levels and coordinates (</w:t>
      </w:r>
      <w:r>
        <w:rPr>
          <w:color w:val="9A7B45"/>
          <w:u w:val="single"/>
        </w:rPr>
        <w:t>BBM-STD-86</w:t>
      </w:r>
      <w:r>
        <w:t>); every discipline on the current revisions of the others; shafts, plant rooms and ceiling zones agreed; builders-work openings issued by MEP and approved by STR; fire lines identical on ARC, MEP and FLS; door and hardware interfaces with ELV/FLS; clash test per the matrix with no open S1; one specification numbering scheme. Sheet CO.</w:t>
      </w:r>
    </w:p>
    <w:p>
      <w:pPr/>
      <w:r>
        <w:rPr>
          <w:b/>
        </w:rPr>
        <w:t>§4 Interface matrix.</w:t>
      </w:r>
      <w:r>
        <w:t xml:space="preserve"> The lead design consultant keeps the interface list (ARC/STR/MEP/FLS/INT/LSC and specialists) and walks it in each coordination meeting; each open item has an owner and date.</w:t>
      </w:r>
    </w:p>
    <w:p>
      <w:pPr/>
      <w:r>
        <w:rPr>
          <w:b/>
        </w:rPr>
        <w:t>§5 Constructability.</w:t>
      </w:r>
      <w:r>
        <w:t xml:space="preserve"> At the end of Stage 3 and before tender: buildability with local methods and skills, sequence and logistics, tolerances and movement joints, long-lead items, contractor-designed portions with performance requirements, maintenance access, and biddable documents. Sheet CB.</w:t>
      </w:r>
    </w:p>
    <w:p>
      <w:pPr/>
      <w:r>
        <w:rPr>
          <w:b/>
        </w:rPr>
        <w:t>§6 Records.</w:t>
      </w:r>
      <w:r>
        <w:t xml:space="preserve"> Coordination checklist, interface list, clash report, constructability comments. KPI K-DR-03.</w:t>
      </w:r>
    </w:p>
    <w:p>
      <w:pPr/>
      <w:r>
        <w:t>References: FHWA Constructability Review Checklist; AIA design development checklist; RIBA Plan of Work 2020 (design responsibility matrix); ISO 19650-2 cl. 5.6.</w:t>
      </w:r>
    </w:p>
    <w:p>
      <w:pPr>
        <w:pStyle w:val="Heading1"/>
      </w:pPr>
      <w:r>
        <w:t>QP-05 Specifications</w:t>
      </w:r>
    </w:p>
    <w:p>
      <w:pPr/>
      <w:r>
        <w:rPr>
          <w:b/>
        </w:rPr>
        <w:t>§1 Purpose.</w:t>
      </w:r>
      <w:r>
        <w:t xml:space="preserve"> A complete, coordinated and current specification that says the same thing as the drawings and the model.</w:t>
      </w:r>
    </w:p>
    <w:p>
      <w:pPr/>
      <w:r>
        <w:rPr>
          <w:b/>
        </w:rPr>
        <w:t>§2 Scope and roles.</w:t>
      </w:r>
      <w:r>
        <w:t xml:space="preserve"> Outline specification (Stage 2-3) and full specification (Stage 4) of all disciplines. Specification lead: A/R for structure and Division 00/01. Discipline leads: R for their sections. Second specifier or discipline lead: checker.</w:t>
      </w:r>
    </w:p>
    <w:p>
      <w:pPr/>
      <w:r>
        <w:rPr>
          <w:b/>
        </w:rPr>
        <w:t>§3 Set-up.</w:t>
      </w:r>
      <w:r>
        <w:t xml:space="preserve"> Record the specification system and edition once for the project (NBS content library, client master or office master; MasterFormat 2020 numbering for UAE projects unless the client requires otherwise). Sections start from the current master, never from an old project: the office master specifications per division and the office "UPDATED SPECIFICATIONS MASTERLIST" in </w:t>
      </w:r>
      <w:r>
        <w:rPr>
          <w:rFonts w:ascii="JetBrains Mono" w:hAnsi="JetBrains Mono"/>
        </w:rPr>
        <w:t>\\BABOOM\specification\01 Library</w:t>
      </w:r>
      <w:r>
        <w:t xml:space="preserve"> (to be copied into </w:t>
      </w:r>
      <w:r>
        <w:rPr>
          <w:rFonts w:ascii="JetBrains Mono" w:hAnsi="JetBrains Mono"/>
        </w:rPr>
        <w:t>02-LIBRARIES\11-SPECIFICATIONS</w:t>
      </w:r>
      <w:r>
        <w:t xml:space="preserve"> after the owner's OK, server survey 2026-11-04, move 1). Sheet SS.</w:t>
      </w:r>
    </w:p>
    <w:p>
      <w:pPr/>
      <w:r>
        <w:rPr>
          <w:b/>
        </w:rPr>
        <w:t>§4 Format.</w:t>
      </w:r>
      <w:r>
        <w:t xml:space="preserve"> Each section uses SectionFormat's three parts (PART 1 General, PART 2 Products, PART 3 Execution) and PageFormat page arrangement; Division 01 holds quality, submittals and closeout once. SS-03 to SS-05.</w:t>
      </w:r>
    </w:p>
    <w:p>
      <w:pPr/>
      <w:r>
        <w:rPr>
          <w:b/>
        </w:rPr>
        <w:t>§5 Content rules.</w:t>
      </w:r>
      <w:r>
        <w:t xml:space="preserve"> Referenced standards with editions; submittals, samples and mock-ups that feed the supervision submittal register; products by performance or with equal alternatives, sole source only with written approval; performance values identical to the calculations; execution, tolerances and field quality control that feed the inspection and test plans; no TBC, TBA or "as required"; local product approvals (Civil Defence listed, DM approved systems). Sheet SC.</w:t>
      </w:r>
    </w:p>
    <w:p>
      <w:pPr/>
      <w:r>
        <w:rPr>
          <w:b/>
        </w:rPr>
        <w:t>§6 Coordination.</w:t>
      </w:r>
      <w:r>
        <w:t xml:space="preserve"> Every drawing note points to a section and does not repeat its text; model keynotes/type marks resolve to current sections (</w:t>
      </w:r>
      <w:r>
        <w:rPr>
          <w:color w:val="9A7B45"/>
          <w:u w:val="single"/>
        </w:rPr>
        <w:t>BBM-STD-72</w:t>
      </w:r>
      <w:r>
        <w:t>); one numbering across disciplines; BOQ items cite sections. Green-rating clauses (VOC limits, recycled and regional content, efficiencies, metering, commissioning, waste) come from the QP-06 tracker. Sheets SX, SG.</w:t>
      </w:r>
    </w:p>
    <w:p>
      <w:pPr/>
      <w:r>
        <w:rPr>
          <w:b/>
        </w:rPr>
        <w:t>§7 Review and issue.</w:t>
      </w:r>
      <w:r>
        <w:t xml:space="preserve"> Second-person check, revision marks on changed sections, issue as controlled PDF with transmittal and status (QP-10). Sheet SI.</w:t>
      </w:r>
    </w:p>
    <w:p>
      <w:pPr/>
      <w:r>
        <w:rPr>
          <w:b/>
        </w:rPr>
        <w:t>§8 Records.</w:t>
      </w:r>
      <w:r>
        <w:t xml:space="preserve"> Specification checklist, review comments, issue sheet. KPI K-SP-01.</w:t>
      </w:r>
    </w:p>
    <w:p>
      <w:pPr/>
      <w:r>
        <w:t>References: CSI/CSC SectionFormat/PageFormat; CSI MasterFormat 2020; NBS Chorus / US Master Specification; Port Authority NY&amp;NJ QC checklist (sole source, spec notes).</w:t>
      </w:r>
    </w:p>
    <w:p>
      <w:pPr>
        <w:pStyle w:val="Heading1"/>
      </w:pPr>
      <w:r>
        <w:t>QP-06 Sustainability ratings</w:t>
      </w:r>
    </w:p>
    <w:p>
      <w:pPr/>
      <w:r>
        <w:rPr>
          <w:b/>
        </w:rPr>
        <w:t>§1 Purpose.</w:t>
      </w:r>
      <w:r>
        <w:t xml:space="preserve"> Meet the statutory green-building minimum of the plot and the client's rating target, with evidence ready when the authority or assessor asks.</w:t>
      </w:r>
    </w:p>
    <w:p>
      <w:pPr/>
      <w:r>
        <w:rPr>
          <w:b/>
        </w:rPr>
        <w:t>§2 Scope and roles.</w:t>
      </w:r>
      <w:r>
        <w:t xml:space="preserve"> Estidama Pearl (Abu Dhabi), Al Sa'fat (Dubai), LEED where the client targets it. Sustainability lead: A. Pearl Qualified Professional (PQP) for Estidama projects: R for the rating process and quality of submissions. Discipline leads: R for credit evidence. Supervising engineer: R for construction-stage evidence.</w:t>
      </w:r>
    </w:p>
    <w:p>
      <w:pPr/>
      <w:r>
        <w:rPr>
          <w:b/>
        </w:rPr>
        <w:t>§3 Applicability and team.</w:t>
      </w:r>
      <w:r>
        <w:t xml:space="preserve"> At Stage 1 record the scheme, edition and minimum level in the BEP and BoD: Estidama, all new buildings 1 Pearl and government-funded buildings 2 Pearl (register ED-ESTIDAMA; villas over 2,000 m2 conditioned area use the PBRS, Information Bulletin 19); Al Sa'fat 2nd edition (January 2023), Silver Sa'fa mandatory for all buildings, Gold and Platinum optional (ED-ALSAFAT; DM Administrative Resolution 154 of 2020); LEED version as registered. Appoint the PQP for Estidama design and construction stages.</w:t>
      </w:r>
    </w:p>
    <w:p>
      <w:pPr/>
      <w:r>
        <w:rPr>
          <w:b/>
        </w:rPr>
        <w:t>§4 Credit tracking.</w:t>
      </w:r>
      <w:r>
        <w:t xml:space="preserve"> One tracker per project, reviewed at each stage: Estidama per credit section (IDP Integrated Development Process, NS Natural Systems, LB Livable Buildings, PW Precious Water, RE Resourceful Energy, SM Stewarding Materials, IP Innovating Practice), all mandatory credits plus the optional points for the target (2 Pearl = mandatory + 60 points); Al Sa'fat per section (300 Ecology &amp; Planning, 400 Building Vitality, 500 Energy Efficiency, 600 Water, 700 Materials &amp; Waste) with the level-specific values (for example roof U 0.3, wall U 0.57 Silver / 0.42 Gold and Platinum; regional material 10/20/30%); LEED prerequisites and scorecard. Requirements are carried into the specification (QP-05) and design review (QP-03). Sheets ES, SA, LD.</w:t>
      </w:r>
    </w:p>
    <w:p>
      <w:pPr/>
      <w:r>
        <w:rPr>
          <w:b/>
        </w:rPr>
        <w:t>§5 Design-stage submission.</w:t>
      </w:r>
      <w:r>
        <w:t xml:space="preserve"> Estidama: the PQP compiles the design rating submission at construction documentation in the Estidama evidence structure, answers the Pearl Assessor and files the Design Rating before construction. Al Sa'fat: compliance evidence goes into the building permit package (QP-07). ES-10/11.</w:t>
      </w:r>
    </w:p>
    <w:p>
      <w:pPr/>
      <w:r>
        <w:rPr>
          <w:b/>
        </w:rPr>
        <w:t>§6 Construction stage.</w:t>
      </w:r>
      <w:r>
        <w:t xml:space="preserve"> Monthly review of construction credit evidence; approved submittals checked against rated requirements (QP-09); Estidama Construction Rating submission within 3 to 4 weeks of the completion certificate; Sa'fa certificate filed with its validity (Silver 15 years, or indefinite for private villas and industrial buildings; Gold and Platinum 5 years). Sheets EC, SA-10.</w:t>
      </w:r>
    </w:p>
    <w:p>
      <w:pPr/>
      <w:r>
        <w:rPr>
          <w:b/>
        </w:rPr>
        <w:t>§7 Records.</w:t>
      </w:r>
      <w:r>
        <w:t xml:space="preserve"> Tracker, calculators and models, submissions, assessor comments, certificates. KPI K-SU-01. Analysis method and data rules stay in </w:t>
      </w:r>
      <w:r>
        <w:rPr>
          <w:color w:val="9A7B45"/>
          <w:u w:val="single"/>
        </w:rPr>
        <w:t>BBM-STD-81</w:t>
      </w:r>
      <w:r>
        <w:t>; statutory minimums in BBM-STD-85 §7.</w:t>
      </w:r>
    </w:p>
    <w:p>
      <w:pPr/>
      <w:r>
        <w:t>References: Estidama PBRS V1.0 (DMT); Estidama Construction Rating Site Audit Protocol V1.0; Information Bulletin 19 (2025); Al Sa'fat 2nd edition (DM, Jan 2023); DM Administrative Resolution 154 of 2020; USGBC LEED.</w:t>
      </w:r>
    </w:p>
    <w:p>
      <w:pPr>
        <w:pStyle w:val="Heading1"/>
      </w:pPr>
      <w:r>
        <w:t>QP-07 Authority submissions</w:t>
      </w:r>
    </w:p>
    <w:p>
      <w:pPr/>
      <w:r>
        <w:rPr>
          <w:b/>
        </w:rPr>
        <w:t>§1 Purpose.</w:t>
      </w:r>
      <w:r>
        <w:t xml:space="preserve"> Submit complete, correct, authorised packages to the right authority, and track every comment and condition to closure.</w:t>
      </w:r>
    </w:p>
    <w:p>
      <w:pPr/>
      <w:r>
        <w:rPr>
          <w:b/>
        </w:rPr>
        <w:t>§2 Scope and roles.</w:t>
      </w:r>
      <w:r>
        <w:t xml:space="preserve"> Planning, building permit, Civil Defence, utility NOCs, green-rating and completion submissions in Dubai (DM, DDA and other authorities) and Abu Dhabi (DMT municipalities), plus fit-out and other routes in BBM-STD-85 §10. Authority liaison: R. Consultant of record: A (signs within its registration). Authority portal submitter: R for upload. LAP: authorises the submission. Requirement detail lives in BBM-STD-85 and the register in </w:t>
      </w:r>
      <w:r>
        <w:rPr>
          <w:color w:val="9A7B45"/>
          <w:u w:val="single"/>
        </w:rPr>
        <w:t>BBM-STD-57</w:t>
      </w:r>
      <w:r>
        <w:t>; this procedure is the quality steps around them.</w:t>
      </w:r>
    </w:p>
    <w:p>
      <w:pPr/>
      <w:r>
        <w:rPr>
          <w:b/>
        </w:rPr>
        <w:t>§3 Jurisdiction.</w:t>
      </w:r>
      <w:r>
        <w:t xml:space="preserve"> Run the BBM-STD-85 §2 jurisdiction test J1-J6 and create the BBM-STD-57 register entry with the canonical status (BBM-STD-93 §7). Unknown answers hold the submission.</w:t>
      </w:r>
    </w:p>
    <w:p>
      <w:pPr/>
      <w:r>
        <w:rPr>
          <w:b/>
        </w:rPr>
        <w:t>§4 Package.</w:t>
      </w:r>
      <w:r>
        <w:t xml:space="preserve"> Download the authority checklist for the service on the submission date and record its revision; complete every item; the package has passed QP-03/04 review and, where BIM is due, the BIM checklist "Authority submission" sheet; NOCs listed with status; registered consultant and portal account valid; LAP authorisation recorded before upload. Dubai: building permit through the DM single-window building permit system (permit request, unified inspection, execution and service delivery), Dubai Building Code compliance statement with any performance-based alternative justified by the consultant, BIM permit trigger per circulars 9-1-2/9-1-3, Al Sa'fat evidence. Abu Dhabi: DMT platform (Binaa / Unified Permitting System), code and planning compliance, ADM BIM where adopted, Estidama design rating. Sheets CM, DM, AD, CD.</w:t>
      </w:r>
    </w:p>
    <w:p>
      <w:pPr/>
      <w:r>
        <w:rPr>
          <w:b/>
        </w:rPr>
        <w:t>§5 Comments and approvals.</w:t>
      </w:r>
      <w:r>
        <w:t xml:space="preserve"> Log every authority comment in the BBM-STD-99 authority tracker TRK-NOC (the BBM-STD-57 submission register in working form) with response and drawing/revision reference before resubmission; a resubmission is a new record linked to the rejected one; record approval scope and conditions and track each condition to closure.</w:t>
      </w:r>
    </w:p>
    <w:p>
      <w:pPr/>
      <w:r>
        <w:rPr>
          <w:b/>
        </w:rPr>
        <w:t>§6 Records.</w:t>
      </w:r>
      <w:r>
        <w:t xml:space="preserve"> Submitted set, receipt number, comments and responses, approval, kept immutable (BBM-STD-76). KPIs K-AU-01/02.</w:t>
      </w:r>
    </w:p>
    <w:p>
      <w:pPr/>
      <w:r>
        <w:t>References: DM building permit procedures and single-window platform; Dubai Building Code 2021; DMT Binaa platform (2025); BBM-STD-85; BBM-STD-57; ISO 19650-2 cl. 5.7.</w:t>
      </w:r>
    </w:p>
    <w:p>
      <w:pPr>
        <w:pStyle w:val="Heading1"/>
      </w:pPr>
      <w:r>
        <w:t>QP-08 Drawing and model issue</w:t>
      </w:r>
    </w:p>
    <w:p>
      <w:pPr/>
      <w:r>
        <w:rPr>
          <w:b/>
        </w:rPr>
        <w:t>§1 Purpose.</w:t>
      </w:r>
      <w:r>
        <w:t xml:space="preserve"> Release only checked information. </w:t>
      </w:r>
      <w:r>
        <w:rPr>
          <w:b/>
        </w:rPr>
        <w:t>§2 Scope and roles.</w:t>
      </w:r>
      <w:r>
        <w:t xml:space="preserve"> Every issue of models, drawings and information containers; information manager A, discipline leads R. </w:t>
      </w:r>
      <w:r>
        <w:rPr>
          <w:b/>
        </w:rPr>
        <w:t>§3 Steps.</w:t>
      </w:r>
      <w:r>
        <w:t xml:space="preserve"> Follow </w:t>
      </w:r>
      <w:r>
        <w:rPr>
          <w:color w:val="9A7B45"/>
          <w:u w:val="single"/>
        </w:rPr>
        <w:t>BBM-STD-68</w:t>
      </w:r>
      <w:r>
        <w:t xml:space="preserve"> and </w:t>
      </w:r>
      <w:r>
        <w:rPr>
          <w:color w:val="9A7B45"/>
          <w:u w:val="single"/>
        </w:rPr>
        <w:t>Manual V0.5</w:t>
      </w:r>
      <w:r>
        <w:t xml:space="preserve"> §9 with the checklist </w:t>
      </w:r>
      <w:r>
        <w:rPr>
          <w:rFonts w:ascii="JetBrains Mono" w:hAnsi="JetBrains Mono"/>
        </w:rPr>
        <w:t>07-QA-QC/01-BIM/BBM-STD-68-CHECKLIST-V1.0.xlsx</w:t>
      </w:r>
      <w:r>
        <w:t xml:space="preserve"> (model health, container, drawings and sheets, data and IDS, discipline models, authority BIM, issue sign-off). The design content of the same package is checked under QP-03/04; the issue goes out under QP-10. </w:t>
      </w:r>
      <w:r>
        <w:rPr>
          <w:b/>
        </w:rPr>
        <w:t>§4 Records.</w:t>
      </w:r>
      <w:r>
        <w:t xml:space="preserve"> The BIM checklist issue sign-off. Not repeated here (one source).</w:t>
      </w:r>
    </w:p>
    <w:p>
      <w:pPr>
        <w:pStyle w:val="Heading1"/>
      </w:pPr>
      <w:r>
        <w:t>QP-09 Site supervision and inspections</w:t>
      </w:r>
    </w:p>
    <w:p>
      <w:pPr/>
      <w:r>
        <w:rPr>
          <w:b/>
        </w:rPr>
        <w:t>§1 Purpose.</w:t>
      </w:r>
      <w:r>
        <w:t xml:space="preserve"> Verify, as supervision consultant, that the works are built to the permit, the approved drawings and the specification, and record it (RIBA Stage 5 "Inspect Construction Quality").</w:t>
      </w:r>
    </w:p>
    <w:p>
      <w:pPr/>
      <w:r>
        <w:rPr>
          <w:b/>
        </w:rPr>
        <w:t>§2 Scope and roles.</w:t>
      </w:r>
      <w:r>
        <w:t xml:space="preserve"> Projects where the office is appointed for supervision, including supervision of remediation works under a Dubai Building Quality and Safety Certificate assessment (DM circular 11-9-1 of 2026; steps in </w:t>
      </w:r>
      <w:r>
        <w:rPr>
          <w:color w:val="9A7B45"/>
          <w:u w:val="single"/>
        </w:rPr>
        <w:t>BBM-STD-75</w:t>
      </w:r>
      <w:r>
        <w:t xml:space="preserve"> §7). Supervising / resident engineer: R. Project director: A. Discipline leads: R for submittals, RFIs and inspections in their discipline. The consultant's authority on site is only what the appointment and the construction contract give. In Abu Dhabi, Circular No. 9 of 2026 (UPPC/DMT, 14 October 2026) sets the supervision consultant and contractor roles, a notice before each major phase, a joint certified technical report at the end of each phase submitted through the Unified Permitting System, and joint liability for non-compliance within their scopes. In Dubai the completion certificate follows DM Administrative Resolution 275 of 2024 (procedures for replacing engineering firms and contractors and for issuing completion certificates; its Art. 16 repealed Resolution 10 of 2019), and engineering firms are registered and classified under Dubai Law No. 14 of 2025 (in force six months after its 5 October 2025 publication; it repealed Local Order 89 of 1994). The consultant-of-record duties at each stage are in </w:t>
      </w:r>
      <w:r>
        <w:rPr>
          <w:color w:val="9A7B45"/>
          <w:u w:val="single"/>
        </w:rPr>
        <w:t>BBM-STD-13</w:t>
      </w:r>
      <w:r>
        <w:t>.</w:t>
      </w:r>
    </w:p>
    <w:p>
      <w:pPr/>
      <w:r>
        <w:rPr>
          <w:b/>
        </w:rPr>
        <w:t>§3 Mobilisation.</w:t>
      </w:r>
      <w:r>
        <w:t xml:space="preserve"> Supervision plan before site start: visit schedule, staff, inspection points, hold and witness points tied to the contractor's inspection and test plans (ITPs); permit, approved drawings and NOCs on site; only the latest revisions in use; site safety arrangements and the consultant's safety duties recorded. Sheet MB.</w:t>
      </w:r>
    </w:p>
    <w:p>
      <w:pPr/>
      <w:r>
        <w:rPr>
          <w:b/>
        </w:rPr>
        <w:t>§4 Contractor quality.</w:t>
      </w:r>
      <w:r>
        <w:t xml:space="preserve"> Review the contractor's quality plan, ITPs and method statements; an ITP exists for every major work package. Check calibration of survey and test equipment whose results are relied on.</w:t>
      </w:r>
    </w:p>
    <w:p>
      <w:pPr/>
      <w:r>
        <w:rPr>
          <w:b/>
        </w:rPr>
        <w:t>§5 Submittals, RFIs and instructions.</w:t>
      </w:r>
      <w:r>
        <w:t xml:space="preserve"> Submittal register from the specification; each submittal reviewed by the responsible discipline with status A/B/C within the contract period; rated items checked against the sustainability tracker; substitutions evaluated for equal performance; mock-ups approved as the benchmark. RFIs answered within the agreed time with revised drawings where needed. Instructions and variations only in writing and within the consultant's authority. Sheets SM, NR-03/04. The submittal, RFI, site instruction and variation registers are the </w:t>
      </w:r>
      <w:r>
        <w:rPr>
          <w:color w:val="9A7B45"/>
          <w:u w:val="single"/>
        </w:rPr>
        <w:t>BBM-STD-99</w:t>
      </w:r>
      <w:r>
        <w:t xml:space="preserve"> trackers TRK-SUB, TRK-RFI, TRK-SI and TRK-VO.</w:t>
      </w:r>
    </w:p>
    <w:p>
      <w:pPr/>
      <w:r>
        <w:rPr>
          <w:b/>
        </w:rPr>
        <w:t>§6 Inspections and NCRs.</w:t>
      </w:r>
      <w:r>
        <w:t xml:space="preserve"> Inspect at every hold point before concealment: setting out, excavation and foundations, reinforcement and concrete per pour, waterproofing with flood test, MEP rough-in and pressure tests, fire stopping, facade, finishes, FLS systems testing. A site visit report after every visit. Non-conforming work goes on an NCR with the requirement and evidence; closed only after re-inspection. Design-origin NCRs are raised as office NCs (QP-11). In Abu Dhabi, issue the joint phase report per Circular 9 of 2026. Sheets IP, NR. Inspection requests and NCRs are logged in the BBM-STD-99 trackers TRK-IR and TRK-NCR.</w:t>
      </w:r>
    </w:p>
    <w:p>
      <w:pPr/>
      <w:r>
        <w:rPr>
          <w:b/>
        </w:rPr>
        <w:t>§7 Completion.</w:t>
      </w:r>
      <w:r>
        <w:t xml:space="preserve"> Snagging, commissioning results, authority completion inspections (DM/DMT, Civil Defence, utilities), consultant approval of the completion certificate only when the works conform and no NCR affecting conformity is open; as-built drawings, O&amp;M manuals and warranties reviewed (</w:t>
      </w:r>
      <w:r>
        <w:rPr>
          <w:color w:val="9A7B45"/>
          <w:u w:val="single"/>
        </w:rPr>
        <w:t>BBM-STD-75</w:t>
      </w:r>
      <w:r>
        <w:t>); green-rating construction submission (QP-06); client feedback and lessons workshop (QP-11, QP-12). Sheet CP.</w:t>
      </w:r>
    </w:p>
    <w:p>
      <w:pPr/>
      <w:r>
        <w:rPr>
          <w:b/>
        </w:rPr>
        <w:t>§8 Records.</w:t>
      </w:r>
      <w:r>
        <w:t xml:space="preserve"> Supervision plan, visit reports, inspection requests and results, test results, NCR, RFI, submittal and instruction registers, completion approvals; kept for for at least the BBM-STD-90 office minimum of 13 years after handover (O-DEC-138) (decennial liability). KPIs K-SV-01 to 04.</w:t>
      </w:r>
    </w:p>
    <w:p>
      <w:pPr/>
      <w:r>
        <w:rPr>
          <w:b/>
        </w:rPr>
        <w:t>§9 Office forms (reused, not re-invented).</w:t>
      </w:r>
      <w:r>
        <w:t xml:space="preserve"> The records above use the office "BABOOM control forms for the engineering site supervision" (Oct 2021), copied unchanged into </w:t>
      </w:r>
      <w:r>
        <w:rPr>
          <w:rFonts w:ascii="JetBrains Mono" w:hAnsi="JetBrains Mono"/>
        </w:rPr>
        <w:t>BABOOM-BIM-STANDARD\01-TEMPLATES\04-DOCUMENT-CONTROL\02-SUPERVISION-FORMS</w:t>
      </w:r>
      <w:r>
        <w:t xml:space="preserve"> and </w:t>
      </w:r>
      <w:r>
        <w:rPr>
          <w:rFonts w:ascii="JetBrains Mono" w:hAnsi="JetBrains Mono"/>
        </w:rPr>
        <w:t>01-TRANSMITTAL-RFI</w:t>
      </w:r>
      <w:r>
        <w:t xml:space="preserve"> (see </w:t>
      </w:r>
      <w:r>
        <w:rPr>
          <w:rFonts w:ascii="JetBrains Mono" w:hAnsi="JetBrains Mono"/>
        </w:rPr>
        <w:t>CATALOGUE.html</w:t>
      </w:r>
      <w:r>
        <w:t xml:space="preserve"> there): Site Hand Over To Contractor; Time Schedule Approval; Material Submittal (04 01), Shop Drawing Submittal (04 03) and SubContractor Submittal (04 05); Inspection Request and Material Inspection Request; Field Observation and Site Observation Report (SOR); NCR; Request For Information; VO Template; Contractor's Monthly Report format; snagging list; Initial Certificate of the Project Handover, Initial and Final Handing Over Certificates and Taking Over Certificate. Each filled form is one record; its log line is in the matching BBM-STD-99 tracker in </w:t>
      </w:r>
      <w:r>
        <w:rPr>
          <w:rFonts w:ascii="JetBrains Mono" w:hAnsi="JetBrains Mono"/>
        </w:rPr>
        <w:t>03-TRACKERS</w:t>
      </w:r>
      <w:r>
        <w:t>.</w:t>
      </w:r>
    </w:p>
    <w:p>
      <w:pPr/>
      <w:r>
        <w:t>References: RIBA Plan of Work 2020 Stage 5; Abu Dhabi UPPC Circular 9 of 2026; DM Administrative Resolution 275 of 2024; Dubai Law No. 14 of 2025; DM safety guide for construction works; UAE Civil Transactions Law (ED-UAE-CTL; decennial liability Art. 821 of Federal Decree-Law 25 of 2025); ISO 10005 (quality plans of others).</w:t>
      </w:r>
    </w:p>
    <w:p>
      <w:pPr>
        <w:pStyle w:val="Heading1"/>
      </w:pPr>
      <w:r>
        <w:t>QP-10 Document control transmittals and records</w:t>
      </w:r>
    </w:p>
    <w:p>
      <w:pPr/>
      <w:r>
        <w:rPr>
          <w:b/>
        </w:rPr>
        <w:t>§1 Purpose.</w:t>
      </w:r>
      <w:r>
        <w:t xml:space="preserve"> The right revision reaches the right people, and every issue and decision can be found later.</w:t>
      </w:r>
    </w:p>
    <w:p>
      <w:pPr/>
      <w:r>
        <w:rPr>
          <w:b/>
        </w:rPr>
        <w:t>§2 Scope and roles.</w:t>
      </w:r>
      <w:r>
        <w:t xml:space="preserve"> All controlled project documents, correspondence, minutes and records. Document controller: R. Project director: A. Information manager: R for naming and CDE states (ISO 19650 container metadata stays under QP-08).</w:t>
      </w:r>
    </w:p>
    <w:p>
      <w:pPr/>
      <w:r>
        <w:rPr>
          <w:b/>
        </w:rPr>
        <w:t>§3 Register.</w:t>
      </w:r>
      <w:r>
        <w:t xml:space="preserve"> One document register per project matching the CDE; project folders follow the one tree of </w:t>
      </w:r>
      <w:r>
        <w:rPr>
          <w:color w:val="9A7B45"/>
          <w:u w:val="single"/>
        </w:rPr>
        <w:t>Manual V0.5</w:t>
      </w:r>
      <w:r>
        <w:t xml:space="preserve"> §12.1 (</w:t>
      </w:r>
      <w:r>
        <w:rPr>
          <w:color w:val="9A7B45"/>
          <w:u w:val="single"/>
        </w:rPr>
        <w:t>O-DEC-149</w:t>
      </w:r>
      <w:r>
        <w:t xml:space="preserve">); file names to the 8-token identity and the </w:t>
      </w:r>
      <w:r>
        <w:rPr>
          <w:color w:val="9A7B45"/>
          <w:u w:val="single"/>
        </w:rPr>
        <w:t>BBM-STD-93</w:t>
      </w:r>
      <w:r>
        <w:t xml:space="preserve"> codes; revision and suitability codes valid; superseded documents withdrawn and archived, never deleted; current templates; access by role and sensitivity (</w:t>
      </w:r>
      <w:r>
        <w:rPr>
          <w:color w:val="9A7B45"/>
          <w:u w:val="single"/>
        </w:rPr>
        <w:t>BBM-STD-87</w:t>
      </w:r>
      <w:r>
        <w:t>). Sheet RG.</w:t>
      </w:r>
    </w:p>
    <w:p>
      <w:pPr/>
      <w:r>
        <w:rPr>
          <w:b/>
        </w:rPr>
        <w:t>§4 Transmittals.</w:t>
      </w:r>
      <w:r>
        <w:t xml:space="preserve"> Every issue has a transmittal listing exactly the files, revisions, purpose/suitability, recipients and date, follows the distribution matrix, is approved before sending, and is kept with the issued set as an immutable record. Receipt acknowledged or chased. Sheet TM.</w:t>
      </w:r>
    </w:p>
    <w:p>
      <w:pPr/>
      <w:r>
        <w:rPr>
          <w:b/>
        </w:rPr>
        <w:t>§5 Incoming information and correspondence.</w:t>
      </w:r>
      <w:r>
        <w:t xml:space="preserve"> Log incoming items within one working day with sender, revision and action owner; check revision and suitability before use; number letters, instructions and minutes; record client property (surveys, reports, data) and report loss or damage to the client (ISO 9001:2026 8.5.3). Sheet IC.</w:t>
      </w:r>
    </w:p>
    <w:p>
      <w:pPr/>
      <w:r>
        <w:rPr>
          <w:b/>
        </w:rPr>
        <w:t>§6 Records and closeout.</w:t>
      </w:r>
      <w:r>
        <w:t xml:space="preserve"> Retention per </w:t>
      </w:r>
      <w:r>
        <w:rPr>
          <w:color w:val="9A7B45"/>
          <w:u w:val="single"/>
        </w:rPr>
        <w:t>BBM-STD-76</w:t>
      </w:r>
      <w:r>
        <w:t xml:space="preserve"> and </w:t>
      </w:r>
      <w:r>
        <w:rPr>
          <w:color w:val="9A7B45"/>
          <w:u w:val="single"/>
        </w:rPr>
        <w:t>BBM-STD-90</w:t>
      </w:r>
      <w:r>
        <w:t>, for at least the BBM-STD-90 office minimum of 13 years after handover (O-DEC-138); backups with restore tests; at closeout archive final records, reduce access and freeze the register. Sheet RC.</w:t>
      </w:r>
    </w:p>
    <w:p>
      <w:pPr/>
      <w:r>
        <w:rPr>
          <w:b/>
        </w:rPr>
        <w:t>§7 Records.</w:t>
      </w:r>
      <w:r>
        <w:t xml:space="preserve"> Document register, transmittals, incoming register, correspondence register, closeout record. KPIs K-DC-01/02. Transmittals use the office Project Transmittal form in </w:t>
      </w:r>
      <w:r>
        <w:rPr>
          <w:rFonts w:ascii="JetBrains Mono" w:hAnsi="JetBrains Mono"/>
        </w:rPr>
        <w:t>01-TEMPLATES\04-DOCUMENT-CONTROL\01-TRANSMITTAL-RFI</w:t>
      </w:r>
      <w:r>
        <w:t>; the drawing register and transmittal log are the BBM-STD-99 tracker TRK-DWG.</w:t>
      </w:r>
    </w:p>
    <w:p>
      <w:pPr/>
      <w:r>
        <w:t>References: ISO 19650-2:2018 cl. 5.6-5.8; ISO 9001:2026 7.5, 8.5.3; BBM-STD-56, 76, 90, 93.</w:t>
      </w:r>
    </w:p>
    <w:p>
      <w:pPr>
        <w:pStyle w:val="Heading1"/>
      </w:pPr>
      <w:r>
        <w:t>QP-11 Nonconformity corrective action and lessons learned</w:t>
      </w:r>
    </w:p>
    <w:p>
      <w:pPr/>
      <w:r>
        <w:rPr>
          <w:b/>
        </w:rPr>
        <w:t>§1 Purpose.</w:t>
      </w:r>
      <w:r>
        <w:t xml:space="preserve"> Control errors, remove their causes and turn experience into better standards (ISO 9001:2026 8.7, 10.2, 7.1.6).</w:t>
      </w:r>
    </w:p>
    <w:p>
      <w:pPr/>
      <w:r>
        <w:rPr>
          <w:b/>
        </w:rPr>
        <w:t>§2 Scope and roles.</w:t>
      </w:r>
      <w:r>
        <w:t xml:space="preserve"> Any failure against a requirement found by review, audit, site, client, authority rejection or complaint; plus lessons at stage ends and project close. QA/QC lead: A/R for the logs. Person who finds it: R to raise it. Owner of the work: R for correction.</w:t>
      </w:r>
    </w:p>
    <w:p>
      <w:pPr/>
      <w:r>
        <w:rPr>
          <w:b/>
        </w:rPr>
        <w:t>§3 Raise and contain.</w:t>
      </w:r>
      <w:r>
        <w:t xml:space="preserve"> Record NCID, source, requirement, evidence, affected scope and class (NC-1 blocking, NC-2 conditional, NC-3 minor per Manual §9.3; the information-specific fields of BBM-STD-68 §5 apply to model and container NCs). Hold affected issues or work.</w:t>
      </w:r>
    </w:p>
    <w:p>
      <w:pPr/>
      <w:r>
        <w:rPr>
          <w:b/>
        </w:rPr>
        <w:t>§4 Correct.</w:t>
      </w:r>
      <w:r>
        <w:t xml:space="preserve"> Fix the artifact, re-check it independently, record the result.</w:t>
      </w:r>
    </w:p>
    <w:p>
      <w:pPr/>
      <w:r>
        <w:rPr>
          <w:b/>
        </w:rPr>
        <w:t>§5 Corrective action.</w:t>
      </w:r>
      <w:r>
        <w:t xml:space="preserve"> For NC-1, recurring NCs, authority rejections and justified complaints: root cause with evidence (5 whys or cause-and-effect), action, owner, due date, and an effectiveness check after an agreed period; close only when no recurrence is found.</w:t>
      </w:r>
    </w:p>
    <w:p>
      <w:pPr/>
      <w:r>
        <w:rPr>
          <w:b/>
        </w:rPr>
        <w:t>§6 Lessons learned.</w:t>
      </w:r>
      <w:r>
        <w:t xml:space="preserve"> Log lesson, context, cause, action and owner at each stage end, project close, significant NC and lost bid. Systemic lessons become controlled changes to standards, checklists or templates through BBM-STD-51 (BBM-STD-96 §6). New projects review relevant lessons at start-up (QP-02).</w:t>
      </w:r>
    </w:p>
    <w:p>
      <w:pPr/>
      <w:r>
        <w:rPr>
          <w:b/>
        </w:rPr>
        <w:t>§7 Records.</w:t>
      </w:r>
      <w:r>
        <w:t xml:space="preserve"> NC log, CAR log, lessons log. Checklist 09-AUDIT sheet NC. KPIs K-NC-01 to 03.</w:t>
      </w:r>
    </w:p>
    <w:p>
      <w:pPr/>
      <w:r>
        <w:t>References: ISO 9001:2026 8.7, 10.2; FIDIC Organisational and Project Quality (learning from failure); RIBA Plan of Work (feedback from previous projects); Manual §9.1.1, §9.3.</w:t>
      </w:r>
    </w:p>
    <w:p>
      <w:pPr>
        <w:pStyle w:val="Heading1"/>
      </w:pPr>
      <w:r>
        <w:t>QP-12 Client feedback and complaints</w:t>
      </w:r>
    </w:p>
    <w:p>
      <w:pPr/>
      <w:r>
        <w:rPr>
          <w:b/>
        </w:rPr>
        <w:t>§1 Purpose.</w:t>
      </w:r>
      <w:r>
        <w:t xml:space="preserve"> Know how clients judge the service and answer complaints fairly (ISO 9001:2026 9.1.2).</w:t>
      </w:r>
    </w:p>
    <w:p>
      <w:pPr/>
      <w:r>
        <w:rPr>
          <w:b/>
        </w:rPr>
        <w:t>§2 Scope and roles.</w:t>
      </w:r>
      <w:r>
        <w:t xml:space="preserve"> All clients; all complaints from clients and other interested parties. Practice director: A. QA/QC lead: R for analysis. Project director: R for requests.</w:t>
      </w:r>
    </w:p>
    <w:p>
      <w:pPr/>
      <w:r>
        <w:rPr>
          <w:b/>
        </w:rPr>
        <w:t>§3 Feedback.</w:t>
      </w:r>
      <w:r>
        <w:t xml:space="preserve"> Send the feedback form at each stage end and at completion (scores 1-5 for design quality, coordination, responsiveness, programme, authority approvals, supervision, value, and an overall score, plus comments); chase once; analyse within 10 working days and share with the team.</w:t>
      </w:r>
    </w:p>
    <w:p>
      <w:pPr/>
      <w:r>
        <w:rPr>
          <w:b/>
        </w:rPr>
        <w:t>§4 Complaints.</w:t>
      </w:r>
      <w:r>
        <w:t xml:space="preserve"> Log, acknowledge within 2 working days, investigate by a senior person not involved, answer within 10 working days (</w:t>
      </w:r>
      <w:r>
        <w:rPr>
          <w:color w:val="9A7B45"/>
          <w:u w:val="single"/>
        </w:rPr>
        <w:t>O-DEC-152</w:t>
      </w:r>
      <w:r>
        <w:t>); raise an NC (QP-11) where a nonconformity is found.</w:t>
      </w:r>
    </w:p>
    <w:p>
      <w:pPr/>
      <w:r>
        <w:rPr>
          <w:b/>
        </w:rPr>
        <w:t>§5 Records.</w:t>
      </w:r>
      <w:r>
        <w:t xml:space="preserve"> Feedback register, complaints log. Checklist 09-AUDIT sheet CF. KPIs K-CL-01 to 03.</w:t>
      </w:r>
    </w:p>
    <w:p>
      <w:pPr/>
      <w:r>
        <w:t>References: ISO 10002:2018 complaints handling; ISO 10004:2018 customer satisfaction monitoring.</w:t>
      </w:r>
    </w:p>
    <w:p>
      <w:pPr>
        <w:pStyle w:val="Heading1"/>
      </w:pPr>
      <w:r>
        <w:t>QP-13 Internal audit</w:t>
      </w:r>
    </w:p>
    <w:p>
      <w:pPr/>
      <w:r>
        <w:rPr>
          <w:b/>
        </w:rPr>
        <w:t>§1 Purpose.</w:t>
      </w:r>
      <w:r>
        <w:t xml:space="preserve"> Check that the QMS conforms to ISO 9001:2026 and to the office's own procedures and is effective (9.2).</w:t>
      </w:r>
    </w:p>
    <w:p>
      <w:pPr/>
      <w:r>
        <w:rPr>
          <w:b/>
        </w:rPr>
        <w:t>§2 Scope and roles.</w:t>
      </w:r>
      <w:r>
        <w:t xml:space="preserve"> Every QMS process at least once a year, more often for high-risk or poorly performing processes; at least two projects sampled per audit cycle. QA/QC lead: A for the programme. Auditors: trained, independent of the area audited (ISO 19011:2026). Auditees: process owners.</w:t>
      </w:r>
    </w:p>
    <w:p>
      <w:pPr/>
      <w:r>
        <w:rPr>
          <w:b/>
        </w:rPr>
        <w:t>§3 Programme and plan.</w:t>
      </w:r>
      <w:r>
        <w:t xml:space="preserve"> Yearly programme approved at management review; each audit has stated objectives, scope, criteria, auditor and date.</w:t>
      </w:r>
    </w:p>
    <w:p>
      <w:pPr/>
      <w:r>
        <w:rPr>
          <w:b/>
        </w:rPr>
        <w:t>§4 Conduct.</w:t>
      </w:r>
      <w:r>
        <w:t xml:space="preserve"> Use sheet IA (clauses 4-10) and the area checklists as evidence: sample filled checklists, registers and records; interview staff.</w:t>
      </w:r>
    </w:p>
    <w:p>
      <w:pPr/>
      <w:r>
        <w:rPr>
          <w:b/>
        </w:rPr>
        <w:t>§5 Report and follow-up.</w:t>
      </w:r>
      <w:r>
        <w:t xml:space="preserve"> Findings as nonconformities (QP-11) or opportunities for improvement; report within 5 working days; follow-up audit for NC-1 findings.</w:t>
      </w:r>
    </w:p>
    <w:p>
      <w:pPr/>
      <w:r>
        <w:rPr>
          <w:b/>
        </w:rPr>
        <w:t>§6 Records.</w:t>
      </w:r>
      <w:r>
        <w:t xml:space="preserve"> Audit programme, plans, reports, finding follow-ups. KPI K-AD-01.</w:t>
      </w:r>
    </w:p>
    <w:p>
      <w:pPr/>
      <w:r>
        <w:t>References: ISO 9001:2026 9.2; ISO 19011:2026 (edition 4).</w:t>
      </w:r>
    </w:p>
    <w:p>
      <w:pPr>
        <w:pStyle w:val="Heading1"/>
      </w:pPr>
      <w:r>
        <w:t>QP-14 Management review</w:t>
      </w:r>
    </w:p>
    <w:p>
      <w:pPr/>
      <w:r>
        <w:rPr>
          <w:b/>
        </w:rPr>
        <w:t>§1 Purpose.</w:t>
      </w:r>
      <w:r>
        <w:t xml:space="preserve"> Top management checks that the QMS stays suitable, adequate, effective and aligned with the office direction (9.3).</w:t>
      </w:r>
    </w:p>
    <w:p>
      <w:pPr/>
      <w:r>
        <w:rPr>
          <w:b/>
        </w:rPr>
        <w:t>§2 Scope and roles.</w:t>
      </w:r>
      <w:r>
        <w:t xml:space="preserve"> Quarterly and at a material incident (same cadence as Manual §9.1.1, O-DEC-043). Practice director: chair, A. QA/QC lead: prepares inputs. BIM Manager, project directors and discipline leads attend.</w:t>
      </w:r>
    </w:p>
    <w:p>
      <w:pPr/>
      <w:r>
        <w:rPr>
          <w:b/>
        </w:rPr>
        <w:t>§3 Inputs.</w:t>
      </w:r>
      <w:r>
        <w:t xml:space="preserve"> Status of previous actions; changes in external and internal issues and in the needs and expectations of interested parties (9.3.2 c)); client satisfaction and feedback; objectives and KPI results (BBM-STD-98); process performance and conformity (design review results, authority rejections, site NCRs); nonconformities and corrective actions; audit results; subconsultant performance; adequacy of resources; effectiveness of risk and opportunity actions; improvement opportunities and lessons. Sheet MR.</w:t>
      </w:r>
    </w:p>
    <w:p>
      <w:pPr/>
      <w:r>
        <w:rPr>
          <w:b/>
        </w:rPr>
        <w:t>§4 Outputs.</w:t>
      </w:r>
      <w:r>
        <w:t xml:space="preserve"> Decisions on improvement, QMS changes and resource needs, each with owner and date; updated objectives and targets.</w:t>
      </w:r>
    </w:p>
    <w:p>
      <w:pPr/>
      <w:r>
        <w:rPr>
          <w:b/>
        </w:rPr>
        <w:t>§5 Records.</w:t>
      </w:r>
      <w:r>
        <w:t xml:space="preserve"> Minutes with inputs and decisions; the KPI register (09-AUDIT). KPI K-AD-02.</w:t>
      </w:r>
    </w:p>
    <w:p>
      <w:pPr/>
      <w:r>
        <w:t>References: ISO 9001:2026 9.3; Global ACI transition summary (9.3.2 changes).</w:t>
      </w:r>
    </w:p>
    <w:p>
      <w:pPr>
        <w:pStyle w:val="Heading1"/>
      </w:pPr>
      <w:r>
        <w:t>QP-15 Subconsultants and suppliers</w:t>
      </w:r>
    </w:p>
    <w:p>
      <w:pPr/>
      <w:r>
        <w:rPr>
          <w:b/>
        </w:rPr>
        <w:t>§1 Purpose.</w:t>
      </w:r>
      <w:r>
        <w:t xml:space="preserve"> Control external providers whose work becomes part of the office's service (ISO 9001:2026 8.4).</w:t>
      </w:r>
    </w:p>
    <w:p>
      <w:pPr/>
      <w:r>
        <w:rPr>
          <w:b/>
        </w:rPr>
        <w:t>§2 Scope and roles.</w:t>
      </w:r>
      <w:r>
        <w:t xml:space="preserve"> Subconsultants (engineering disciplines, specialists such as acoustics, facade, lighting, traffic, PQP), surveyors and testing labs, and software/CDE providers. Practice director: A for selection and appointment. Project director: R for control and evaluation.</w:t>
      </w:r>
    </w:p>
    <w:p>
      <w:pPr/>
      <w:r>
        <w:rPr>
          <w:b/>
        </w:rPr>
        <w:t>§3 Selection.</w:t>
      </w:r>
      <w:r>
        <w:t xml:space="preserve"> Evaluate competence, emirate registration and classification, capacity, insurance and past performance; keep an approved list.</w:t>
      </w:r>
    </w:p>
    <w:p>
      <w:pPr/>
      <w:r>
        <w:rPr>
          <w:b/>
        </w:rPr>
        <w:t>§4 Appointment.</w:t>
      </w:r>
      <w:r>
        <w:t xml:space="preserve"> Back-to-back terms with the main appointment (scope, programme, liability, insurance), and binding to the BEP, naming, CDE and project quality plan.</w:t>
      </w:r>
    </w:p>
    <w:p>
      <w:pPr/>
      <w:r>
        <w:rPr>
          <w:b/>
        </w:rPr>
        <w:t>§5 Control.</w:t>
      </w:r>
      <w:r>
        <w:t xml:space="preserve"> Office L2 review of every subconsultant package before issue (QP-03); supplier-origin model content follows BBM-STD-68 §1.</w:t>
      </w:r>
    </w:p>
    <w:p>
      <w:pPr/>
      <w:r>
        <w:rPr>
          <w:b/>
        </w:rPr>
        <w:t>§6 Evaluation.</w:t>
      </w:r>
      <w:r>
        <w:t xml:space="preserve"> Score at each stage end and at project end; poor performance is actioned and reported to management review.</w:t>
      </w:r>
    </w:p>
    <w:p>
      <w:pPr/>
      <w:r>
        <w:rPr>
          <w:b/>
        </w:rPr>
        <w:t>§7 Records.</w:t>
      </w:r>
      <w:r>
        <w:t xml:space="preserve"> Approved list, evaluations, appointments. Checklist 03-PROPOSALS sheet SC.</w:t>
      </w:r>
    </w:p>
    <w:p>
      <w:pPr/>
      <w:r>
        <w:t>References: ISO 9001:2026 8.4; FIDIC guide to ISO 9001 for consulting engineers; DM Administrative Resolutions 253 and 255 of 2021.</w:t>
      </w:r>
    </w:p>
    <w:p>
      <w:pPr>
        <w:pStyle w:val="Heading1"/>
      </w:pPr>
      <w:r>
        <w:t>References</w:t>
      </w:r>
    </w:p>
    <w:p>
      <w:pPr>
        <w:pStyle w:val="ListParagraph"/>
        <w:spacing w:after="40"/>
        <w:ind w:left="360" w:hanging="240"/>
      </w:pPr>
      <w:r>
        <w:t xml:space="preserve">•  </w:t>
      </w:r>
      <w:r>
        <w:t>ISO 9001:2026, edition 6, published 16 Sep 2026: https://www.iso.org/standard/9001; Global ACI transition requirements: https://sys.global-aci.org/uploads/documents/TECH-3-TR_2029-09-30_(M)_ISO_9001_2026_Transition_v1_12.pdf; checked 2026-11-04.</w:t>
      </w:r>
    </w:p>
    <w:p>
      <w:pPr>
        <w:pStyle w:val="ListParagraph"/>
        <w:spacing w:after="40"/>
        <w:ind w:left="360" w:hanging="240"/>
      </w:pPr>
      <w:r>
        <w:t xml:space="preserve">•  </w:t>
      </w:r>
      <w:r>
        <w:t>ISO 10005:2018, ISO 10006:2017 (https://www.iso.org/standard/70376.html), ISO 19011:2026 (edition 4, https://www.iso.org/standard/19011, checked 2026-11-05; the 2018 edition is withdrawn), ISO 10002:2018, ISO 10004:2018; ISO 19650-2:2018 (https://www.iso.org/standard/68080.html); checked 2026-11-04.</w:t>
      </w:r>
    </w:p>
    <w:p>
      <w:pPr>
        <w:pStyle w:val="ListParagraph"/>
        <w:spacing w:after="40"/>
        <w:ind w:left="360" w:hanging="240"/>
      </w:pPr>
      <w:r>
        <w:t xml:space="preserve">•  </w:t>
      </w:r>
      <w:r>
        <w:t>RIBA Plan of Work 2020: https://www.riba.org/work/insights-and-resources/riba-plan-of-work; RIBA Stage 1 checklist: https://www.riba.org/media/w3epmqnb/1-preparation-and-brief-checklist-pdf.pdf; checked 2026-11-04.</w:t>
      </w:r>
    </w:p>
    <w:p>
      <w:pPr>
        <w:pStyle w:val="ListParagraph"/>
        <w:spacing w:after="40"/>
        <w:ind w:left="360" w:hanging="240"/>
      </w:pPr>
      <w:r>
        <w:t xml:space="preserve">•  </w:t>
      </w:r>
      <w:r>
        <w:t>FIDIC quality (briefing note 2019; Organisational and Project Quality; QBS): https://fidic.org/policy/quality; checked 2026-11-04.</w:t>
      </w:r>
    </w:p>
    <w:p>
      <w:pPr>
        <w:pStyle w:val="ListParagraph"/>
        <w:spacing w:after="40"/>
        <w:ind w:left="360" w:hanging="240"/>
      </w:pPr>
      <w:r>
        <w:t xml:space="preserve">•  </w:t>
      </w:r>
      <w:r>
        <w:t>AIA Best Practices: go/no-go https://www.aia.org/sites/default/files/2025-12/AIA_BestPractices_Realitycheck-Assesswhether.pdf; contract review https://www.aia.org/sites/default/files/2025-12/AIA_BestPractices_Reviewingacontract-Whatarchitectsneed.pdf; working drawings QC https://www.aia.org/sites/default/files/2025-12/AIA_BestPractices_Qualitycontrol-Preparationofworking.pdf; checked 2026-11-04.</w:t>
      </w:r>
    </w:p>
    <w:p>
      <w:pPr>
        <w:pStyle w:val="ListParagraph"/>
        <w:spacing w:after="40"/>
        <w:ind w:left="360" w:hanging="240"/>
      </w:pPr>
      <w:r>
        <w:t xml:space="preserve">•  </w:t>
      </w:r>
      <w:r>
        <w:t>Port Authority NY&amp;NJ Architectural QC checklist V1.0 (12 Jun 2026): https://aemstage.panynj.gov/content/dam/port-authority/pdfs/-available-engineering-documents/ENG-CHECK-QCArchitectural.pdf; FHWA Constructability Review Checklist: https://highways.dot.gov/media/49146; checked 2026-11-04.</w:t>
      </w:r>
    </w:p>
    <w:p>
      <w:pPr>
        <w:pStyle w:val="ListParagraph"/>
        <w:spacing w:after="40"/>
        <w:ind w:left="360" w:hanging="240"/>
      </w:pPr>
      <w:r>
        <w:t xml:space="preserve">•  </w:t>
      </w:r>
      <w:r>
        <w:t>CSI SectionFormat/PageFormat: https://www.csiresources.org/standards/sectionformat-pageformat; MasterFormat 2020: https://www.csiresources.org/standards/masterformat/mf-faqs; NBS US Master Specification: https://www.thenbs.com/knowledge/nbss-launch-of-the-us-master-specification-usms-library; checked 2026-11-04.</w:t>
      </w:r>
    </w:p>
    <w:p>
      <w:pPr>
        <w:pStyle w:val="ListParagraph"/>
        <w:spacing w:after="40"/>
        <w:ind w:left="360" w:hanging="240"/>
      </w:pPr>
      <w:r>
        <w:t xml:space="preserve">•  </w:t>
      </w:r>
      <w:r>
        <w:t>Estidama PBRS V1.0: https://www.dmt.gov.ae/-/media/Project/DMT/DMT/E-Library/0001-Manuals/PBRS/PBRS-Version-10.pdf; Construction Rating Site Audit Protocol: https://pages.dmt.gov.ae/en/Urban-Planning/-/media/13F91E3DD2F94577B9298A260C0D9325.ashx; Information Bulletin 19: https://www.dmt.gov.ae/-/media/Project/DMT/DMT/E-Library/06-25/Estidama-Pearl-Rating-System_-Information-Bulletin-No-19.pdf; checked 2026-11-04.</w:t>
      </w:r>
    </w:p>
    <w:p>
      <w:pPr>
        <w:pStyle w:val="ListParagraph"/>
        <w:spacing w:after="40"/>
        <w:ind w:left="360" w:hanging="240"/>
      </w:pPr>
      <w:r>
        <w:t xml:space="preserve">•  </w:t>
      </w:r>
      <w:r>
        <w:t>Al Sa'fat 2nd edition (Jan 2023): https://dmpmedia.dm.gov.ae/uploads/2023/01/Al-Safat-%E2%80%93-Dubai-Green-Building-System-2nd-editionJan2023.pdf; DM Administrative Resolution 154 of 2020: https://dlp.dubai.gov.ae/Legislation%20Reference/2020/Administrative%20Resolution%20No.%20(154)%20of%202020%20Concerning%20the%20Bylaw%20on%20the%20Dubai%20Green.html; checked 2026-11-04.</w:t>
      </w:r>
    </w:p>
    <w:p>
      <w:pPr>
        <w:pStyle w:val="ListParagraph"/>
        <w:spacing w:after="40"/>
        <w:ind w:left="360" w:hanging="240"/>
      </w:pPr>
      <w:r>
        <w:t xml:space="preserve">•  </w:t>
      </w:r>
      <w:r>
        <w:t>DM building permit procedures: https://www.dm.gov.ae/municipality-business/building-permit-steps; Dubai Building Code 2021; DM Administrative Resolution 275 of 2024 (Art. 16 repeals Resolution 10 of 2019): https://dlp.dubai.gov.ae/Legislation%20Reference/2024/Administrative%20Resolution%20No.%20(275)%20of%202024%20Replacing%20Engineering%20Firms%20and%20Contracting%20Companies.html; Dubai Law No. 14 of 2025 on engineering consultancy activities: https://slc.dubai.gov.ae/en/legislation-portal/detail?id=0900000a80471caa, checked 2026-11-05; checked 2026-11-04.</w:t>
      </w:r>
    </w:p>
    <w:p>
      <w:pPr>
        <w:pStyle w:val="ListParagraph"/>
        <w:spacing w:after="40"/>
        <w:ind w:left="360" w:hanging="240"/>
      </w:pPr>
      <w:r>
        <w:t xml:space="preserve">•  </w:t>
      </w:r>
      <w:r>
        <w:t>DMT Binaa platform: https://www.dmt.gov.ae/en/Media-Centre/News/Binaa-Construction-Permits-Platform-Launched; Abu Dhabi UPPC Circular 9 of 2026: https://www.Project.ae/en/article/c2qm3pn-uppc-issues-circular-streamline-construction; checked 2026-11-04.</w:t>
      </w:r>
    </w:p>
    <w:p>
      <w:pPr>
        <w:pStyle w:val="ListParagraph"/>
        <w:spacing w:after="40"/>
        <w:ind w:left="360" w:hanging="240"/>
      </w:pPr>
      <w:r>
        <w:t xml:space="preserve">•  </w:t>
      </w:r>
      <w:r>
        <w:t>USGBC LEED: https://www.usgbc.org/leed (version per project registration).</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BBM-STD-97-QUALITY_PROCEDURES-V0.3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cf57b4e72f80f4a9c7d511268ec03f" TargetMode="External"/><Relationship Id="rId14" Type="http://schemas.openxmlformats.org/officeDocument/2006/relationships/hyperlink" Target="https://github.com/Fargaly/baboom-bim-standard/blob/main/04-DOCUMENTS/BBM-STD-97-QUALITY_PROCEDURES-V0.3.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