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25 · Project Initiation — Worked Example</w:t>
      </w:r>
    </w:p>
    <w:p>
      <w:pPr/>
      <w:r>
        <w:t xml:space="preserve">Linked copies: ID STD-25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v0.3 · 4 November 2026 · Status: training draft for office review</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905"/>
        <w:gridCol w:w="1563"/>
        <w:gridCol w:w="7999"/>
      </w:tblGrid>
      <w:tr>
        <w:trPr>
          <w:cantSplit/>
          <w:tblHeader/>
        </w:trPr>
        <w:tc>
          <w:tcPr>
            <w:tcW w:type="dxa" w:w="905"/>
            <w:shd w:val="clear" w:color="auto" w:fill="111113"/>
          </w:tcPr>
          <w:p>
            <w:r>
              <w:rPr>
                <w:b/>
                <w:color w:val="FFFFFF"/>
                <w:sz w:val="17"/>
              </w:rPr>
            </w:r>
            <w:r>
              <w:rPr>
                <w:b/>
                <w:color w:val="FFFFFF"/>
                <w:sz w:val="17"/>
              </w:rPr>
              <w:t>Revision</w:t>
            </w:r>
          </w:p>
        </w:tc>
        <w:tc>
          <w:tcPr>
            <w:tcW w:type="dxa" w:w="1563"/>
            <w:shd w:val="clear" w:color="auto" w:fill="111113"/>
          </w:tcPr>
          <w:p>
            <w:r>
              <w:rPr>
                <w:b/>
                <w:color w:val="FFFFFF"/>
                <w:sz w:val="17"/>
              </w:rPr>
            </w:r>
            <w:r>
              <w:rPr>
                <w:b/>
                <w:color w:val="FFFFFF"/>
                <w:sz w:val="17"/>
              </w:rPr>
              <w:t>Date</w:t>
            </w:r>
          </w:p>
        </w:tc>
        <w:tc>
          <w:tcPr>
            <w:tcW w:type="dxa" w:w="7999"/>
            <w:shd w:val="clear" w:color="auto" w:fill="111113"/>
          </w:tcPr>
          <w:p>
            <w:r>
              <w:rPr>
                <w:b/>
                <w:color w:val="FFFFFF"/>
                <w:sz w:val="17"/>
              </w:rPr>
            </w:r>
            <w:r>
              <w:rPr>
                <w:b/>
                <w:color w:val="FFFFFF"/>
                <w:sz w:val="17"/>
              </w:rPr>
              <w:t>Change</w:t>
            </w:r>
          </w:p>
        </w:tc>
      </w:tr>
      <w:tr>
        <w:trPr>
          <w:cantSplit/>
        </w:trPr>
        <w:tc>
          <w:tcPr>
            <w:tcW w:type="dxa" w:w="905"/>
          </w:tcPr>
          <w:p>
            <w:r>
              <w:rPr>
                <w:sz w:val="17"/>
              </w:rPr>
            </w:r>
            <w:r>
              <w:rPr>
                <w:sz w:val="17"/>
              </w:rPr>
              <w:t>v0.2</w:t>
            </w:r>
          </w:p>
        </w:tc>
        <w:tc>
          <w:tcPr>
            <w:tcW w:type="dxa" w:w="1563"/>
          </w:tcPr>
          <w:p>
            <w:r>
              <w:rPr>
                <w:sz w:val="17"/>
              </w:rPr>
            </w:r>
            <w:r>
              <w:rPr>
                <w:sz w:val="17"/>
              </w:rPr>
              <w:t>14 October 2026</w:t>
            </w:r>
          </w:p>
        </w:tc>
        <w:tc>
          <w:tcPr>
            <w:tcW w:type="dxa" w:w="7999"/>
          </w:tcPr>
          <w:p>
            <w:r>
              <w:rPr>
                <w:sz w:val="17"/>
              </w:rPr>
            </w:r>
            <w:r>
              <w:rPr>
                <w:sz w:val="17"/>
              </w:rPr>
              <w:t>Training draft for office review</w:t>
            </w:r>
          </w:p>
        </w:tc>
      </w:tr>
      <w:tr>
        <w:trPr>
          <w:cantSplit/>
        </w:trPr>
        <w:tc>
          <w:tcPr>
            <w:tcW w:type="dxa" w:w="905"/>
          </w:tcPr>
          <w:p>
            <w:r>
              <w:rPr>
                <w:sz w:val="17"/>
              </w:rPr>
            </w:r>
            <w:r>
              <w:rPr>
                <w:sz w:val="17"/>
              </w:rPr>
              <w:t>v0.3</w:t>
            </w:r>
          </w:p>
        </w:tc>
        <w:tc>
          <w:tcPr>
            <w:tcW w:type="dxa" w:w="1563"/>
          </w:tcPr>
          <w:p>
            <w:r>
              <w:rPr>
                <w:sz w:val="17"/>
              </w:rPr>
            </w:r>
            <w:r>
              <w:rPr>
                <w:sz w:val="17"/>
              </w:rPr>
              <w:t>2026-11-04</w:t>
            </w:r>
          </w:p>
        </w:tc>
        <w:tc>
          <w:tcPr>
            <w:tcW w:type="dxa" w:w="7999"/>
          </w:tcPr>
          <w:p>
            <w:r>
              <w:rPr>
                <w:sz w:val="17"/>
              </w:rPr>
            </w:r>
            <w:r>
              <w:rPr>
                <w:sz w:val="17"/>
              </w:rPr>
              <w:t>folder names without dots (O-DEC-149): §2 points to the one project folder tree in Manual V0.4 §12.1</w:t>
            </w:r>
          </w:p>
        </w:tc>
      </w:tr>
    </w:tbl>
    <w:p/>
    <w:p>
      <w:pPr>
        <w:pStyle w:val="Heading1"/>
      </w:pPr>
      <w:r>
        <w:t>Purpose &amp; scope</w:t>
      </w:r>
    </w:p>
    <w:p>
      <w:pPr/>
      <w:r>
        <w:t>Read the commission before drawing. Break it into tasks, buildings, discipline scope, stages and exchanges; then plan people and time. This worked example keeps the office workshop’s initiation method without carrying a client project identifier into its title or reusable example. It covers project planning and enough software mobilisation to prove the starter environment is usable.</w:t>
      </w:r>
    </w:p>
    <w:p>
      <w:pPr>
        <w:pStyle w:val="Heading1"/>
      </w:pPr>
      <w:r>
        <w:t>Standards basis</w:t>
      </w:r>
    </w:p>
    <w:p>
      <w:pPr/>
      <w:r>
        <w:t>ISO 19650-1:2018 provides the requirements and party concepts; ISO 19650-2:2018 supports appointment, confirmed BEP, mobilisation and information delivery planning; ISO 19650-4:2022 supports exchange decisions; ISO 19650-5:2020 supports sensitivity-based custody. RIBA Plan of Work 2020 stages 0–7 are a framework, not a requirement for two revisions at every stage. This serves office Manual v0.1 §§2.1–2.3 governance/roles/milestones, §3.3 partitioning, §8.1 Project Initiation Protocol, §8.2.3 initiation methodology and §12 CDE. UK BIM Framework Guidance C (2020) and F (2020) explain workflow and planning implementation.</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Read and break down the commission</w:t>
      </w:r>
    </w:p>
    <w:p>
      <w:pPr/>
      <w:r>
        <w:t>Use a synthetic two-task commission. Task A refurbishes existing buildings, with interiors, services, facade and structural intervention subject to survey. Task B designs new low-rise buildings using the accommodation brief; its discipline scope includes landscape. Specifications, permits, studies, tender and supervision are separate explicit scope entries, included only where appointed. An early area estimate informs workload; it does not establish accepted accommodation or verified existing conditions.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20"/>
        <w:gridCol w:w="3575"/>
        <w:gridCol w:w="5571"/>
      </w:tblGrid>
      <w:tr>
        <w:trPr>
          <w:cantSplit/>
          <w:tblHeader/>
        </w:trPr>
        <w:tc>
          <w:tcPr>
            <w:tcW w:type="dxa" w:w="1320"/>
            <w:shd w:val="clear" w:color="auto" w:fill="111113"/>
          </w:tcPr>
          <w:p>
            <w:r>
              <w:rPr>
                <w:b/>
                <w:color w:val="FFFFFF"/>
                <w:sz w:val="17"/>
              </w:rPr>
            </w:r>
            <w:r>
              <w:rPr>
                <w:b/>
                <w:color w:val="FFFFFF"/>
                <w:sz w:val="17"/>
              </w:rPr>
              <w:t>Package</w:t>
            </w:r>
          </w:p>
        </w:tc>
        <w:tc>
          <w:tcPr>
            <w:tcW w:type="dxa" w:w="3575"/>
            <w:shd w:val="clear" w:color="auto" w:fill="111113"/>
          </w:tcPr>
          <w:p>
            <w:r>
              <w:rPr>
                <w:b/>
                <w:color w:val="FFFFFF"/>
                <w:sz w:val="17"/>
              </w:rPr>
            </w:r>
            <w:r>
              <w:rPr>
                <w:b/>
                <w:color w:val="FFFFFF"/>
                <w:sz w:val="17"/>
              </w:rPr>
              <w:t>Synthetic stage sequence</w:t>
            </w:r>
          </w:p>
        </w:tc>
        <w:tc>
          <w:tcPr>
            <w:tcW w:type="dxa" w:w="5571"/>
            <w:shd w:val="clear" w:color="auto" w:fill="111113"/>
          </w:tcPr>
          <w:p>
            <w:r>
              <w:rPr>
                <w:b/>
                <w:color w:val="FFFFFF"/>
                <w:sz w:val="17"/>
              </w:rPr>
            </w:r>
            <w:r>
              <w:rPr>
                <w:b/>
                <w:color w:val="FFFFFF"/>
                <w:sz w:val="17"/>
              </w:rPr>
              <w:t>Required clarification</w:t>
            </w:r>
          </w:p>
        </w:tc>
      </w:tr>
      <w:tr>
        <w:trPr>
          <w:cantSplit/>
        </w:trPr>
        <w:tc>
          <w:tcPr>
            <w:tcW w:type="dxa" w:w="1320"/>
          </w:tcPr>
          <w:p>
            <w:r>
              <w:rPr>
                <w:sz w:val="17"/>
              </w:rPr>
            </w:r>
            <w:r>
              <w:rPr>
                <w:sz w:val="17"/>
              </w:rPr>
              <w:t>A — refurbishment</w:t>
            </w:r>
          </w:p>
        </w:tc>
        <w:tc>
          <w:tcPr>
            <w:tcW w:type="dxa" w:w="3575"/>
          </w:tcPr>
          <w:p>
            <w:r>
              <w:rPr>
                <w:sz w:val="17"/>
              </w:rPr>
            </w:r>
            <w:r>
              <w:rPr>
                <w:sz w:val="17"/>
              </w:rPr>
              <w:t>A1 concept; A2 technical development; A3 tender package</w:t>
            </w:r>
          </w:p>
        </w:tc>
        <w:tc>
          <w:tcPr>
            <w:tcW w:type="dxa" w:w="5571"/>
          </w:tcPr>
          <w:p>
            <w:r>
              <w:rPr>
                <w:sz w:val="17"/>
              </w:rPr>
            </w:r>
            <w:r>
              <w:rPr>
                <w:sz w:val="17"/>
              </w:rPr>
              <w:t>Any omitted schematic package must have its required decisions/​information allocated elsewhere.</w:t>
            </w:r>
          </w:p>
        </w:tc>
      </w:tr>
      <w:tr>
        <w:trPr>
          <w:cantSplit/>
        </w:trPr>
        <w:tc>
          <w:tcPr>
            <w:tcW w:type="dxa" w:w="1320"/>
          </w:tcPr>
          <w:p>
            <w:r>
              <w:rPr>
                <w:sz w:val="17"/>
              </w:rPr>
            </w:r>
            <w:r>
              <w:rPr>
                <w:sz w:val="17"/>
              </w:rPr>
              <w:t>B — new building</w:t>
            </w:r>
          </w:p>
        </w:tc>
        <w:tc>
          <w:tcPr>
            <w:tcW w:type="dxa" w:w="3575"/>
          </w:tcPr>
          <w:p>
            <w:r>
              <w:rPr>
                <w:sz w:val="17"/>
              </w:rPr>
            </w:r>
            <w:r>
              <w:rPr>
                <w:sz w:val="17"/>
              </w:rPr>
              <w:t>B1 concept; B2 schematic development; B3 technical development; B4 tender</w:t>
            </w:r>
          </w:p>
        </w:tc>
        <w:tc>
          <w:tcPr>
            <w:tcW w:type="dxa" w:w="5571"/>
          </w:tcPr>
          <w:p>
            <w:r>
              <w:rPr>
                <w:sz w:val="17"/>
              </w:rPr>
            </w:r>
            <w:r>
              <w:rPr>
                <w:sz w:val="17"/>
              </w:rPr>
              <w:t>Confirm procurement, authority route, discipline responsibility and review periods.</w:t>
            </w:r>
          </w:p>
        </w:tc>
      </w:tr>
      <w:tr>
        <w:trPr>
          <w:cantSplit/>
        </w:trPr>
        <w:tc>
          <w:tcPr>
            <w:tcW w:type="dxa" w:w="1320"/>
          </w:tcPr>
          <w:p>
            <w:r>
              <w:rPr>
                <w:sz w:val="17"/>
              </w:rPr>
            </w:r>
            <w:r>
              <w:rPr>
                <w:sz w:val="17"/>
              </w:rPr>
              <w:t>Supervision</w:t>
            </w:r>
          </w:p>
        </w:tc>
        <w:tc>
          <w:tcPr>
            <w:tcW w:type="dxa" w:w="3575"/>
          </w:tcPr>
          <w:p>
            <w:r>
              <w:rPr>
                <w:sz w:val="17"/>
              </w:rPr>
            </w:r>
            <w:r>
              <w:rPr>
                <w:sz w:val="17"/>
              </w:rPr>
              <w:t>Separate appointment, if required</w:t>
            </w:r>
          </w:p>
        </w:tc>
        <w:tc>
          <w:tcPr>
            <w:tcW w:type="dxa" w:w="5571"/>
          </w:tcPr>
          <w:p>
            <w:r>
              <w:rPr>
                <w:sz w:val="17"/>
              </w:rPr>
            </w:r>
            <w:r>
              <w:rPr>
                <w:sz w:val="17"/>
              </w:rPr>
              <w:t>Confirm appointment, deliverables and mobilisation; do not assume it follows design automatically.</w:t>
            </w:r>
          </w:p>
        </w:tc>
      </w:tr>
    </w:tbl>
    <w:p/>
    <w:p>
      <w:pPr/>
      <w:r>
        <w:t>A1/B1 are local package labels, not RIBA stage numbers. Map them to required outcomes and exchanges; RIBA Stage 3 is Spatial Coordination, Stage 4 Technical Design, and Stages 4/5 can overlap by procurement. The nine manual phases (Intro, Setup, Modeling, Delivery, Information, Coordination, Discipline, Authority, Handover) organise training/workflows and do not replace those project stages.</w:t>
      </w:r>
    </w:p>
    <w:p>
      <w:pPr/>
      <w:r>
        <w:t>The workshop planned a review issue followed by an approval issue. Use that pattern only if the actual commission agrees it; revisions are not limited to two, and final submission still needs checks and receiving acceptance. Approval comments and changes must have owners, dates and revised scope/programme consequences.</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5-project-initiation.png"/>
                    <pic:cNvPicPr/>
                  </pic:nvPicPr>
                  <pic:blipFill>
                    <a:blip r:embed="rId15"/>
                    <a:stretch>
                      <a:fillRect/>
                    </a:stretch>
                  </pic:blipFill>
                  <pic:spPr>
                    <a:xfrm>
                      <a:off x="0" y="0"/>
                      <a:ext cx="6645910" cy="3738324"/>
                    </a:xfrm>
                    <a:prstGeom prst="rect"/>
                  </pic:spPr>
                </pic:pic>
              </a:graphicData>
            </a:graphic>
          </wp:inline>
        </w:drawing>
      </w:r>
    </w:p>
    <w:p>
      <w:pPr/>
      <w:r>
        <w:rPr>
          <w:i/>
        </w:rPr>
        <w:t>Task labels and review revisions are local planning choices; a receipt alone does not authorise information.</w:t>
      </w:r>
    </w:p>
    <w:p>
      <w:pPr>
        <w:pStyle w:val="Heading1"/>
      </w:pPr>
      <w:r>
        <w:t>2. Project records and CDE mapping</w:t>
      </w:r>
    </w:p>
    <w:p>
      <w:pPr/>
      <w:r>
        <w:t>Keep the office’s useful PM, Correspondence/Submittals, MOM/Memo/Report and Supervision record classes. Replace catch-all “Misc” with a controlled intake/index queue: assign an owner, sensitivity, destination and review date. These are record classes, not new top-level workspace folders. Inside ArchHub they stay within the authorised numbered area; do not create MISC or scatter files at root.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16"/>
        <w:gridCol w:w="2820"/>
        <w:gridCol w:w="4731"/>
      </w:tblGrid>
      <w:tr>
        <w:trPr>
          <w:cantSplit/>
          <w:tblHeader/>
        </w:trPr>
        <w:tc>
          <w:tcPr>
            <w:tcW w:type="dxa" w:w="2916"/>
            <w:shd w:val="clear" w:color="auto" w:fill="111113"/>
          </w:tcPr>
          <w:p>
            <w:r>
              <w:rPr>
                <w:b/>
                <w:color w:val="FFFFFF"/>
                <w:sz w:val="17"/>
              </w:rPr>
            </w:r>
            <w:r>
              <w:rPr>
                <w:b/>
                <w:color w:val="FFFFFF"/>
                <w:sz w:val="17"/>
              </w:rPr>
              <w:t>Record /​ container</w:t>
            </w:r>
          </w:p>
        </w:tc>
        <w:tc>
          <w:tcPr>
            <w:tcW w:type="dxa" w:w="2820"/>
            <w:shd w:val="clear" w:color="auto" w:fill="111113"/>
          </w:tcPr>
          <w:p>
            <w:r>
              <w:rPr>
                <w:b/>
                <w:color w:val="FFFFFF"/>
                <w:sz w:val="17"/>
              </w:rPr>
            </w:r>
            <w:r>
              <w:rPr>
                <w:b/>
                <w:color w:val="FFFFFF"/>
                <w:sz w:val="17"/>
              </w:rPr>
              <w:t>Working state and access</w:t>
            </w:r>
          </w:p>
        </w:tc>
        <w:tc>
          <w:tcPr>
            <w:tcW w:type="dxa" w:w="4731"/>
            <w:shd w:val="clear" w:color="auto" w:fill="111113"/>
          </w:tcPr>
          <w:p>
            <w:r>
              <w:rPr>
                <w:b/>
                <w:color w:val="FFFFFF"/>
                <w:sz w:val="17"/>
              </w:rPr>
            </w:r>
            <w:r>
              <w:rPr>
                <w:b/>
                <w:color w:val="FFFFFF"/>
                <w:sz w:val="17"/>
              </w:rPr>
              <w:t>Transition and retained evidence</w:t>
            </w:r>
          </w:p>
        </w:tc>
      </w:tr>
      <w:tr>
        <w:trPr>
          <w:cantSplit/>
        </w:trPr>
        <w:tc>
          <w:tcPr>
            <w:tcW w:type="dxa" w:w="2916"/>
          </w:tcPr>
          <w:p>
            <w:r>
              <w:rPr>
                <w:sz w:val="17"/>
              </w:rPr>
            </w:r>
            <w:r>
              <w:rPr>
                <w:sz w:val="17"/>
              </w:rPr>
              <w:t>Commission, contract, authorisations, CV evidence</w:t>
            </w:r>
          </w:p>
        </w:tc>
        <w:tc>
          <w:tcPr>
            <w:tcW w:type="dxa" w:w="2820"/>
          </w:tcPr>
          <w:p>
            <w:r>
              <w:rPr>
                <w:sz w:val="17"/>
              </w:rPr>
            </w:r>
            <w:r>
              <w:rPr>
                <w:sz w:val="17"/>
              </w:rPr>
              <w:t>Restricted project administration; approved copies separately controlled</w:t>
            </w:r>
          </w:p>
        </w:tc>
        <w:tc>
          <w:tcPr>
            <w:tcW w:type="dxa" w:w="4731"/>
          </w:tcPr>
          <w:p>
            <w:r>
              <w:rPr>
                <w:sz w:val="17"/>
              </w:rPr>
            </w:r>
            <w:r>
              <w:rPr>
                <w:sz w:val="17"/>
              </w:rPr>
              <w:t>Requirements owner confirms applicable revision; minimise personal data and distribution.</w:t>
            </w:r>
          </w:p>
        </w:tc>
      </w:tr>
      <w:tr>
        <w:trPr>
          <w:cantSplit/>
        </w:trPr>
        <w:tc>
          <w:tcPr>
            <w:tcW w:type="dxa" w:w="2916"/>
          </w:tcPr>
          <w:p>
            <w:r>
              <w:rPr>
                <w:sz w:val="17"/>
              </w:rPr>
            </w:r>
            <w:r>
              <w:rPr>
                <w:sz w:val="17"/>
              </w:rPr>
              <w:t>Task-team models/​calculations/​drawings</w:t>
            </w:r>
          </w:p>
        </w:tc>
        <w:tc>
          <w:tcPr>
            <w:tcW w:type="dxa" w:w="2820"/>
          </w:tcPr>
          <w:p>
            <w:r>
              <w:rPr>
                <w:sz w:val="17"/>
              </w:rPr>
            </w:r>
            <w:r>
              <w:rPr>
                <w:sz w:val="17"/>
              </w:rPr>
              <w:t>WIP; producer/​checker access</w:t>
            </w:r>
          </w:p>
        </w:tc>
        <w:tc>
          <w:tcPr>
            <w:tcW w:type="dxa" w:w="4731"/>
          </w:tcPr>
          <w:p>
            <w:r>
              <w:rPr>
                <w:sz w:val="17"/>
              </w:rPr>
            </w:r>
            <w:r>
              <w:rPr>
                <w:sz w:val="17"/>
              </w:rPr>
              <w:t>Internal check and approval for sharing before Shared.</w:t>
            </w:r>
          </w:p>
        </w:tc>
      </w:tr>
      <w:tr>
        <w:trPr>
          <w:cantSplit/>
        </w:trPr>
        <w:tc>
          <w:tcPr>
            <w:tcW w:type="dxa" w:w="2916"/>
          </w:tcPr>
          <w:p>
            <w:r>
              <w:rPr>
                <w:sz w:val="17"/>
              </w:rPr>
            </w:r>
            <w:r>
              <w:rPr>
                <w:sz w:val="17"/>
              </w:rPr>
              <w:t>Coordinated discipline package</w:t>
            </w:r>
          </w:p>
        </w:tc>
        <w:tc>
          <w:tcPr>
            <w:tcW w:type="dxa" w:w="2820"/>
          </w:tcPr>
          <w:p>
            <w:r>
              <w:rPr>
                <w:sz w:val="17"/>
              </w:rPr>
            </w:r>
            <w:r>
              <w:rPr>
                <w:sz w:val="17"/>
              </w:rPr>
              <w:t>Shared; permitted delivery-team recipients</w:t>
            </w:r>
          </w:p>
        </w:tc>
        <w:tc>
          <w:tcPr>
            <w:tcW w:type="dxa" w:w="4731"/>
          </w:tcPr>
          <w:p>
            <w:r>
              <w:rPr>
                <w:sz w:val="17"/>
              </w:rPr>
            </w:r>
            <w:r>
              <w:rPr>
                <w:sz w:val="17"/>
              </w:rPr>
              <w:t>Lead-appointed-party review/​authorisation for intended use; failed information returns for correction.</w:t>
            </w:r>
          </w:p>
        </w:tc>
      </w:tr>
      <w:tr>
        <w:trPr>
          <w:cantSplit/>
        </w:trPr>
        <w:tc>
          <w:tcPr>
            <w:tcW w:type="dxa" w:w="2916"/>
          </w:tcPr>
          <w:p>
            <w:r>
              <w:rPr>
                <w:sz w:val="17"/>
              </w:rPr>
            </w:r>
            <w:r>
              <w:rPr>
                <w:sz w:val="17"/>
              </w:rPr>
              <w:t>Authorised contractual exchange</w:t>
            </w:r>
          </w:p>
        </w:tc>
        <w:tc>
          <w:tcPr>
            <w:tcW w:type="dxa" w:w="2820"/>
          </w:tcPr>
          <w:p>
            <w:r>
              <w:rPr>
                <w:sz w:val="17"/>
              </w:rPr>
            </w:r>
            <w:r>
              <w:rPr>
                <w:sz w:val="17"/>
              </w:rPr>
              <w:t>Published/​accepted-use baseline under the agreed CDE workflow</w:t>
            </w:r>
          </w:p>
        </w:tc>
        <w:tc>
          <w:tcPr>
            <w:tcW w:type="dxa" w:w="4731"/>
          </w:tcPr>
          <w:p>
            <w:r>
              <w:rPr>
                <w:sz w:val="17"/>
              </w:rPr>
            </w:r>
            <w:r>
              <w:rPr>
                <w:sz w:val="17"/>
              </w:rPr>
              <w:t>Appointing-party acceptance decision against requirements; revision, suitability, transmittal and receipt retained.</w:t>
            </w:r>
          </w:p>
        </w:tc>
      </w:tr>
      <w:tr>
        <w:trPr>
          <w:cantSplit/>
        </w:trPr>
        <w:tc>
          <w:tcPr>
            <w:tcW w:type="dxa" w:w="2916"/>
          </w:tcPr>
          <w:p>
            <w:r>
              <w:rPr>
                <w:sz w:val="17"/>
              </w:rPr>
            </w:r>
            <w:r>
              <w:rPr>
                <w:sz w:val="17"/>
              </w:rPr>
              <w:t>Superseded issues, decisions and audit history</w:t>
            </w:r>
          </w:p>
        </w:tc>
        <w:tc>
          <w:tcPr>
            <w:tcW w:type="dxa" w:w="2820"/>
          </w:tcPr>
          <w:p>
            <w:r>
              <w:rPr>
                <w:sz w:val="17"/>
              </w:rPr>
            </w:r>
            <w:r>
              <w:rPr>
                <w:sz w:val="17"/>
              </w:rPr>
              <w:t>Archive; controlled read access</w:t>
            </w:r>
          </w:p>
        </w:tc>
        <w:tc>
          <w:tcPr>
            <w:tcW w:type="dxa" w:w="4731"/>
          </w:tcPr>
          <w:p>
            <w:r>
              <w:rPr>
                <w:sz w:val="17"/>
              </w:rPr>
            </w:r>
            <w:r>
              <w:rPr>
                <w:sz w:val="17"/>
              </w:rPr>
              <w:t>Retain exact versions and decisions; do not overwrite the accepted record.</w:t>
            </w:r>
          </w:p>
        </w:tc>
      </w:tr>
      <w:tr>
        <w:trPr>
          <w:cantSplit/>
        </w:trPr>
        <w:tc>
          <w:tcPr>
            <w:tcW w:type="dxa" w:w="2916"/>
          </w:tcPr>
          <w:p>
            <w:r>
              <w:rPr>
                <w:sz w:val="17"/>
              </w:rPr>
            </w:r>
            <w:r>
              <w:rPr>
                <w:sz w:val="17"/>
              </w:rPr>
              <w:t>Authority submission and receipt</w:t>
            </w:r>
          </w:p>
        </w:tc>
        <w:tc>
          <w:tcPr>
            <w:tcW w:type="dxa" w:w="2820"/>
          </w:tcPr>
          <w:p>
            <w:r>
              <w:rPr>
                <w:sz w:val="17"/>
              </w:rPr>
            </w:r>
            <w:r>
              <w:rPr>
                <w:sz w:val="17"/>
              </w:rPr>
              <w:t>Submission record linked to exact exchange revision</w:t>
            </w:r>
          </w:p>
        </w:tc>
        <w:tc>
          <w:tcPr>
            <w:tcW w:type="dxa" w:w="4731"/>
          </w:tcPr>
          <w:p>
            <w:r>
              <w:rPr>
                <w:sz w:val="17"/>
              </w:rPr>
            </w:r>
            <w:r>
              <w:rPr>
                <w:sz w:val="17"/>
              </w:rPr>
              <w:t>Receipt proves delivery, not technical approval or all CDE decisions. Record authority disposition separately.</w:t>
            </w:r>
          </w:p>
        </w:tc>
      </w:tr>
    </w:tbl>
    <w:p/>
    <w:p>
      <w:pPr/>
      <w:r>
        <w:t>A portal can implement some CDE functions; its existence alone does not prove the agreed permission/state workflow. Record the actual platform, state names, access groups, transition actors and evidence links. Contract/protocol particulars determine who can authorise and accept. A job title or folder name does not grant that power.</w:t>
      </w:r>
    </w:p>
    <w:p>
      <w:pPr/>
      <w:r>
        <w:t xml:space="preserve">Folder locations for these records follow the one project folder tree in </w:t>
      </w:r>
      <w:r>
        <w:rPr>
          <w:color w:val="9A7B45"/>
          <w:u w:val="single"/>
        </w:rPr>
        <w:t>Manual V0.5 §12.1</w:t>
      </w:r>
      <w:r>
        <w:t xml:space="preserve"> (state → data type → discipline; folder names NN-NAME without dots, </w:t>
      </w:r>
      <w:r>
        <w:rPr>
          <w:color w:val="9A7B45"/>
          <w:u w:val="single"/>
        </w:rPr>
        <w:t>O-DEC-149</w:t>
      </w:r>
      <w:r>
        <w:t>). This guide defines no folders of its own.</w:t>
      </w:r>
    </w:p>
    <w:p>
      <w:pPr>
        <w:pStyle w:val="Heading1"/>
      </w:pPr>
      <w:r>
        <w:t>Step-by-step procedure</w:t>
      </w:r>
    </w:p>
    <w:p>
      <w:pPr>
        <w:pStyle w:val="ListParagraph"/>
        <w:spacing w:after="40"/>
        <w:ind w:left="360" w:hanging="280"/>
      </w:pPr>
      <w:r>
        <w:t xml:space="preserve">1.  </w:t>
      </w:r>
      <w:r>
        <w:t>Project manager and requirements owner review the commission/RFP, signed appointment and information protocol. Record decisions, exclusions, interfaces, assumptions and requested clarifications. Confirm legal document precedence with the authorised contract owner; this guide supplies no replacement hierarchy.</w:t>
      </w:r>
    </w:p>
    <w:p>
      <w:pPr>
        <w:pStyle w:val="ListParagraph"/>
        <w:spacing w:after="40"/>
        <w:ind w:left="360" w:hanging="280"/>
      </w:pPr>
      <w:r>
        <w:t xml:space="preserve">2.  </w:t>
      </w:r>
      <w:r>
        <w:t>Split scope by task/building/discipline/package. Assign accountable package leads and detailed production responsibilities, including specialist studies. Assess CV/competence evidence, actual staff availability and required experience. Allocate work by expertise where useful (sections, finish schedules, details) while retaining a named owner for each delivered container and cross-building interface.</w:t>
      </w:r>
    </w:p>
    <w:p>
      <w:pPr>
        <w:pStyle w:val="ListParagraph"/>
        <w:spacing w:after="40"/>
        <w:ind w:left="360" w:hanging="280"/>
      </w:pPr>
      <w:r>
        <w:t xml:space="preserve">3.  </w:t>
      </w:r>
      <w:r>
        <w:t>Define each exchange’s purpose, recipient, date, LOIN, formats, quality criteria and sensitivity. Derive task-team TIDPs and consolidate the MIDP; a RACI is not a delivery plan. Include dependencies, production duration, review/authorisation/acceptance windows and an agreed baseline/change owner.</w:t>
      </w:r>
    </w:p>
    <w:p>
      <w:pPr>
        <w:pStyle w:val="ListParagraph"/>
        <w:spacing w:after="40"/>
        <w:ind w:left="360" w:hanging="280"/>
      </w:pPr>
      <w:r>
        <w:t xml:space="preserve">4.  </w:t>
      </w:r>
      <w:r>
        <w:t>Build the programme in the approved scheduling tool; the workshop used a scheduling application, but the tool is not an ISO requirement. Include team mobilisation, authorisations, authority registration, surveys, design and realistic review time. Test a delayed review scenario and adjust dependencies; do not assume a two-week review will always finish in two weeks.</w:t>
      </w:r>
    </w:p>
    <w:p>
      <w:pPr>
        <w:pStyle w:val="ListParagraph"/>
        <w:spacing w:after="40"/>
        <w:ind w:left="360" w:hanging="280"/>
      </w:pPr>
      <w:r>
        <w:t xml:space="preserve">5.  </w:t>
      </w:r>
      <w:r>
        <w:t>Collect existing drawings/archive records, site observations/photos and available surveys. Log origin, revision, date, survey method, accuracy/uncertainty and intended permitted use. Designate the coordinate/datum owner and authoritative levels, units, reference system, origin/north strategy and survey controls. Approximate/as-recorded inputs stay provisional until independently verified for the intended use.</w:t>
      </w:r>
    </w:p>
    <w:p>
      <w:pPr>
        <w:pStyle w:val="ListParagraph"/>
        <w:spacing w:after="40"/>
        <w:ind w:left="360" w:hanging="280"/>
      </w:pPr>
      <w:r>
        <w:t xml:space="preserve">6.  </w:t>
      </w:r>
      <w:r>
        <w:t>For new development confirm the applicable controlled regulation/brief: height, floors, coverage, uses, access and interfaces with demolition/extensions. The authorised discipline/authority owner confirms current requirements and evidence. No generic numerical code limit is invented here.</w:t>
      </w:r>
    </w:p>
    <w:p>
      <w:pPr>
        <w:pStyle w:val="ListParagraph"/>
        <w:spacing w:after="40"/>
        <w:ind w:left="360" w:hanging="280"/>
      </w:pPr>
      <w:r>
        <w:t xml:space="preserve">7.  </w:t>
      </w:r>
      <w:r>
        <w:t>Approve the model split and linked-reference register: datum/site file, discipline/building files, link owner/revision/reload route and coordinate method. Check two separated control points and one elevation against the accepted reference with recorded tolerances. Resolve misalignment before coordination.</w:t>
      </w:r>
    </w:p>
    <w:p>
      <w:pPr>
        <w:pStyle w:val="ListParagraph"/>
        <w:spacing w:after="40"/>
        <w:ind w:left="360" w:hanging="280"/>
      </w:pPr>
      <w:r>
        <w:t xml:space="preserve">8.  </w:t>
      </w:r>
      <w:r>
        <w:t>Complete the exact software/build/template/content/exporter baseline. Create a representative starter model from the approved template. Set project units and discipline, controlled view templates/graphics, browser organisation, required parameters, title block and initial approved families. Verify datum/reference positioning and record any approved deviation. Guide 21 supplies detailed interface practice; these checks remain mandatory here.</w:t>
      </w:r>
    </w:p>
    <w:p>
      <w:pPr>
        <w:pStyle w:val="ListParagraph"/>
        <w:spacing w:after="40"/>
        <w:ind w:left="360" w:hanging="280"/>
      </w:pPr>
      <w:r>
        <w:t xml:space="preserve">9.  </w:t>
      </w:r>
      <w:r>
        <w:t>Produce one starter plan/section sheet, an itemised schedule and a shared-parameter tag. Populate synthetic IDs and compare model/tag/schedule/title-block values. Export the agreed IFC profile and open it in the receiving tool; reconcile object counts, mapped properties, coordinates and dimensions. Log missing/invalid data and correct/retest before releasing setup.</w:t>
      </w:r>
    </w:p>
    <w:p>
      <w:pPr>
        <w:pStyle w:val="ListParagraph"/>
        <w:spacing w:after="40"/>
        <w:ind w:left="360" w:hanging="280"/>
      </w:pPr>
      <w:r>
        <w:t xml:space="preserve">10.  </w:t>
      </w:r>
      <w:r>
        <w:t>Test permissions and the complete exchange route: producer check, sharing, team authorisation, receiving acceptance/rejection, resubmission, archive and transmittal receipt. Name each actor and retain the exact revisions and decisions. Platform publication and formal acceptance are separately recorded.</w:t>
      </w:r>
    </w:p>
    <w:p>
      <w:pPr>
        <w:pStyle w:val="ListParagraph"/>
        <w:spacing w:after="40"/>
        <w:ind w:left="360" w:hanging="280"/>
      </w:pPr>
      <w:r>
        <w:t xml:space="preserve">11.  </w:t>
      </w:r>
      <w:r>
        <w:t>Agree the common architectural identity through approved option/mood-board review where appointed. Reuse facade/interior/room principles with controlled variations per building; a repeated theme must still meet each building’s constraints and required information.</w:t>
      </w:r>
    </w:p>
    <w:p>
      <w:pPr>
        <w:pStyle w:val="ListParagraph"/>
        <w:spacing w:after="40"/>
        <w:ind w:left="360" w:hanging="280"/>
      </w:pPr>
      <w:r>
        <w:t xml:space="preserve">12.  </w:t>
      </w:r>
      <w:r>
        <w:t>Preserve the accepted compatible starter baseline and all linked/content revisions. Upgrade only a copy after approval, including add-in/exporter compatibility and representative output checks. Revit files are not backward-compatible. Rollback restores the preserved compatible baseline for the coordinated team; never upgrade the only copy.</w:t>
      </w:r>
    </w:p>
    <w:p>
      <w:pPr>
        <w:pStyle w:val="Heading1"/>
      </w:pPr>
      <w:r>
        <w:t>Initiation register and worked assessment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31"/>
        <w:gridCol w:w="2314"/>
        <w:gridCol w:w="2011"/>
        <w:gridCol w:w="2714"/>
        <w:gridCol w:w="2696"/>
      </w:tblGrid>
      <w:tr>
        <w:trPr>
          <w:cantSplit/>
          <w:tblHeader/>
        </w:trPr>
        <w:tc>
          <w:tcPr>
            <w:tcW w:type="dxa" w:w="731"/>
            <w:shd w:val="clear" w:color="auto" w:fill="111113"/>
          </w:tcPr>
          <w:p>
            <w:r>
              <w:rPr>
                <w:b/>
                <w:color w:val="FFFFFF"/>
                <w:sz w:val="17"/>
              </w:rPr>
            </w:r>
            <w:r>
              <w:rPr>
                <w:b/>
                <w:color w:val="FFFFFF"/>
                <w:sz w:val="17"/>
              </w:rPr>
              <w:t>ID</w:t>
            </w:r>
          </w:p>
        </w:tc>
        <w:tc>
          <w:tcPr>
            <w:tcW w:type="dxa" w:w="2314"/>
            <w:shd w:val="clear" w:color="auto" w:fill="111113"/>
          </w:tcPr>
          <w:p>
            <w:r>
              <w:rPr>
                <w:b/>
                <w:color w:val="FFFFFF"/>
                <w:sz w:val="17"/>
              </w:rPr>
            </w:r>
            <w:r>
              <w:rPr>
                <w:b/>
                <w:color w:val="FFFFFF"/>
                <w:sz w:val="17"/>
              </w:rPr>
              <w:t>Decision/​output</w:t>
            </w:r>
          </w:p>
        </w:tc>
        <w:tc>
          <w:tcPr>
            <w:tcW w:type="dxa" w:w="2011"/>
            <w:shd w:val="clear" w:color="auto" w:fill="111113"/>
          </w:tcPr>
          <w:p>
            <w:r>
              <w:rPr>
                <w:b/>
                <w:color w:val="FFFFFF"/>
                <w:sz w:val="17"/>
              </w:rPr>
            </w:r>
            <w:r>
              <w:rPr>
                <w:b/>
                <w:color w:val="FFFFFF"/>
                <w:sz w:val="17"/>
              </w:rPr>
              <w:t>Owner /​ dependency</w:t>
            </w:r>
          </w:p>
        </w:tc>
        <w:tc>
          <w:tcPr>
            <w:tcW w:type="dxa" w:w="2714"/>
            <w:shd w:val="clear" w:color="auto" w:fill="111113"/>
          </w:tcPr>
          <w:p>
            <w:r>
              <w:rPr>
                <w:b/>
                <w:color w:val="FFFFFF"/>
                <w:sz w:val="17"/>
              </w:rPr>
            </w:r>
            <w:r>
              <w:rPr>
                <w:b/>
                <w:color w:val="FFFFFF"/>
                <w:sz w:val="17"/>
              </w:rPr>
              <w:t>Expected check</w:t>
            </w:r>
          </w:p>
        </w:tc>
        <w:tc>
          <w:tcPr>
            <w:tcW w:type="dxa" w:w="2696"/>
            <w:shd w:val="clear" w:color="auto" w:fill="111113"/>
          </w:tcPr>
          <w:p>
            <w:r>
              <w:rPr>
                <w:b/>
                <w:color w:val="FFFFFF"/>
                <w:sz w:val="17"/>
              </w:rPr>
            </w:r>
            <w:r>
              <w:rPr>
                <w:b/>
                <w:color w:val="FFFFFF"/>
                <w:sz w:val="17"/>
              </w:rPr>
              <w:t>Evidence /​ status to enter</w:t>
            </w:r>
          </w:p>
        </w:tc>
      </w:tr>
      <w:tr>
        <w:trPr>
          <w:cantSplit/>
        </w:trPr>
        <w:tc>
          <w:tcPr>
            <w:tcW w:type="dxa" w:w="731"/>
          </w:tcPr>
          <w:p>
            <w:r>
              <w:rPr>
                <w:sz w:val="17"/>
              </w:rPr>
            </w:r>
            <w:r>
              <w:rPr>
                <w:sz w:val="17"/>
              </w:rPr>
              <w:t>INIT-01</w:t>
            </w:r>
          </w:p>
        </w:tc>
        <w:tc>
          <w:tcPr>
            <w:tcW w:type="dxa" w:w="2314"/>
          </w:tcPr>
          <w:p>
            <w:r>
              <w:rPr>
                <w:sz w:val="17"/>
              </w:rPr>
            </w:r>
            <w:r>
              <w:rPr>
                <w:sz w:val="17"/>
              </w:rPr>
              <w:t>Task/​building scope and exclusions</w:t>
            </w:r>
          </w:p>
        </w:tc>
        <w:tc>
          <w:tcPr>
            <w:tcW w:type="dxa" w:w="2011"/>
          </w:tcPr>
          <w:p>
            <w:r>
              <w:rPr>
                <w:sz w:val="17"/>
              </w:rPr>
            </w:r>
            <w:r>
              <w:rPr>
                <w:sz w:val="17"/>
              </w:rPr>
              <w:t>Project manager; appointment</w:t>
            </w:r>
          </w:p>
        </w:tc>
        <w:tc>
          <w:tcPr>
            <w:tcW w:type="dxa" w:w="2714"/>
          </w:tcPr>
          <w:p>
            <w:r>
              <w:rPr>
                <w:sz w:val="17"/>
              </w:rPr>
            </w:r>
            <w:r>
              <w:rPr>
                <w:sz w:val="17"/>
              </w:rPr>
              <w:t>Every deliverable/​interface has an owner</w:t>
            </w:r>
          </w:p>
        </w:tc>
        <w:tc>
          <w:tcPr>
            <w:tcW w:type="dxa" w:w="2696"/>
          </w:tcPr>
          <w:p>
            <w:r>
              <w:rPr>
                <w:sz w:val="17"/>
              </w:rPr>
            </w:r>
            <w:r>
              <w:rPr>
                <w:sz w:val="17"/>
              </w:rPr>
              <w:t>[matrix revision; unresolved query; date]</w:t>
            </w:r>
          </w:p>
        </w:tc>
      </w:tr>
      <w:tr>
        <w:trPr>
          <w:cantSplit/>
        </w:trPr>
        <w:tc>
          <w:tcPr>
            <w:tcW w:type="dxa" w:w="731"/>
          </w:tcPr>
          <w:p>
            <w:r>
              <w:rPr>
                <w:sz w:val="17"/>
              </w:rPr>
            </w:r>
            <w:r>
              <w:rPr>
                <w:sz w:val="17"/>
              </w:rPr>
              <w:t>INIT-02</w:t>
            </w:r>
          </w:p>
        </w:tc>
        <w:tc>
          <w:tcPr>
            <w:tcW w:type="dxa" w:w="2314"/>
          </w:tcPr>
          <w:p>
            <w:r>
              <w:rPr>
                <w:sz w:val="17"/>
              </w:rPr>
            </w:r>
            <w:r>
              <w:rPr>
                <w:sz w:val="17"/>
              </w:rPr>
              <w:t>Survey/​datum and source register</w:t>
            </w:r>
          </w:p>
        </w:tc>
        <w:tc>
          <w:tcPr>
            <w:tcW w:type="dxa" w:w="2011"/>
          </w:tcPr>
          <w:p>
            <w:r>
              <w:rPr>
                <w:sz w:val="17"/>
              </w:rPr>
            </w:r>
            <w:r>
              <w:rPr>
                <w:sz w:val="17"/>
              </w:rPr>
              <w:t>Datum owner; verified survey</w:t>
            </w:r>
          </w:p>
        </w:tc>
        <w:tc>
          <w:tcPr>
            <w:tcW w:type="dxa" w:w="2714"/>
          </w:tcPr>
          <w:p>
            <w:r>
              <w:rPr>
                <w:sz w:val="17"/>
              </w:rPr>
            </w:r>
            <w:r>
              <w:rPr>
                <w:sz w:val="17"/>
              </w:rPr>
              <w:t>Point/​elevation tests and uncertainty accepted</w:t>
            </w:r>
          </w:p>
        </w:tc>
        <w:tc>
          <w:tcPr>
            <w:tcW w:type="dxa" w:w="2696"/>
          </w:tcPr>
          <w:p>
            <w:r>
              <w:rPr>
                <w:sz w:val="17"/>
              </w:rPr>
            </w:r>
            <w:r>
              <w:rPr>
                <w:sz w:val="17"/>
              </w:rPr>
              <w:t>[reference revision; deviations; approval]</w:t>
            </w:r>
          </w:p>
        </w:tc>
      </w:tr>
      <w:tr>
        <w:trPr>
          <w:cantSplit/>
        </w:trPr>
        <w:tc>
          <w:tcPr>
            <w:tcW w:type="dxa" w:w="731"/>
          </w:tcPr>
          <w:p>
            <w:r>
              <w:rPr>
                <w:sz w:val="17"/>
              </w:rPr>
            </w:r>
            <w:r>
              <w:rPr>
                <w:sz w:val="17"/>
              </w:rPr>
              <w:t>INIT-03</w:t>
            </w:r>
          </w:p>
        </w:tc>
        <w:tc>
          <w:tcPr>
            <w:tcW w:type="dxa" w:w="2314"/>
          </w:tcPr>
          <w:p>
            <w:r>
              <w:rPr>
                <w:sz w:val="17"/>
              </w:rPr>
            </w:r>
            <w:r>
              <w:rPr>
                <w:sz w:val="17"/>
              </w:rPr>
              <w:t>TIDPs → MIDP baseline</w:t>
            </w:r>
          </w:p>
        </w:tc>
        <w:tc>
          <w:tcPr>
            <w:tcW w:type="dxa" w:w="2011"/>
          </w:tcPr>
          <w:p>
            <w:r>
              <w:rPr>
                <w:sz w:val="17"/>
              </w:rPr>
            </w:r>
            <w:r>
              <w:rPr>
                <w:sz w:val="17"/>
              </w:rPr>
              <w:t>Task leads /​ delivery-team planner</w:t>
            </w:r>
          </w:p>
        </w:tc>
        <w:tc>
          <w:tcPr>
            <w:tcW w:type="dxa" w:w="2714"/>
          </w:tcPr>
          <w:p>
            <w:r>
              <w:rPr>
                <w:sz w:val="17"/>
              </w:rPr>
            </w:r>
            <w:r>
              <w:rPr>
                <w:sz w:val="17"/>
              </w:rPr>
              <w:t>Dependencies and review windows reconciled</w:t>
            </w:r>
          </w:p>
        </w:tc>
        <w:tc>
          <w:tcPr>
            <w:tcW w:type="dxa" w:w="2696"/>
          </w:tcPr>
          <w:p>
            <w:r>
              <w:rPr>
                <w:sz w:val="17"/>
              </w:rPr>
            </w:r>
            <w:r>
              <w:rPr>
                <w:sz w:val="17"/>
              </w:rPr>
              <w:t>[container IDs; dates; baseline decision]</w:t>
            </w:r>
          </w:p>
        </w:tc>
      </w:tr>
      <w:tr>
        <w:trPr>
          <w:cantSplit/>
        </w:trPr>
        <w:tc>
          <w:tcPr>
            <w:tcW w:type="dxa" w:w="731"/>
          </w:tcPr>
          <w:p>
            <w:r>
              <w:rPr>
                <w:sz w:val="17"/>
              </w:rPr>
            </w:r>
            <w:r>
              <w:rPr>
                <w:sz w:val="17"/>
              </w:rPr>
              <w:t>INIT-04</w:t>
            </w:r>
          </w:p>
        </w:tc>
        <w:tc>
          <w:tcPr>
            <w:tcW w:type="dxa" w:w="2314"/>
          </w:tcPr>
          <w:p>
            <w:r>
              <w:rPr>
                <w:sz w:val="17"/>
              </w:rPr>
            </w:r>
            <w:r>
              <w:rPr>
                <w:sz w:val="17"/>
              </w:rPr>
              <w:t>Build/​template/​content baseline</w:t>
            </w:r>
          </w:p>
        </w:tc>
        <w:tc>
          <w:tcPr>
            <w:tcW w:type="dxa" w:w="2011"/>
          </w:tcPr>
          <w:p>
            <w:r>
              <w:rPr>
                <w:sz w:val="17"/>
              </w:rPr>
            </w:r>
            <w:r>
              <w:rPr>
                <w:sz w:val="17"/>
              </w:rPr>
              <w:t>BIM/​IT owner</w:t>
            </w:r>
          </w:p>
        </w:tc>
        <w:tc>
          <w:tcPr>
            <w:tcW w:type="dxa" w:w="2714"/>
          </w:tcPr>
          <w:p>
            <w:r>
              <w:rPr>
                <w:sz w:val="17"/>
              </w:rPr>
            </w:r>
            <w:r>
              <w:rPr>
                <w:sz w:val="17"/>
              </w:rPr>
              <w:t>Exact compatible revisions approved</w:t>
            </w:r>
          </w:p>
        </w:tc>
        <w:tc>
          <w:tcPr>
            <w:tcW w:type="dxa" w:w="2696"/>
          </w:tcPr>
          <w:p>
            <w:r>
              <w:rPr>
                <w:sz w:val="17"/>
              </w:rPr>
            </w:r>
            <w:r>
              <w:rPr>
                <w:sz w:val="17"/>
              </w:rPr>
              <w:t>[inventory; access test; rollback copy]</w:t>
            </w:r>
          </w:p>
        </w:tc>
      </w:tr>
      <w:tr>
        <w:trPr>
          <w:cantSplit/>
        </w:trPr>
        <w:tc>
          <w:tcPr>
            <w:tcW w:type="dxa" w:w="731"/>
          </w:tcPr>
          <w:p>
            <w:r>
              <w:rPr>
                <w:sz w:val="17"/>
              </w:rPr>
            </w:r>
            <w:r>
              <w:rPr>
                <w:sz w:val="17"/>
              </w:rPr>
              <w:t>INIT-05</w:t>
            </w:r>
          </w:p>
        </w:tc>
        <w:tc>
          <w:tcPr>
            <w:tcW w:type="dxa" w:w="2314"/>
          </w:tcPr>
          <w:p>
            <w:r>
              <w:rPr>
                <w:sz w:val="17"/>
              </w:rPr>
            </w:r>
            <w:r>
              <w:rPr>
                <w:sz w:val="17"/>
              </w:rPr>
              <w:t>Starter sheet/​schedule/​IFC</w:t>
            </w:r>
          </w:p>
        </w:tc>
        <w:tc>
          <w:tcPr>
            <w:tcW w:type="dxa" w:w="2011"/>
          </w:tcPr>
          <w:p>
            <w:r>
              <w:rPr>
                <w:sz w:val="17"/>
              </w:rPr>
            </w:r>
            <w:r>
              <w:rPr>
                <w:sz w:val="17"/>
              </w:rPr>
              <w:t>Author/​checker/​recipient</w:t>
            </w:r>
          </w:p>
        </w:tc>
        <w:tc>
          <w:tcPr>
            <w:tcW w:type="dxa" w:w="2714"/>
          </w:tcPr>
          <w:p>
            <w:r>
              <w:rPr>
                <w:sz w:val="17"/>
              </w:rPr>
            </w:r>
            <w:r>
              <w:rPr>
                <w:sz w:val="17"/>
              </w:rPr>
              <w:t>Known values reconcile end to end</w:t>
            </w:r>
          </w:p>
        </w:tc>
        <w:tc>
          <w:tcPr>
            <w:tcW w:type="dxa" w:w="2696"/>
          </w:tcPr>
          <w:p>
            <w:r>
              <w:rPr>
                <w:sz w:val="17"/>
              </w:rPr>
            </w:r>
            <w:r>
              <w:rPr>
                <w:sz w:val="17"/>
              </w:rPr>
              <w:t>[model; PDF; schedule; IFC; report]</w:t>
            </w:r>
          </w:p>
        </w:tc>
      </w:tr>
      <w:tr>
        <w:trPr>
          <w:cantSplit/>
        </w:trPr>
        <w:tc>
          <w:tcPr>
            <w:tcW w:type="dxa" w:w="731"/>
          </w:tcPr>
          <w:p>
            <w:r>
              <w:rPr>
                <w:sz w:val="17"/>
              </w:rPr>
            </w:r>
            <w:r>
              <w:rPr>
                <w:sz w:val="17"/>
              </w:rPr>
              <w:t>INIT-06</w:t>
            </w:r>
          </w:p>
        </w:tc>
        <w:tc>
          <w:tcPr>
            <w:tcW w:type="dxa" w:w="2314"/>
          </w:tcPr>
          <w:p>
            <w:r>
              <w:rPr>
                <w:sz w:val="17"/>
              </w:rPr>
            </w:r>
            <w:r>
              <w:rPr>
                <w:sz w:val="17"/>
              </w:rPr>
              <w:t>CDE and mobilisation release</w:t>
            </w:r>
          </w:p>
        </w:tc>
        <w:tc>
          <w:tcPr>
            <w:tcW w:type="dxa" w:w="2011"/>
          </w:tcPr>
          <w:p>
            <w:r>
              <w:rPr>
                <w:sz w:val="17"/>
              </w:rPr>
            </w:r>
            <w:r>
              <w:rPr>
                <w:sz w:val="17"/>
              </w:rPr>
              <w:t>Assigned authoriser/​acceptor</w:t>
            </w:r>
          </w:p>
        </w:tc>
        <w:tc>
          <w:tcPr>
            <w:tcW w:type="dxa" w:w="2714"/>
          </w:tcPr>
          <w:p>
            <w:r>
              <w:rPr>
                <w:sz w:val="17"/>
              </w:rPr>
            </w:r>
            <w:r>
              <w:rPr>
                <w:sz w:val="17"/>
              </w:rPr>
              <w:t>Permission/​state/​decision loop exercised</w:t>
            </w:r>
          </w:p>
        </w:tc>
        <w:tc>
          <w:tcPr>
            <w:tcW w:type="dxa" w:w="2696"/>
          </w:tcPr>
          <w:p>
            <w:r>
              <w:rPr>
                <w:sz w:val="17"/>
              </w:rPr>
            </w:r>
            <w:r>
              <w:rPr>
                <w:sz w:val="17"/>
              </w:rPr>
              <w:t>[transmittal; rejection/​retest; acceptance]</w:t>
            </w:r>
          </w:p>
        </w:tc>
      </w:tr>
    </w:tbl>
    <w:p/>
    <w:p>
      <w:pPr/>
      <w:r>
        <w:t>Exercise: build the two-task scope and programme, including one delayed client review, then populate INIT-01–06 using a synthetic two-level starter building. Include one deliberately wrong parameter value and one rejected exchange; show correction and resubmission. Retain scope/programme, baseline, annotated datum/sheet screenshots, itemised schedule, receiver report and CDE decision record. Assessor checks that no activity starts on an unresolved critical dependency and that authority is assigned by appointment.</w:t>
      </w:r>
    </w:p>
    <w:p>
      <w:pPr>
        <w:pStyle w:val="Heading1"/>
      </w:pPr>
      <w:r>
        <w:t>Acceptance criteria / self-check list</w:t>
      </w:r>
    </w:p>
    <w:p>
      <w:pPr>
        <w:pStyle w:val="ListParagraph"/>
        <w:spacing w:after="40"/>
        <w:ind w:left="360" w:hanging="240"/>
      </w:pPr>
      <w:r>
        <w:t xml:space="preserve">•  </w:t>
      </w:r>
      <w:r>
        <w:t>Scope/stage outcomes, discipline interfaces, excluded supervision and change authority are explicit.</w:t>
      </w:r>
    </w:p>
    <w:p>
      <w:pPr>
        <w:pStyle w:val="ListParagraph"/>
        <w:spacing w:after="40"/>
        <w:ind w:left="360" w:hanging="240"/>
      </w:pPr>
      <w:r>
        <w:t xml:space="preserve">•  </w:t>
      </w:r>
      <w:r>
        <w:t>Named container producers, dependencies, production/review periods and exchange recipients form a reconciled baseline.</w:t>
      </w:r>
    </w:p>
    <w:p>
      <w:pPr>
        <w:pStyle w:val="ListParagraph"/>
        <w:spacing w:after="40"/>
        <w:ind w:left="360" w:hanging="240"/>
      </w:pPr>
      <w:r>
        <w:t xml:space="preserve">•  </w:t>
      </w:r>
      <w:r>
        <w:t>Authoritative datum/source provenance and point/elevation tests are complete; provisional data is labelled and excluded from inappropriate use.</w:t>
      </w:r>
    </w:p>
    <w:p>
      <w:pPr>
        <w:pStyle w:val="ListParagraph"/>
        <w:spacing w:after="40"/>
        <w:ind w:left="360" w:hanging="240"/>
      </w:pPr>
      <w:r>
        <w:t xml:space="preserve">•  </w:t>
      </w:r>
      <w:r>
        <w:t>Units, graphics/templates/content and exact builds are approved; compatible rollback baseline exists.</w:t>
      </w:r>
    </w:p>
    <w:p>
      <w:pPr>
        <w:pStyle w:val="ListParagraph"/>
        <w:spacing w:after="40"/>
        <w:ind w:left="360" w:hanging="240"/>
      </w:pPr>
      <w:r>
        <w:t xml:space="preserve">•  </w:t>
      </w:r>
      <w:r>
        <w:t>Starter sheet/tag/schedule and recipient IFC reconcile required geometry/data/documents with no mandatory failures.</w:t>
      </w:r>
    </w:p>
    <w:p>
      <w:pPr>
        <w:pStyle w:val="ListParagraph"/>
        <w:spacing w:after="40"/>
        <w:ind w:left="360" w:hanging="240"/>
      </w:pPr>
      <w:r>
        <w:t xml:space="preserve">•  </w:t>
      </w:r>
      <w:r>
        <w:t>Tested CDE workflow separates submission receipt, authorisation, technical acceptance and rejected/resubmitted revisions.</w:t>
      </w:r>
    </w:p>
    <w:p>
      <w:pPr>
        <w:pStyle w:val="ListParagraph"/>
        <w:spacing w:after="40"/>
        <w:ind w:left="360" w:hanging="240"/>
      </w:pPr>
      <w:r>
        <w:t xml:space="preserve">•  </w:t>
      </w:r>
      <w:r>
        <w:t>Team access, competence/capacity and assessed mobilisation evidence are recorded before project use.</w:t>
      </w:r>
    </w:p>
    <w:p>
      <w:pPr>
        <w:pStyle w:val="Heading1"/>
      </w:pPr>
      <w:r>
        <w:t>Common mistakes</w:t>
      </w:r>
    </w:p>
    <w:p>
      <w:pPr>
        <w:pStyle w:val="ListParagraph"/>
        <w:spacing w:after="40"/>
        <w:ind w:left="360" w:hanging="240"/>
      </w:pPr>
      <w:r>
        <w:t xml:space="preserve">•  </w:t>
      </w:r>
      <w:r>
        <w:t>Starting geometry before reading the commission: record scope and requirements first.</w:t>
      </w:r>
    </w:p>
    <w:p>
      <w:pPr>
        <w:pStyle w:val="ListParagraph"/>
        <w:spacing w:after="40"/>
        <w:ind w:left="360" w:hanging="240"/>
      </w:pPr>
      <w:r>
        <w:t xml:space="preserve">•  </w:t>
      </w:r>
      <w:r>
        <w:t>Treating task labels or two issues as universal RIBA rules: map actual outcomes and review obligations.</w:t>
      </w:r>
    </w:p>
    <w:p>
      <w:pPr>
        <w:pStyle w:val="ListParagraph"/>
        <w:spacing w:after="40"/>
        <w:ind w:left="360" w:hanging="240"/>
      </w:pPr>
      <w:r>
        <w:t xml:space="preserve">•  </w:t>
      </w:r>
      <w:r>
        <w:t>Calling archive drawings verified as-built: record uncertainty and independent verification.</w:t>
      </w:r>
    </w:p>
    <w:p>
      <w:pPr>
        <w:pStyle w:val="ListParagraph"/>
        <w:spacing w:after="40"/>
        <w:ind w:left="360" w:hanging="240"/>
      </w:pPr>
      <w:r>
        <w:t xml:space="preserve">•  </w:t>
      </w:r>
      <w:r>
        <w:t>Confusing a receipt with approval: retain separate receiving decisions.</w:t>
      </w:r>
    </w:p>
    <w:p>
      <w:pPr>
        <w:pStyle w:val="ListParagraph"/>
        <w:spacing w:after="40"/>
        <w:ind w:left="360" w:hanging="240"/>
      </w:pPr>
      <w:r>
        <w:t xml:space="preserve">•  </w:t>
      </w:r>
      <w:r>
        <w:t>Assuming the team will cope with a late review: update dependencies and escalate the programme impact.</w:t>
      </w:r>
    </w:p>
    <w:p>
      <w:pPr/>
      <w:r>
        <w:t>Keep the workshop attitude: problems require a clear owner and next action. That includes pausing an exchange whose critical requirements remain unresolved; determination is not a reason to issue unverified information.</w:t>
      </w:r>
    </w:p>
    <w:p>
      <w:pPr>
        <w:pStyle w:val="Heading1"/>
      </w:pPr>
      <w:r>
        <w:t>Related guides</w:t>
      </w:r>
    </w:p>
    <w:p>
      <w:pPr>
        <w:pStyle w:val="ListParagraph"/>
        <w:spacing w:after="40"/>
        <w:ind w:left="360" w:hanging="240"/>
      </w:pPr>
      <w:r>
        <w:t xml:space="preserve">•  </w:t>
      </w:r>
      <w:r>
        <w:t>21–22 — starter model/worksharing; 26–28 — parameters and documents.</w:t>
      </w:r>
    </w:p>
    <w:p>
      <w:pPr>
        <w:pStyle w:val="ListParagraph"/>
        <w:spacing w:after="40"/>
        <w:ind w:left="360" w:hanging="240"/>
      </w:pPr>
      <w:r>
        <w:t xml:space="preserve">•  </w:t>
      </w:r>
      <w:r>
        <w:t>30 — datum/site setup; 31 — daily controls; 32 — existing-condition checks.</w:t>
      </w:r>
    </w:p>
    <w:p>
      <w:pPr>
        <w:pStyle w:val="ListParagraph"/>
        <w:spacing w:after="40"/>
        <w:ind w:left="360" w:hanging="240"/>
      </w:pPr>
      <w:r>
        <w:t xml:space="preserve">•  </w:t>
      </w:r>
      <w:r>
        <w:t>Office OIR/BEP, Directory, TIDP and MIDP: approved editions and project-specific responsibilities.</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R01.1: steps 1/8; R01.2: step 8; R01.3: steps 5/7; R01.4: steps 9–10; R01.5: step 12. G25 has no independent P1 factual defect; private case replaced by a synthetic office example and retitled. P2: initiation/CDE/baseline/exchange controls. CROSSWALK C03/C04/C07/C08/C10/C11/C12/C14: explicit boundaries and tested mobilisation.</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39"/>
        <w:gridCol w:w="3178"/>
        <w:gridCol w:w="1463"/>
        <w:gridCol w:w="1414"/>
        <w:gridCol w:w="3671"/>
      </w:tblGrid>
      <w:tr>
        <w:trPr>
          <w:cantSplit/>
          <w:tblHeader/>
        </w:trPr>
        <w:tc>
          <w:tcPr>
            <w:tcW w:type="dxa" w:w="739"/>
            <w:shd w:val="clear" w:color="auto" w:fill="111113"/>
          </w:tcPr>
          <w:p>
            <w:r>
              <w:rPr>
                <w:b/>
                <w:color w:val="FFFFFF"/>
                <w:sz w:val="17"/>
              </w:rPr>
            </w:r>
            <w:r>
              <w:rPr>
                <w:b/>
                <w:color w:val="FFFFFF"/>
                <w:sz w:val="17"/>
              </w:rPr>
              <w:t>Source</w:t>
            </w:r>
          </w:p>
        </w:tc>
        <w:tc>
          <w:tcPr>
            <w:tcW w:type="dxa" w:w="3178"/>
            <w:shd w:val="clear" w:color="auto" w:fill="111113"/>
          </w:tcPr>
          <w:p>
            <w:r>
              <w:rPr>
                <w:b/>
                <w:color w:val="FFFFFF"/>
                <w:sz w:val="17"/>
              </w:rPr>
            </w:r>
            <w:r>
              <w:rPr>
                <w:b/>
                <w:color w:val="FFFFFF"/>
                <w:sz w:val="17"/>
              </w:rPr>
              <w:t>Title</w:t>
            </w:r>
          </w:p>
        </w:tc>
        <w:tc>
          <w:tcPr>
            <w:tcW w:type="dxa" w:w="1463"/>
            <w:shd w:val="clear" w:color="auto" w:fill="111113"/>
          </w:tcPr>
          <w:p>
            <w:r>
              <w:rPr>
                <w:b/>
                <w:color w:val="FFFFFF"/>
                <w:sz w:val="17"/>
              </w:rPr>
            </w:r>
            <w:r>
              <w:rPr>
                <w:b/>
                <w:color w:val="FFFFFF"/>
                <w:sz w:val="17"/>
              </w:rPr>
              <w:t>Publisher</w:t>
            </w:r>
          </w:p>
        </w:tc>
        <w:tc>
          <w:tcPr>
            <w:tcW w:type="dxa" w:w="1414"/>
            <w:shd w:val="clear" w:color="auto" w:fill="111113"/>
          </w:tcPr>
          <w:p>
            <w:r>
              <w:rPr>
                <w:b/>
                <w:color w:val="FFFFFF"/>
                <w:sz w:val="17"/>
              </w:rPr>
            </w:r>
            <w:r>
              <w:rPr>
                <w:b/>
                <w:color w:val="FFFFFF"/>
                <w:sz w:val="17"/>
              </w:rPr>
              <w:t>Year /​ edition</w:t>
            </w:r>
          </w:p>
        </w:tc>
        <w:tc>
          <w:tcPr>
            <w:tcW w:type="dxa" w:w="3671"/>
            <w:shd w:val="clear" w:color="auto" w:fill="111113"/>
          </w:tcPr>
          <w:p>
            <w:r>
              <w:rPr>
                <w:b/>
                <w:color w:val="FFFFFF"/>
                <w:sz w:val="17"/>
              </w:rPr>
            </w:r>
            <w:r>
              <w:rPr>
                <w:b/>
                <w:color w:val="FFFFFF"/>
                <w:sz w:val="17"/>
              </w:rPr>
              <w:t>URL /​ evidence note</w:t>
            </w:r>
          </w:p>
        </w:tc>
      </w:tr>
      <w:tr>
        <w:trPr>
          <w:cantSplit/>
        </w:trPr>
        <w:tc>
          <w:tcPr>
            <w:tcW w:type="dxa" w:w="739"/>
          </w:tcPr>
          <w:p>
            <w:r>
              <w:rPr>
                <w:sz w:val="17"/>
              </w:rPr>
            </w:r>
            <w:r>
              <w:rPr>
                <w:sz w:val="17"/>
              </w:rPr>
              <w:t>S01</w:t>
            </w:r>
          </w:p>
        </w:tc>
        <w:tc>
          <w:tcPr>
            <w:tcW w:type="dxa" w:w="3178"/>
          </w:tcPr>
          <w:p>
            <w:r>
              <w:rPr>
                <w:sz w:val="17"/>
              </w:rPr>
            </w:r>
            <w:r>
              <w:rPr>
                <w:sz w:val="17"/>
              </w:rPr>
              <w:t>ISO 19650-1 — Concepts and principles</w:t>
            </w:r>
          </w:p>
        </w:tc>
        <w:tc>
          <w:tcPr>
            <w:tcW w:type="dxa" w:w="1463"/>
          </w:tcPr>
          <w:p>
            <w:r>
              <w:rPr>
                <w:sz w:val="17"/>
              </w:rPr>
            </w:r>
            <w:r>
              <w:rPr>
                <w:sz w:val="17"/>
              </w:rPr>
              <w:t>ISO</w:t>
            </w:r>
          </w:p>
        </w:tc>
        <w:tc>
          <w:tcPr>
            <w:tcW w:type="dxa" w:w="1414"/>
          </w:tcPr>
          <w:p>
            <w:r>
              <w:rPr>
                <w:sz w:val="17"/>
              </w:rPr>
            </w:r>
            <w:r>
              <w:rPr>
                <w:sz w:val="17"/>
              </w:rPr>
              <w:t>2018, ed.1</w:t>
            </w:r>
          </w:p>
        </w:tc>
        <w:tc>
          <w:tcPr>
            <w:tcW w:type="dxa" w:w="3671"/>
          </w:tcPr>
          <w:p>
            <w:r>
              <w:rPr>
                <w:sz w:val="17"/>
              </w:rPr>
            </w:r>
            <w:r>
              <w:rPr>
                <w:color w:val="9A7B45"/>
                <w:sz w:val="17"/>
                <w:u w:val="single"/>
              </w:rPr>
              <w:t>Catalogue /​ abstract</w:t>
            </w:r>
            <w:r>
              <w:rPr>
                <w:sz w:val="17"/>
              </w:rPr>
              <w:t>; published, revision underway</w:t>
            </w:r>
          </w:p>
        </w:tc>
      </w:tr>
      <w:tr>
        <w:trPr>
          <w:cantSplit/>
        </w:trPr>
        <w:tc>
          <w:tcPr>
            <w:tcW w:type="dxa" w:w="739"/>
          </w:tcPr>
          <w:p>
            <w:r>
              <w:rPr>
                <w:sz w:val="17"/>
              </w:rPr>
            </w:r>
            <w:r>
              <w:rPr>
                <w:sz w:val="17"/>
              </w:rPr>
              <w:t>S02</w:t>
            </w:r>
          </w:p>
        </w:tc>
        <w:tc>
          <w:tcPr>
            <w:tcW w:type="dxa" w:w="3178"/>
          </w:tcPr>
          <w:p>
            <w:r>
              <w:rPr>
                <w:sz w:val="17"/>
              </w:rPr>
            </w:r>
            <w:r>
              <w:rPr>
                <w:sz w:val="17"/>
              </w:rPr>
              <w:t>ISO 19650-2 — Delivery phase of the assets</w:t>
            </w:r>
          </w:p>
        </w:tc>
        <w:tc>
          <w:tcPr>
            <w:tcW w:type="dxa" w:w="1463"/>
          </w:tcPr>
          <w:p>
            <w:r>
              <w:rPr>
                <w:sz w:val="17"/>
              </w:rPr>
            </w:r>
            <w:r>
              <w:rPr>
                <w:sz w:val="17"/>
              </w:rPr>
              <w:t>ISO</w:t>
            </w:r>
          </w:p>
        </w:tc>
        <w:tc>
          <w:tcPr>
            <w:tcW w:type="dxa" w:w="1414"/>
          </w:tcPr>
          <w:p>
            <w:r>
              <w:rPr>
                <w:sz w:val="17"/>
              </w:rPr>
            </w:r>
            <w:r>
              <w:rPr>
                <w:sz w:val="17"/>
              </w:rPr>
              <w:t>2018, ed.1</w:t>
            </w:r>
          </w:p>
        </w:tc>
        <w:tc>
          <w:tcPr>
            <w:tcW w:type="dxa" w:w="3671"/>
          </w:tcPr>
          <w:p>
            <w:r>
              <w:rPr>
                <w:sz w:val="17"/>
              </w:rPr>
            </w:r>
            <w:r>
              <w:rPr>
                <w:color w:val="9A7B45"/>
                <w:sz w:val="17"/>
                <w:u w:val="single"/>
              </w:rPr>
              <w:t>Catalogue /​ abstract</w:t>
            </w:r>
            <w:r>
              <w:rPr>
                <w:sz w:val="17"/>
              </w:rPr>
              <w:t>; publisher result exposes English abstract and status</w:t>
            </w:r>
          </w:p>
        </w:tc>
      </w:tr>
      <w:tr>
        <w:trPr>
          <w:cantSplit/>
        </w:trPr>
        <w:tc>
          <w:tcPr>
            <w:tcW w:type="dxa" w:w="739"/>
          </w:tcPr>
          <w:p>
            <w:r>
              <w:rPr>
                <w:sz w:val="17"/>
              </w:rPr>
            </w:r>
            <w:r>
              <w:rPr>
                <w:sz w:val="17"/>
              </w:rPr>
              <w:t>S04</w:t>
            </w:r>
          </w:p>
        </w:tc>
        <w:tc>
          <w:tcPr>
            <w:tcW w:type="dxa" w:w="3178"/>
          </w:tcPr>
          <w:p>
            <w:r>
              <w:rPr>
                <w:sz w:val="17"/>
              </w:rPr>
            </w:r>
            <w:r>
              <w:rPr>
                <w:sz w:val="17"/>
              </w:rPr>
              <w:t>ISO 19650-4 — Information exchange</w:t>
            </w:r>
          </w:p>
        </w:tc>
        <w:tc>
          <w:tcPr>
            <w:tcW w:type="dxa" w:w="1463"/>
          </w:tcPr>
          <w:p>
            <w:r>
              <w:rPr>
                <w:sz w:val="17"/>
              </w:rPr>
            </w:r>
            <w:r>
              <w:rPr>
                <w:sz w:val="17"/>
              </w:rPr>
              <w:t>ISO</w:t>
            </w:r>
          </w:p>
        </w:tc>
        <w:tc>
          <w:tcPr>
            <w:tcW w:type="dxa" w:w="1414"/>
          </w:tcPr>
          <w:p>
            <w:r>
              <w:rPr>
                <w:sz w:val="17"/>
              </w:rPr>
            </w:r>
            <w:r>
              <w:rPr>
                <w:sz w:val="17"/>
              </w:rPr>
              <w:t>2022, ed.1</w:t>
            </w:r>
          </w:p>
        </w:tc>
        <w:tc>
          <w:tcPr>
            <w:tcW w:type="dxa" w:w="3671"/>
          </w:tcPr>
          <w:p>
            <w:r>
              <w:rPr>
                <w:sz w:val="17"/>
              </w:rPr>
            </w:r>
            <w:r>
              <w:rPr>
                <w:color w:val="9A7B45"/>
                <w:sz w:val="17"/>
                <w:u w:val="single"/>
              </w:rPr>
              <w:t>Catalogue /​ abstract</w:t>
            </w:r>
          </w:p>
        </w:tc>
      </w:tr>
      <w:tr>
        <w:trPr>
          <w:cantSplit/>
        </w:trPr>
        <w:tc>
          <w:tcPr>
            <w:tcW w:type="dxa" w:w="739"/>
          </w:tcPr>
          <w:p>
            <w:r>
              <w:rPr>
                <w:sz w:val="17"/>
              </w:rPr>
            </w:r>
            <w:r>
              <w:rPr>
                <w:sz w:val="17"/>
              </w:rPr>
              <w:t>S05</w:t>
            </w:r>
          </w:p>
        </w:tc>
        <w:tc>
          <w:tcPr>
            <w:tcW w:type="dxa" w:w="3178"/>
          </w:tcPr>
          <w:p>
            <w:r>
              <w:rPr>
                <w:sz w:val="17"/>
              </w:rPr>
            </w:r>
            <w:r>
              <w:rPr>
                <w:sz w:val="17"/>
              </w:rPr>
              <w:t>ISO 19650-5 — Security-minded approach to information management</w:t>
            </w:r>
          </w:p>
        </w:tc>
        <w:tc>
          <w:tcPr>
            <w:tcW w:type="dxa" w:w="1463"/>
          </w:tcPr>
          <w:p>
            <w:r>
              <w:rPr>
                <w:sz w:val="17"/>
              </w:rPr>
            </w:r>
            <w:r>
              <w:rPr>
                <w:sz w:val="17"/>
              </w:rPr>
              <w:t>ISO</w:t>
            </w:r>
          </w:p>
        </w:tc>
        <w:tc>
          <w:tcPr>
            <w:tcW w:type="dxa" w:w="1414"/>
          </w:tcPr>
          <w:p>
            <w:r>
              <w:rPr>
                <w:sz w:val="17"/>
              </w:rPr>
            </w:r>
            <w:r>
              <w:rPr>
                <w:sz w:val="17"/>
              </w:rPr>
              <w:t>2020, ed.1</w:t>
            </w:r>
          </w:p>
        </w:tc>
        <w:tc>
          <w:tcPr>
            <w:tcW w:type="dxa" w:w="3671"/>
          </w:tcPr>
          <w:p>
            <w:r>
              <w:rPr>
                <w:sz w:val="17"/>
              </w:rPr>
            </w:r>
            <w:r>
              <w:rPr>
                <w:color w:val="9A7B45"/>
                <w:sz w:val="17"/>
                <w:u w:val="single"/>
              </w:rPr>
              <w:t>Catalogue /​ abstract</w:t>
            </w:r>
          </w:p>
        </w:tc>
      </w:tr>
      <w:tr>
        <w:trPr>
          <w:cantSplit/>
        </w:trPr>
        <w:tc>
          <w:tcPr>
            <w:tcW w:type="dxa" w:w="739"/>
          </w:tcPr>
          <w:p>
            <w:r>
              <w:rPr>
                <w:sz w:val="17"/>
              </w:rPr>
            </w:r>
            <w:r>
              <w:rPr>
                <w:sz w:val="17"/>
              </w:rPr>
              <w:t>S07</w:t>
            </w:r>
          </w:p>
        </w:tc>
        <w:tc>
          <w:tcPr>
            <w:tcW w:type="dxa" w:w="3178"/>
          </w:tcPr>
          <w:p>
            <w:r>
              <w:rPr>
                <w:sz w:val="17"/>
              </w:rPr>
            </w:r>
            <w:r>
              <w:rPr>
                <w:sz w:val="17"/>
              </w:rPr>
              <w:t>ISO 7817-1 — Level of information need: concepts and principles</w:t>
            </w:r>
          </w:p>
        </w:tc>
        <w:tc>
          <w:tcPr>
            <w:tcW w:type="dxa" w:w="1463"/>
          </w:tcPr>
          <w:p>
            <w:r>
              <w:rPr>
                <w:sz w:val="17"/>
              </w:rPr>
            </w:r>
            <w:r>
              <w:rPr>
                <w:sz w:val="17"/>
              </w:rPr>
              <w:t>ISO</w:t>
            </w:r>
          </w:p>
        </w:tc>
        <w:tc>
          <w:tcPr>
            <w:tcW w:type="dxa" w:w="1414"/>
          </w:tcPr>
          <w:p>
            <w:r>
              <w:rPr>
                <w:sz w:val="17"/>
              </w:rPr>
            </w:r>
            <w:r>
              <w:rPr>
                <w:sz w:val="17"/>
              </w:rPr>
              <w:t>2024, ed.1</w:t>
            </w:r>
          </w:p>
        </w:tc>
        <w:tc>
          <w:tcPr>
            <w:tcW w:type="dxa" w:w="3671"/>
          </w:tcPr>
          <w:p>
            <w:r>
              <w:rPr>
                <w:sz w:val="17"/>
              </w:rPr>
            </w:r>
            <w:r>
              <w:rPr>
                <w:color w:val="9A7B45"/>
                <w:sz w:val="17"/>
                <w:u w:val="single"/>
              </w:rPr>
              <w:t>Catalogue /​ abstract</w:t>
            </w:r>
          </w:p>
        </w:tc>
      </w:tr>
      <w:tr>
        <w:trPr>
          <w:cantSplit/>
        </w:trPr>
        <w:tc>
          <w:tcPr>
            <w:tcW w:type="dxa" w:w="739"/>
          </w:tcPr>
          <w:p>
            <w:r>
              <w:rPr>
                <w:sz w:val="17"/>
              </w:rPr>
            </w:r>
            <w:r>
              <w:rPr>
                <w:sz w:val="17"/>
              </w:rPr>
              <w:t>S21</w:t>
            </w:r>
          </w:p>
        </w:tc>
        <w:tc>
          <w:tcPr>
            <w:tcW w:type="dxa" w:w="3178"/>
          </w:tcPr>
          <w:p>
            <w:r>
              <w:rPr>
                <w:sz w:val="17"/>
              </w:rPr>
            </w:r>
            <w:r>
              <w:rPr>
                <w:sz w:val="17"/>
              </w:rPr>
              <w:t>RIBA Plan of Work 2020</w:t>
            </w:r>
          </w:p>
        </w:tc>
        <w:tc>
          <w:tcPr>
            <w:tcW w:type="dxa" w:w="1463"/>
          </w:tcPr>
          <w:p>
            <w:r>
              <w:rPr>
                <w:sz w:val="17"/>
              </w:rPr>
            </w:r>
            <w:r>
              <w:rPr>
                <w:sz w:val="17"/>
              </w:rPr>
              <w:t>Royal Institute of British Architects</w:t>
            </w:r>
          </w:p>
        </w:tc>
        <w:tc>
          <w:tcPr>
            <w:tcW w:type="dxa" w:w="1414"/>
          </w:tcPr>
          <w:p>
            <w:r>
              <w:rPr>
                <w:sz w:val="17"/>
              </w:rPr>
            </w:r>
            <w:r>
              <w:rPr>
                <w:sz w:val="17"/>
              </w:rPr>
              <w:t>2020</w:t>
            </w:r>
          </w:p>
        </w:tc>
        <w:tc>
          <w:tcPr>
            <w:tcW w:type="dxa" w:w="3671"/>
          </w:tcPr>
          <w:p>
            <w:r>
              <w:rPr>
                <w:sz w:val="17"/>
              </w:rPr>
            </w:r>
            <w:r>
              <w:rPr>
                <w:color w:val="9A7B45"/>
                <w:sz w:val="17"/>
                <w:u w:val="single"/>
              </w:rPr>
              <w:t>Current resource page</w:t>
            </w:r>
            <w:r>
              <w:rPr>
                <w:sz w:val="17"/>
              </w:rPr>
              <w:t xml:space="preserve">; </w:t>
            </w:r>
            <w:r>
              <w:rPr>
                <w:color w:val="9A7B45"/>
                <w:sz w:val="17"/>
                <w:u w:val="single"/>
              </w:rPr>
              <w:t>2020 template</w:t>
            </w:r>
          </w:p>
        </w:tc>
      </w:tr>
      <w:tr>
        <w:trPr>
          <w:cantSplit/>
        </w:trPr>
        <w:tc>
          <w:tcPr>
            <w:tcW w:type="dxa" w:w="739"/>
          </w:tcPr>
          <w:p>
            <w:r>
              <w:rPr>
                <w:sz w:val="17"/>
              </w:rPr>
            </w:r>
            <w:r>
              <w:rPr>
                <w:sz w:val="17"/>
              </w:rPr>
              <w:t>G-C</w:t>
            </w:r>
          </w:p>
        </w:tc>
        <w:tc>
          <w:tcPr>
            <w:tcW w:type="dxa" w:w="3178"/>
          </w:tcPr>
          <w:p>
            <w:r>
              <w:rPr>
                <w:sz w:val="17"/>
              </w:rPr>
            </w:r>
            <w:r>
              <w:rPr>
                <w:sz w:val="17"/>
              </w:rPr>
              <w:t>Guidance C — Facilitating the CDE workflow and technical solutions</w:t>
            </w:r>
          </w:p>
        </w:tc>
        <w:tc>
          <w:tcPr>
            <w:tcW w:type="dxa" w:w="1463"/>
          </w:tcPr>
          <w:p>
            <w:r>
              <w:rPr>
                <w:sz w:val="17"/>
              </w:rPr>
            </w:r>
            <w:r>
              <w:rPr>
                <w:sz w:val="17"/>
              </w:rPr>
              <w:t>UK BIM Framework</w:t>
            </w:r>
          </w:p>
        </w:tc>
        <w:tc>
          <w:tcPr>
            <w:tcW w:type="dxa" w:w="1414"/>
          </w:tcPr>
          <w:p>
            <w:r>
              <w:rPr>
                <w:sz w:val="17"/>
              </w:rPr>
            </w:r>
            <w:r>
              <w:rPr>
                <w:sz w:val="17"/>
              </w:rPr>
              <w:t>ed.1, September 2020</w:t>
            </w:r>
          </w:p>
        </w:tc>
        <w:tc>
          <w:tcPr>
            <w:tcW w:type="dxa" w:w="3671"/>
          </w:tcPr>
          <w:p>
            <w:r>
              <w:rPr>
                <w:sz w:val="17"/>
              </w:rPr>
            </w:r>
            <w:r>
              <w:rPr>
                <w:color w:val="9A7B45"/>
                <w:sz w:val="17"/>
                <w:u w:val="single"/>
              </w:rPr>
              <w:t>Official PDF</w:t>
            </w:r>
            <w:r>
              <w:rPr>
                <w:sz w:val="17"/>
              </w:rPr>
              <w:t>; archived guidance</w:t>
            </w:r>
          </w:p>
        </w:tc>
      </w:tr>
      <w:tr>
        <w:trPr>
          <w:cantSplit/>
        </w:trPr>
        <w:tc>
          <w:tcPr>
            <w:tcW w:type="dxa" w:w="739"/>
          </w:tcPr>
          <w:p>
            <w:r>
              <w:rPr>
                <w:sz w:val="17"/>
              </w:rPr>
            </w:r>
            <w:r>
              <w:rPr>
                <w:sz w:val="17"/>
              </w:rPr>
              <w:t>G-F</w:t>
            </w:r>
          </w:p>
        </w:tc>
        <w:tc>
          <w:tcPr>
            <w:tcW w:type="dxa" w:w="3178"/>
          </w:tcPr>
          <w:p>
            <w:r>
              <w:rPr>
                <w:sz w:val="17"/>
              </w:rPr>
            </w:r>
            <w:r>
              <w:rPr>
                <w:sz w:val="17"/>
              </w:rPr>
              <w:t>Guidance F — About information delivery planning</w:t>
            </w:r>
          </w:p>
        </w:tc>
        <w:tc>
          <w:tcPr>
            <w:tcW w:type="dxa" w:w="1463"/>
          </w:tcPr>
          <w:p>
            <w:r>
              <w:rPr>
                <w:sz w:val="17"/>
              </w:rPr>
            </w:r>
            <w:r>
              <w:rPr>
                <w:sz w:val="17"/>
              </w:rPr>
              <w:t>UK BIM Framework</w:t>
            </w:r>
          </w:p>
        </w:tc>
        <w:tc>
          <w:tcPr>
            <w:tcW w:type="dxa" w:w="1414"/>
          </w:tcPr>
          <w:p>
            <w:r>
              <w:rPr>
                <w:sz w:val="17"/>
              </w:rPr>
            </w:r>
            <w:r>
              <w:rPr>
                <w:sz w:val="17"/>
              </w:rPr>
              <w:t>ed.1, September 2020</w:t>
            </w:r>
          </w:p>
        </w:tc>
        <w:tc>
          <w:tcPr>
            <w:tcW w:type="dxa" w:w="3671"/>
          </w:tcPr>
          <w:p>
            <w:r>
              <w:rPr>
                <w:sz w:val="17"/>
              </w:rPr>
            </w:r>
            <w:r>
              <w:rPr>
                <w:color w:val="9A7B45"/>
                <w:sz w:val="17"/>
                <w:u w:val="single"/>
              </w:rPr>
              <w:t>Official PDF</w:t>
            </w:r>
            <w:r>
              <w:rPr>
                <w:sz w:val="17"/>
              </w:rPr>
              <w:t>; edition actually verified. Its federation section is a placeholder; use other sources for technical federation guidance.</w:t>
            </w:r>
          </w:p>
        </w:tc>
      </w:tr>
      <w:tr>
        <w:trPr>
          <w:cantSplit/>
        </w:trPr>
        <w:tc>
          <w:tcPr>
            <w:tcW w:type="dxa" w:w="739"/>
          </w:tcPr>
          <w:p>
            <w:r>
              <w:rPr>
                <w:sz w:val="17"/>
              </w:rPr>
            </w:r>
            <w:r>
              <w:rPr>
                <w:sz w:val="17"/>
              </w:rPr>
              <w:t>G-E</w:t>
            </w:r>
          </w:p>
        </w:tc>
        <w:tc>
          <w:tcPr>
            <w:tcW w:type="dxa" w:w="3178"/>
          </w:tcPr>
          <w:p>
            <w:r>
              <w:rPr>
                <w:sz w:val="17"/>
              </w:rPr>
            </w:r>
            <w:r>
              <w:rPr>
                <w:sz w:val="17"/>
              </w:rPr>
              <w:t>Guidance E — Tendering and appointments</w:t>
            </w:r>
          </w:p>
        </w:tc>
        <w:tc>
          <w:tcPr>
            <w:tcW w:type="dxa" w:w="1463"/>
          </w:tcPr>
          <w:p>
            <w:r>
              <w:rPr>
                <w:sz w:val="17"/>
              </w:rPr>
            </w:r>
            <w:r>
              <w:rPr>
                <w:sz w:val="17"/>
              </w:rPr>
              <w:t>UK BIM Framework</w:t>
            </w:r>
          </w:p>
        </w:tc>
        <w:tc>
          <w:tcPr>
            <w:tcW w:type="dxa" w:w="1414"/>
          </w:tcPr>
          <w:p>
            <w:r>
              <w:rPr>
                <w:sz w:val="17"/>
              </w:rPr>
            </w:r>
            <w:r>
              <w:rPr>
                <w:sz w:val="17"/>
              </w:rPr>
              <w:t>ed.2, February 2021</w:t>
            </w:r>
          </w:p>
        </w:tc>
        <w:tc>
          <w:tcPr>
            <w:tcW w:type="dxa" w:w="3671"/>
          </w:tcPr>
          <w:p>
            <w:r>
              <w:rPr>
                <w:sz w:val="17"/>
              </w:rPr>
            </w:r>
            <w:r>
              <w:rPr>
                <w:color w:val="9A7B45"/>
                <w:sz w:val="17"/>
                <w:u w:val="single"/>
              </w:rPr>
              <w:t>Official PDF</w:t>
            </w:r>
            <w:r>
              <w:rPr>
                <w:sz w:val="17"/>
              </w:rPr>
              <w:t>; archived guidance</w:t>
            </w:r>
          </w:p>
        </w:tc>
      </w:tr>
      <w:tr>
        <w:trPr>
          <w:cantSplit/>
        </w:trPr>
        <w:tc>
          <w:tcPr>
            <w:tcW w:type="dxa" w:w="739"/>
          </w:tcPr>
          <w:p>
            <w:r>
              <w:rPr>
                <w:sz w:val="17"/>
              </w:rPr>
            </w:r>
            <w:r>
              <w:rPr>
                <w:sz w:val="17"/>
              </w:rPr>
              <w:t>A01</w:t>
            </w:r>
          </w:p>
        </w:tc>
        <w:tc>
          <w:tcPr>
            <w:tcW w:type="dxa" w:w="3178"/>
          </w:tcPr>
          <w:p>
            <w:r>
              <w:rPr>
                <w:sz w:val="17"/>
              </w:rPr>
            </w:r>
            <w:r>
              <w:rPr>
                <w:sz w:val="17"/>
              </w:rPr>
              <w:t>Project Templates; Create a Model</w:t>
            </w:r>
          </w:p>
        </w:tc>
        <w:tc>
          <w:tcPr>
            <w:tcW w:type="dxa" w:w="1463"/>
          </w:tcPr>
          <w:p>
            <w:r>
              <w:rPr>
                <w:sz w:val="17"/>
              </w:rPr>
            </w:r>
            <w:r>
              <w:rPr>
                <w:sz w:val="17"/>
              </w:rPr>
              <w:t>Autodesk Revit Help</w:t>
            </w:r>
          </w:p>
        </w:tc>
        <w:tc>
          <w:tcPr>
            <w:tcW w:type="dxa" w:w="1414"/>
          </w:tcPr>
          <w:p>
            <w:r>
              <w:rPr>
                <w:sz w:val="17"/>
              </w:rPr>
            </w:r>
            <w:r>
              <w:rPr>
                <w:sz w:val="17"/>
              </w:rPr>
              <w:t>Revit 2026</w:t>
            </w:r>
          </w:p>
        </w:tc>
        <w:tc>
          <w:tcPr>
            <w:tcW w:type="dxa" w:w="3671"/>
          </w:tcPr>
          <w:p>
            <w:r>
              <w:rPr>
                <w:sz w:val="17"/>
              </w:rPr>
            </w:r>
            <w:r>
              <w:rPr>
                <w:color w:val="9A7B45"/>
                <w:sz w:val="17"/>
                <w:u w:val="single"/>
              </w:rPr>
              <w:t>Template contents</w:t>
            </w:r>
            <w:r>
              <w:rPr>
                <w:sz w:val="17"/>
              </w:rPr>
              <w:t xml:space="preserve">; </w:t>
            </w:r>
            <w:r>
              <w:rPr>
                <w:color w:val="9A7B45"/>
                <w:sz w:val="17"/>
                <w:u w:val="single"/>
              </w:rPr>
              <w:t>creation and backward-compatibility warning</w:t>
            </w:r>
          </w:p>
        </w:tc>
      </w:tr>
      <w:tr>
        <w:trPr>
          <w:cantSplit/>
        </w:trPr>
        <w:tc>
          <w:tcPr>
            <w:tcW w:type="dxa" w:w="739"/>
          </w:tcPr>
          <w:p>
            <w:r>
              <w:rPr>
                <w:sz w:val="17"/>
              </w:rPr>
            </w:r>
            <w:r>
              <w:rPr>
                <w:sz w:val="17"/>
              </w:rPr>
              <w:t>A06</w:t>
            </w:r>
          </w:p>
        </w:tc>
        <w:tc>
          <w:tcPr>
            <w:tcW w:type="dxa" w:w="3178"/>
          </w:tcPr>
          <w:p>
            <w:r>
              <w:rPr>
                <w:sz w:val="17"/>
              </w:rPr>
            </w:r>
            <w:r>
              <w:rPr>
                <w:sz w:val="17"/>
              </w:rPr>
              <w:t>Create Shared Project Parameters</w:t>
            </w:r>
          </w:p>
        </w:tc>
        <w:tc>
          <w:tcPr>
            <w:tcW w:type="dxa" w:w="1463"/>
          </w:tcPr>
          <w:p>
            <w:r>
              <w:rPr>
                <w:sz w:val="17"/>
              </w:rPr>
            </w:r>
            <w:r>
              <w:rPr>
                <w:sz w:val="17"/>
              </w:rPr>
              <w:t>Autodesk Revit Help</w:t>
            </w:r>
          </w:p>
        </w:tc>
        <w:tc>
          <w:tcPr>
            <w:tcW w:type="dxa" w:w="1414"/>
          </w:tcPr>
          <w:p>
            <w:r>
              <w:rPr>
                <w:sz w:val="17"/>
              </w:rPr>
            </w:r>
            <w:r>
              <w:rPr>
                <w:sz w:val="17"/>
              </w:rPr>
              <w:t>Revit 2026</w:t>
            </w:r>
          </w:p>
        </w:tc>
        <w:tc>
          <w:tcPr>
            <w:tcW w:type="dxa" w:w="3671"/>
          </w:tcPr>
          <w:p>
            <w:r>
              <w:rPr>
                <w:sz w:val="17"/>
              </w:rPr>
            </w:r>
            <w:r>
              <w:rPr>
                <w:color w:val="9A7B45"/>
                <w:sz w:val="17"/>
                <w:u w:val="single"/>
              </w:rPr>
              <w:t>Category bindings, instance/​type and tag/​schedule use</w:t>
            </w:r>
          </w:p>
        </w:tc>
      </w:tr>
      <w:tr>
        <w:trPr>
          <w:cantSplit/>
        </w:trPr>
        <w:tc>
          <w:tcPr>
            <w:tcW w:type="dxa" w:w="739"/>
          </w:tcPr>
          <w:p>
            <w:r>
              <w:rPr>
                <w:sz w:val="17"/>
              </w:rPr>
            </w:r>
            <w:r>
              <w:rPr>
                <w:sz w:val="17"/>
              </w:rPr>
              <w:t>A10</w:t>
            </w:r>
          </w:p>
        </w:tc>
        <w:tc>
          <w:tcPr>
            <w:tcW w:type="dxa" w:w="3178"/>
          </w:tcPr>
          <w:p>
            <w:r>
              <w:rPr>
                <w:sz w:val="17"/>
              </w:rPr>
            </w:r>
            <w:r>
              <w:rPr>
                <w:sz w:val="17"/>
              </w:rPr>
              <w:t>How to set up Shared Coordinates using one Revit model as the Site or Base file</w:t>
            </w:r>
          </w:p>
        </w:tc>
        <w:tc>
          <w:tcPr>
            <w:tcW w:type="dxa" w:w="1463"/>
          </w:tcPr>
          <w:p>
            <w:r>
              <w:rPr>
                <w:sz w:val="17"/>
              </w:rPr>
            </w:r>
            <w:r>
              <w:rPr>
                <w:sz w:val="17"/>
              </w:rPr>
              <w:t>Autodesk Support</w:t>
            </w:r>
          </w:p>
        </w:tc>
        <w:tc>
          <w:tcPr>
            <w:tcW w:type="dxa" w:w="1414"/>
          </w:tcPr>
          <w:p>
            <w:r>
              <w:rPr>
                <w:sz w:val="17"/>
              </w:rPr>
            </w:r>
            <w:r>
              <w:rPr>
                <w:sz w:val="17"/>
              </w:rPr>
              <w:t>15 August 2026</w:t>
            </w:r>
          </w:p>
        </w:tc>
        <w:tc>
          <w:tcPr>
            <w:tcW w:type="dxa" w:w="3671"/>
          </w:tcPr>
          <w:p>
            <w:r>
              <w:rPr>
                <w:sz w:val="17"/>
              </w:rPr>
            </w:r>
            <w:r>
              <w:rPr>
                <w:color w:val="9A7B45"/>
                <w:sz w:val="17"/>
                <w:u w:val="single"/>
              </w:rPr>
              <w:t>Local workflow and cloud limitation</w:t>
            </w:r>
          </w:p>
        </w:tc>
      </w:tr>
      <w:tr>
        <w:trPr>
          <w:cantSplit/>
        </w:trPr>
        <w:tc>
          <w:tcPr>
            <w:tcW w:type="dxa" w:w="739"/>
          </w:tcPr>
          <w:p>
            <w:r>
              <w:rPr>
                <w:sz w:val="17"/>
              </w:rPr>
            </w:r>
            <w:r>
              <w:rPr>
                <w:sz w:val="17"/>
              </w:rPr>
              <w:t>A21</w:t>
            </w:r>
          </w:p>
        </w:tc>
        <w:tc>
          <w:tcPr>
            <w:tcW w:type="dxa" w:w="3178"/>
          </w:tcPr>
          <w:p>
            <w:r>
              <w:rPr>
                <w:sz w:val="17"/>
              </w:rPr>
            </w:r>
            <w:r>
              <w:rPr>
                <w:sz w:val="17"/>
              </w:rPr>
              <w:t>Schedules; About Schedules</w:t>
            </w:r>
          </w:p>
        </w:tc>
        <w:tc>
          <w:tcPr>
            <w:tcW w:type="dxa" w:w="1463"/>
          </w:tcPr>
          <w:p>
            <w:r>
              <w:rPr>
                <w:sz w:val="17"/>
              </w:rPr>
            </w:r>
            <w:r>
              <w:rPr>
                <w:sz w:val="17"/>
              </w:rPr>
              <w:t>Autodesk Revit Help</w:t>
            </w:r>
          </w:p>
        </w:tc>
        <w:tc>
          <w:tcPr>
            <w:tcW w:type="dxa" w:w="1414"/>
          </w:tcPr>
          <w:p>
            <w:r>
              <w:rPr>
                <w:sz w:val="17"/>
              </w:rPr>
            </w:r>
            <w:r>
              <w:rPr>
                <w:sz w:val="17"/>
              </w:rPr>
              <w:t>2026 /​ 2024</w:t>
            </w:r>
          </w:p>
        </w:tc>
        <w:tc>
          <w:tcPr>
            <w:tcW w:type="dxa" w:w="3671"/>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39"/>
          </w:tcPr>
          <w:p>
            <w:r>
              <w:rPr>
                <w:sz w:val="17"/>
              </w:rPr>
            </w:r>
            <w:r>
              <w:rPr>
                <w:sz w:val="17"/>
              </w:rPr>
              <w:t>S12</w:t>
            </w:r>
          </w:p>
        </w:tc>
        <w:tc>
          <w:tcPr>
            <w:tcW w:type="dxa" w:w="3178"/>
          </w:tcPr>
          <w:p>
            <w:r>
              <w:rPr>
                <w:sz w:val="17"/>
              </w:rPr>
            </w:r>
            <w:r>
              <w:rPr>
                <w:sz w:val="17"/>
              </w:rPr>
              <w:t>Industry Foundation Classes (IFC)</w:t>
            </w:r>
          </w:p>
        </w:tc>
        <w:tc>
          <w:tcPr>
            <w:tcW w:type="dxa" w:w="1463"/>
          </w:tcPr>
          <w:p>
            <w:r>
              <w:rPr>
                <w:sz w:val="17"/>
              </w:rPr>
            </w:r>
            <w:r>
              <w:rPr>
                <w:sz w:val="17"/>
              </w:rPr>
              <w:t>buildingSMART International</w:t>
            </w:r>
          </w:p>
        </w:tc>
        <w:tc>
          <w:tcPr>
            <w:tcW w:type="dxa" w:w="1414"/>
          </w:tcPr>
          <w:p>
            <w:r>
              <w:rPr>
                <w:sz w:val="17"/>
              </w:rPr>
            </w:r>
            <w:r>
              <w:rPr>
                <w:sz w:val="17"/>
              </w:rPr>
              <w:t>Undated live page; 2024 ISO edition</w:t>
            </w:r>
          </w:p>
        </w:tc>
        <w:tc>
          <w:tcPr>
            <w:tcW w:type="dxa" w:w="3671"/>
          </w:tcPr>
          <w:p>
            <w:r>
              <w:rPr>
                <w:sz w:val="17"/>
              </w:rPr>
            </w:r>
            <w:r>
              <w:rPr>
                <w:color w:val="9A7B45"/>
                <w:sz w:val="17"/>
                <w:u w:val="single"/>
              </w:rPr>
              <w:t>Version and implementation context</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BBM-STD-25-GUIDE-PROJECT_INITIATION_WORKED_EXAMPLE-V0.3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5-GUIDE-PROJECT_INITIATION_WORKED_EXAMPLE-V0.3.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