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29 · Complex Geometry: Pattern-Based and Adaptive Families and Quick Renders</w:t>
      </w:r>
    </w:p>
    <w:p>
      <w:pPr/>
      <w:r>
        <w:t xml:space="preserve">Linked copies: ID STD-29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Read the object before modelling it: identify the module, nodes, members, rise and information needed. Keep the workshop’s reference-point logic, constant flexing and lightweight live-project intent. This guide covers pattern-based/adaptive construction, host changes, performance and outputs. It also gives controlled quick-render steps, without treating a rendered image as geometric/data acceptance.</w:t>
      </w:r>
    </w:p>
    <w:p>
      <w:pPr>
        <w:pStyle w:val="Heading1"/>
      </w:pPr>
      <w:r>
        <w:t>Standards basis</w:t>
      </w:r>
    </w:p>
    <w:p>
      <w:pPr/>
      <w:r>
        <w:t>ISO 7817-1:2024 ties detail to purpose, timing, actors and objects. ISO 19650-2:2018 supports planned production and ISO 19650-4:2022 supports checked exchanges. This serves office Manual v0.1 §3.2 data, §3.3 partitioning, §6.1 libraries, §8.2.1/§8.2.2 modelling/family methods, §9 Quality and §11 IFC. Rendering tools, licence entitlement and add-in availability are provider/project matters; office training notes do not prove a tool is free, safe or installed.</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Plan the unit and its hosting</w:t>
      </w:r>
    </w:p>
    <w:p>
      <w:pPr/>
      <w:r>
        <w:t>For a synthetic repeating space-frame study, start with an approximately 1,800 × 1,800 mm square module, four corner nodes, a raised centre/reference node and members. These are training inputs. A photograph cannot establish surveyed dimensions, connection strength or construction tolerances; record measured/assumed status and obtain verified sources before design/fabrication reliance.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13"/>
        <w:gridCol w:w="8253"/>
      </w:tblGrid>
      <w:tr>
        <w:trPr>
          <w:cantSplit/>
          <w:tblHeader/>
        </w:trPr>
        <w:tc>
          <w:tcPr>
            <w:tcW w:type="dxa" w:w="2213"/>
            <w:shd w:val="clear" w:color="auto" w:fill="111113"/>
          </w:tcPr>
          <w:p>
            <w:r>
              <w:rPr>
                <w:b/>
                <w:color w:val="FFFFFF"/>
                <w:sz w:val="17"/>
              </w:rPr>
            </w:r>
            <w:r>
              <w:rPr>
                <w:b/>
                <w:color w:val="FFFFFF"/>
                <w:sz w:val="17"/>
              </w:rPr>
              <w:t>Component /​ point</w:t>
            </w:r>
          </w:p>
        </w:tc>
        <w:tc>
          <w:tcPr>
            <w:tcW w:type="dxa" w:w="8253"/>
            <w:shd w:val="clear" w:color="auto" w:fill="111113"/>
          </w:tcPr>
          <w:p>
            <w:r>
              <w:rPr>
                <w:b/>
                <w:color w:val="FFFFFF"/>
                <w:sz w:val="17"/>
              </w:rPr>
            </w:r>
            <w:r>
              <w:rPr>
                <w:b/>
                <w:color w:val="FFFFFF"/>
                <w:sz w:val="17"/>
              </w:rPr>
              <w:t>Behaviour to define</w:t>
            </w:r>
          </w:p>
        </w:tc>
      </w:tr>
      <w:tr>
        <w:trPr>
          <w:cantSplit/>
        </w:trPr>
        <w:tc>
          <w:tcPr>
            <w:tcW w:type="dxa" w:w="2213"/>
          </w:tcPr>
          <w:p>
            <w:r>
              <w:rPr>
                <w:sz w:val="17"/>
              </w:rPr>
            </w:r>
            <w:r>
              <w:rPr>
                <w:sz w:val="17"/>
              </w:rPr>
              <w:t>Reference point</w:t>
            </w:r>
          </w:p>
        </w:tc>
        <w:tc>
          <w:tcPr>
            <w:tcW w:type="dxa" w:w="8253"/>
          </w:tcPr>
          <w:p>
            <w:r>
              <w:rPr>
                <w:sz w:val="17"/>
              </w:rPr>
            </w:r>
            <w:r>
              <w:rPr>
                <w:sz w:val="17"/>
              </w:rPr>
              <w:t>Hosts/​controls reference geometry; not every reference point is an adaptive placement point.</w:t>
            </w:r>
          </w:p>
        </w:tc>
      </w:tr>
      <w:tr>
        <w:trPr>
          <w:cantSplit/>
        </w:trPr>
        <w:tc>
          <w:tcPr>
            <w:tcW w:type="dxa" w:w="2213"/>
          </w:tcPr>
          <w:p>
            <w:r>
              <w:rPr>
                <w:sz w:val="17"/>
              </w:rPr>
            </w:r>
            <w:r>
              <w:rPr>
                <w:sz w:val="17"/>
              </w:rPr>
              <w:t>Adaptive placement points</w:t>
            </w:r>
          </w:p>
        </w:tc>
        <w:tc>
          <w:tcPr>
            <w:tcW w:type="dxa" w:w="8253"/>
          </w:tcPr>
          <w:p>
            <w:r>
              <w:rPr>
                <w:sz w:val="17"/>
              </w:rPr>
            </w:r>
            <w:r>
              <w:rPr>
                <w:sz w:val="17"/>
              </w:rPr>
              <w:t>Numbered user-selected locations; order, orientation and supported hosting control the placed instance.</w:t>
            </w:r>
          </w:p>
        </w:tc>
      </w:tr>
      <w:tr>
        <w:trPr>
          <w:cantSplit/>
        </w:trPr>
        <w:tc>
          <w:tcPr>
            <w:tcW w:type="dxa" w:w="2213"/>
          </w:tcPr>
          <w:p>
            <w:r>
              <w:rPr>
                <w:sz w:val="17"/>
              </w:rPr>
            </w:r>
            <w:r>
              <w:rPr>
                <w:sz w:val="17"/>
              </w:rPr>
              <w:t>Shape-handle points</w:t>
            </w:r>
          </w:p>
        </w:tc>
        <w:tc>
          <w:tcPr>
            <w:tcW w:type="dxa" w:w="8253"/>
          </w:tcPr>
          <w:p>
            <w:r>
              <w:rPr>
                <w:sz w:val="17"/>
              </w:rPr>
            </w:r>
            <w:r>
              <w:rPr>
                <w:sz w:val="17"/>
              </w:rPr>
              <w:t>Exposed adjustment controls where defined; do not confuse with the numbered placement sequence.</w:t>
            </w:r>
          </w:p>
        </w:tc>
      </w:tr>
      <w:tr>
        <w:trPr>
          <w:cantSplit/>
        </w:trPr>
        <w:tc>
          <w:tcPr>
            <w:tcW w:type="dxa" w:w="2213"/>
          </w:tcPr>
          <w:p>
            <w:r>
              <w:rPr>
                <w:sz w:val="17"/>
              </w:rPr>
            </w:r>
            <w:r>
              <w:rPr>
                <w:sz w:val="17"/>
              </w:rPr>
              <w:t>Derived centre/​rise</w:t>
            </w:r>
          </w:p>
        </w:tc>
        <w:tc>
          <w:tcPr>
            <w:tcW w:type="dxa" w:w="8253"/>
          </w:tcPr>
          <w:p>
            <w:r>
              <w:rPr>
                <w:sz w:val="17"/>
              </w:rPr>
            </w:r>
            <w:r>
              <w:rPr>
                <w:sz w:val="17"/>
              </w:rPr>
              <w:t>Constrained from the perimeter/​reference framework and a compatible Length parameter.</w:t>
            </w:r>
          </w:p>
        </w:tc>
      </w:tr>
      <w:tr>
        <w:trPr>
          <w:cantSplit/>
        </w:trPr>
        <w:tc>
          <w:tcPr>
            <w:tcW w:type="dxa" w:w="2213"/>
          </w:tcPr>
          <w:p>
            <w:r>
              <w:rPr>
                <w:sz w:val="17"/>
              </w:rPr>
            </w:r>
            <w:r>
              <w:rPr>
                <w:sz w:val="17"/>
              </w:rPr>
              <w:t>Profiles/​paths/​members</w:t>
            </w:r>
          </w:p>
        </w:tc>
        <w:tc>
          <w:tcPr>
            <w:tcW w:type="dxa" w:w="8253"/>
          </w:tcPr>
          <w:p>
            <w:r>
              <w:rPr>
                <w:sz w:val="17"/>
              </w:rPr>
            </w:r>
            <w:r>
              <w:rPr>
                <w:sz w:val="17"/>
              </w:rPr>
              <w:t>Host on the intended reference planes/​points, with documented section/​radius/​material.</w:t>
            </w:r>
          </w:p>
        </w:tc>
      </w:tr>
      <w:tr>
        <w:trPr>
          <w:cantSplit/>
        </w:trPr>
        <w:tc>
          <w:tcPr>
            <w:tcW w:type="dxa" w:w="2213"/>
          </w:tcPr>
          <w:p>
            <w:r>
              <w:rPr>
                <w:sz w:val="17"/>
              </w:rPr>
            </w:r>
            <w:r>
              <w:rPr>
                <w:sz w:val="17"/>
              </w:rPr>
              <w:t>Pattern/​divided surface</w:t>
            </w:r>
          </w:p>
        </w:tc>
        <w:tc>
          <w:tcPr>
            <w:tcW w:type="dxa" w:w="8253"/>
          </w:tcPr>
          <w:p>
            <w:r>
              <w:rPr>
                <w:sz w:val="17"/>
              </w:rPr>
            </w:r>
            <w:r>
              <w:rPr>
                <w:sz w:val="17"/>
              </w:rPr>
              <w:t>Defines host cell pattern and number/​distance/​orientation rules appropriate to the selected template.</w:t>
            </w:r>
          </w:p>
        </w:tc>
      </w:tr>
    </w:tbl>
    <w:p/>
    <w:p>
      <w:pPr/>
      <w:r>
        <w:t>A pattern-based component fits its supported host pattern; an adaptive component can use numbered placements without a divided-surface grid. Do not assume they are interchangeable curtain-panel families. Select the correct template/category/host and prove it loads/places in the chosen build. Pattern availability/base geometry and edge behaviour depend on that template/release, so inspect the offered controls rather than claiming every pattern derives from one rectangular grid.</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9-adaptive-acceptance.png"/>
                    <pic:cNvPicPr/>
                  </pic:nvPicPr>
                  <pic:blipFill>
                    <a:blip r:embed="rId15"/>
                    <a:stretch>
                      <a:fillRect/>
                    </a:stretch>
                  </pic:blipFill>
                  <pic:spPr>
                    <a:xfrm>
                      <a:off x="0" y="0"/>
                      <a:ext cx="6645910" cy="3738324"/>
                    </a:xfrm>
                    <a:prstGeom prst="rect"/>
                  </pic:spPr>
                </pic:pic>
              </a:graphicData>
            </a:graphic>
          </wp:inline>
        </w:drawing>
      </w:r>
    </w:p>
    <w:p>
      <w:pPr/>
      <w:r>
        <w:rPr>
          <w:i/>
        </w:rPr>
        <w:t>A render communicates appearance; model suitability needs separate geometric, data and receiving-tool checks.</w:t>
      </w:r>
    </w:p>
    <w:p>
      <w:pPr>
        <w:pStyle w:val="Heading1"/>
      </w:pPr>
      <w:r>
        <w:t>Step-by-step procedure</w:t>
      </w:r>
    </w:p>
    <w:p>
      <w:pPr>
        <w:pStyle w:val="ListParagraph"/>
        <w:spacing w:after="40"/>
        <w:ind w:left="360" w:hanging="280"/>
      </w:pPr>
      <w:r>
        <w:t xml:space="preserve">1.  </w:t>
      </w:r>
      <w:r>
        <w:t>Write the intended use: concept envelope, coordination, quantity study or fabrication support. Specify needed geometry, classifications/identifiers, materials, dimensions and documents; identify what is omitted. Choose the approved family template/category, host, build and information exchange. Structural/fabrication calculations and connection approval remain with the authorised designer.</w:t>
      </w:r>
    </w:p>
    <w:p>
      <w:pPr>
        <w:pStyle w:val="ListParagraph"/>
        <w:spacing w:after="40"/>
        <w:ind w:left="360" w:hanging="280"/>
      </w:pPr>
      <w:r>
        <w:t xml:space="preserve">2.  </w:t>
      </w:r>
      <w:r>
        <w:t>Make reference geometry first. For the four-point adaptive exercise number perimeter placement points P1, P2, P3, P4 in the chosen consistent order. Define orientation/reference planes explicitly. Host paths/profiles on the intended references, then derive centre/rise. A 3D view is not a work plane; set the actual reference before drawing a profile.</w:t>
      </w:r>
    </w:p>
    <w:p>
      <w:pPr>
        <w:pStyle w:val="ListParagraph"/>
        <w:spacing w:after="40"/>
        <w:ind w:left="360" w:hanging="280"/>
      </w:pPr>
      <w:r>
        <w:t xml:space="preserve">3.  </w:t>
      </w:r>
      <w:r>
        <w:t>Add a simple member form and controlled radius/thickness; confirm valid units and constraints. Test each parameter immediately. Keep an intermediate saved revision before adding complexity. If form creation fails, inspect self-intersection, plane/reference and overconstraints, then repair only the failed feature. Deleting/rebuilding is an option in a copy, not the default destructive live-project fix.</w:t>
      </w:r>
    </w:p>
    <w:p>
      <w:pPr>
        <w:pStyle w:val="ListParagraph"/>
        <w:spacing w:after="40"/>
        <w:ind w:left="360" w:hanging="280"/>
      </w:pPr>
      <w:r>
        <w:t xml:space="preserve">4.  </w:t>
      </w:r>
      <w:r>
        <w:t>For curves create the intended reference-point/path and verify controls in the adopted release. Remove the workshop’s unverified “two points at a time / degree-two spline” claims: no universal mathematical assertion is made here. Test point movement, end conditions and divided-path spacing; compare measured intervals rather than assuming total-length divisions behave identically for every curve mode.</w:t>
      </w:r>
    </w:p>
    <w:p>
      <w:pPr>
        <w:pStyle w:val="ListParagraph"/>
        <w:spacing w:after="40"/>
        <w:ind w:left="360" w:hanging="280"/>
      </w:pPr>
      <w:r>
        <w:t xml:space="preserve">5.  </w:t>
      </w:r>
      <w:r>
        <w:t>For a divided surface, record host face, pattern, U/V orientation and number/distance controls. Load the compatible pattern family and apply it through the supported pattern selector. Check residual/edge panels and permitted Partial/Empty/Overhanging behaviour where available. Rotate only through supported controls and verify intended geometry/counts. For an adaptive placement, click P1–P4 in the defined order and inspect orientation before repetition.</w:t>
      </w:r>
    </w:p>
    <w:p>
      <w:pPr>
        <w:pStyle w:val="ListParagraph"/>
        <w:spacing w:after="40"/>
        <w:ind w:left="360" w:hanging="280"/>
      </w:pPr>
      <w:r>
        <w:t xml:space="preserve">6.  </w:t>
      </w:r>
      <w:r>
        <w:t>Change host dimensions and selected points, then use the supported update/repetition workflow. Test nominal, smaller/larger and skew cases; inspect twist, inverted normals, member collisions/gaps, disappearing geometry and host loss. Check shape handles separately. Record which changes are automatic and which require update/recreation; never promise every hosted object follows every host change correctly.</w:t>
      </w:r>
    </w:p>
    <w:p>
      <w:pPr>
        <w:pStyle w:val="ListParagraph"/>
        <w:spacing w:after="40"/>
        <w:ind w:left="360" w:hanging="280"/>
      </w:pPr>
      <w:r>
        <w:t xml:space="preserve">7.  </w:t>
      </w:r>
      <w:r>
        <w:t>Scale the trial from one unit to a small patch and representative dense patch. Record unit/member counts, hardware/build, file size, opening/regeneration/export duration and warnings on the same baseline. Agree numerical performance limits with the BIM manager before measurement; a heavy-pattern warning alone is not a measured pass. Consider coarser visual representation or approved nested pattern only if information/exchange requirements remain met.</w:t>
      </w:r>
    </w:p>
    <w:p>
      <w:pPr>
        <w:pStyle w:val="ListParagraph"/>
        <w:spacing w:after="40"/>
        <w:ind w:left="360" w:hanging="280"/>
      </w:pPr>
      <w:r>
        <w:t xml:space="preserve">8.  </w:t>
      </w:r>
      <w:r>
        <w:t>Validate categories and schedule semantics. Assign unit identifiers and required shared properties through controlled GUID/bindings. Record whether nested members are shared/separately scheduled or part of one parent assembly; compare physical units and scheduled objects deliberately. A generic mass or rendered member is not automatically a correctly classified asset/structural object.</w:t>
      </w:r>
    </w:p>
    <w:p>
      <w:pPr>
        <w:pStyle w:val="ListParagraph"/>
        <w:spacing w:after="40"/>
        <w:ind w:left="360" w:hanging="280"/>
      </w:pPr>
      <w:r>
        <w:t xml:space="preserve">9.  </w:t>
      </w:r>
      <w:r>
        <w:t>Export the agreed IFC schema/profile/mapping and open it in the recipient. Check shape/orientation/coordinates, parent/member representation, count, material/dimensions and required property values. Record any tessellation/simplification and whether it meets the intended use. Re-export/retest failures; a successful file or attractive render is insufficient.</w:t>
      </w:r>
    </w:p>
    <w:p>
      <w:pPr>
        <w:pStyle w:val="ListParagraph"/>
        <w:spacing w:after="40"/>
        <w:ind w:left="360" w:hanging="280"/>
      </w:pPr>
      <w:r>
        <w:t xml:space="preserve">10.  </w:t>
      </w:r>
      <w:r>
        <w:t>Release the assessed family revision through the library owner, retaining original intermediate/accepted baseline and test record. Do not load a downloaded/add-in-generated family into production solely because it sits in an office share. Record origin/licence, exact build, changed objects, reviewer and fallback/rollback.</w:t>
      </w:r>
    </w:p>
    <w:p>
      <w:r>
        <w:drawing>
          <wp:inline xmlns:a="http://schemas.openxmlformats.org/drawingml/2006/main" xmlns:pic="http://schemas.openxmlformats.org/drawingml/2006/picture">
            <wp:extent cx="6645910" cy="3738324"/>
            <wp:docPr id="2" name="Picture 2"/>
            <wp:cNvGraphicFramePr>
              <a:graphicFrameLocks noChangeAspect="1"/>
            </wp:cNvGraphicFramePr>
            <a:graphic>
              <a:graphicData uri="http://schemas.openxmlformats.org/drawingml/2006/picture">
                <pic:pic>
                  <pic:nvPicPr>
                    <pic:cNvPr id="0" name="BBM-STD-29-adaptive-point-tests.png"/>
                    <pic:cNvPicPr/>
                  </pic:nvPicPr>
                  <pic:blipFill>
                    <a:blip r:embed="rId16"/>
                    <a:stretch>
                      <a:fillRect/>
                    </a:stretch>
                  </pic:blipFill>
                  <pic:spPr>
                    <a:xfrm>
                      <a:off x="0" y="0"/>
                      <a:ext cx="6645910" cy="3738324"/>
                    </a:xfrm>
                    <a:prstGeom prst="rect"/>
                  </pic:spPr>
                </pic:pic>
              </a:graphicData>
            </a:graphic>
          </wp:inline>
        </w:drawing>
      </w:r>
    </w:p>
    <w:p>
      <w:pPr/>
      <w:r>
        <w:rPr>
          <w:i/>
        </w:rPr>
        <w:t>Numbered placement order and proposed synthetic flex cases; the office must record actual adopted-build results.</w:t>
      </w:r>
    </w:p>
    <w:p>
      <w:pPr>
        <w:pStyle w:val="Heading1"/>
      </w:pPr>
      <w:r>
        <w:t>Worked flex and performance exercise</w:t>
      </w:r>
    </w:p>
    <w:p>
      <w:pPr/>
      <w:r>
        <w:t>Start with one four-point unit. Trainer confirms valid dimension/rise/radius ranges before use. Proposed plan cases are a 1,200 mm square, 1,800 mm nominal square and a larger/skew perimeter with 2,400 mm bottom span and 1,800 mm depth. Add two recorded rise/radius cases within the approved family range and one intentionally invalid constraint in a copy. The diagrams are expected-input sketches, not executed Revit evidence.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334"/>
        <w:gridCol w:w="8132"/>
      </w:tblGrid>
      <w:tr>
        <w:trPr>
          <w:cantSplit/>
          <w:tblHeader/>
        </w:trPr>
        <w:tc>
          <w:tcPr>
            <w:tcW w:type="dxa" w:w="2334"/>
            <w:shd w:val="clear" w:color="auto" w:fill="111113"/>
          </w:tcPr>
          <w:p>
            <w:r>
              <w:rPr>
                <w:b/>
                <w:color w:val="FFFFFF"/>
                <w:sz w:val="17"/>
              </w:rPr>
            </w:r>
            <w:r>
              <w:rPr>
                <w:b/>
                <w:color w:val="FFFFFF"/>
                <w:sz w:val="17"/>
              </w:rPr>
              <w:t>Test</w:t>
            </w:r>
          </w:p>
        </w:tc>
        <w:tc>
          <w:tcPr>
            <w:tcW w:type="dxa" w:w="8132"/>
            <w:shd w:val="clear" w:color="auto" w:fill="111113"/>
          </w:tcPr>
          <w:p>
            <w:r>
              <w:rPr>
                <w:b/>
                <w:color w:val="FFFFFF"/>
                <w:sz w:val="17"/>
              </w:rPr>
            </w:r>
            <w:r>
              <w:rPr>
                <w:b/>
                <w:color w:val="FFFFFF"/>
                <w:sz w:val="17"/>
              </w:rPr>
              <w:t>Expected result /​ evidence</w:t>
            </w:r>
          </w:p>
        </w:tc>
      </w:tr>
      <w:tr>
        <w:trPr>
          <w:cantSplit/>
        </w:trPr>
        <w:tc>
          <w:tcPr>
            <w:tcW w:type="dxa" w:w="2334"/>
          </w:tcPr>
          <w:p>
            <w:r>
              <w:rPr>
                <w:sz w:val="17"/>
              </w:rPr>
            </w:r>
            <w:r>
              <w:rPr>
                <w:sz w:val="17"/>
              </w:rPr>
              <w:t>Ordered P1–P4 placement</w:t>
            </w:r>
          </w:p>
        </w:tc>
        <w:tc>
          <w:tcPr>
            <w:tcW w:type="dxa" w:w="8132"/>
          </w:tcPr>
          <w:p>
            <w:r>
              <w:rPr>
                <w:sz w:val="17"/>
              </w:rPr>
            </w:r>
            <w:r>
              <w:rPr>
                <w:sz w:val="17"/>
              </w:rPr>
              <w:t>Intended perimeter/​orientation; numbered-point screenshot and reference-plane record.</w:t>
            </w:r>
          </w:p>
        </w:tc>
      </w:tr>
      <w:tr>
        <w:trPr>
          <w:cantSplit/>
        </w:trPr>
        <w:tc>
          <w:tcPr>
            <w:tcW w:type="dxa" w:w="2334"/>
          </w:tcPr>
          <w:p>
            <w:r>
              <w:rPr>
                <w:sz w:val="17"/>
              </w:rPr>
            </w:r>
            <w:r>
              <w:rPr>
                <w:sz w:val="17"/>
              </w:rPr>
              <w:t>Nominal and extremes</w:t>
            </w:r>
          </w:p>
        </w:tc>
        <w:tc>
          <w:tcPr>
            <w:tcW w:type="dxa" w:w="8132"/>
          </w:tcPr>
          <w:p>
            <w:r>
              <w:rPr>
                <w:sz w:val="17"/>
              </w:rPr>
            </w:r>
            <w:r>
              <w:rPr>
                <w:sz w:val="17"/>
              </w:rPr>
              <w:t>Continuous members/​nodes without unexplained distortion/​gaps; actual dimensions compared to inputs.</w:t>
            </w:r>
          </w:p>
        </w:tc>
      </w:tr>
      <w:tr>
        <w:trPr>
          <w:cantSplit/>
        </w:trPr>
        <w:tc>
          <w:tcPr>
            <w:tcW w:type="dxa" w:w="2334"/>
          </w:tcPr>
          <w:p>
            <w:r>
              <w:rPr>
                <w:sz w:val="17"/>
              </w:rPr>
            </w:r>
            <w:r>
              <w:rPr>
                <w:sz w:val="17"/>
              </w:rPr>
              <w:t>Reversed/​invalid placement</w:t>
            </w:r>
          </w:p>
        </w:tc>
        <w:tc>
          <w:tcPr>
            <w:tcW w:type="dxa" w:w="8132"/>
          </w:tcPr>
          <w:p>
            <w:r>
              <w:rPr>
                <w:sz w:val="17"/>
              </w:rPr>
            </w:r>
            <w:r>
              <w:rPr>
                <w:sz w:val="17"/>
              </w:rPr>
              <w:t>Identify orientation/​constraint defect and demonstrate correction; do not accept a mirrored/​twisted unit silently.</w:t>
            </w:r>
          </w:p>
        </w:tc>
      </w:tr>
      <w:tr>
        <w:trPr>
          <w:cantSplit/>
        </w:trPr>
        <w:tc>
          <w:tcPr>
            <w:tcW w:type="dxa" w:w="2334"/>
          </w:tcPr>
          <w:p>
            <w:r>
              <w:rPr>
                <w:sz w:val="17"/>
              </w:rPr>
            </w:r>
            <w:r>
              <w:rPr>
                <w:sz w:val="17"/>
              </w:rPr>
              <w:t>Host change</w:t>
            </w:r>
          </w:p>
        </w:tc>
        <w:tc>
          <w:tcPr>
            <w:tcW w:type="dxa" w:w="8132"/>
          </w:tcPr>
          <w:p>
            <w:r>
              <w:rPr>
                <w:sz w:val="17"/>
              </w:rPr>
            </w:r>
            <w:r>
              <w:rPr>
                <w:sz w:val="17"/>
              </w:rPr>
              <w:t>Expected automatic/​update behaviour recorded; patch count and geometry rechecked.</w:t>
            </w:r>
          </w:p>
        </w:tc>
      </w:tr>
      <w:tr>
        <w:trPr>
          <w:cantSplit/>
        </w:trPr>
        <w:tc>
          <w:tcPr>
            <w:tcW w:type="dxa" w:w="2334"/>
          </w:tcPr>
          <w:p>
            <w:r>
              <w:rPr>
                <w:sz w:val="17"/>
              </w:rPr>
            </w:r>
            <w:r>
              <w:rPr>
                <w:sz w:val="17"/>
              </w:rPr>
              <w:t>Small versus dense patch</w:t>
            </w:r>
          </w:p>
        </w:tc>
        <w:tc>
          <w:tcPr>
            <w:tcW w:type="dxa" w:w="8132"/>
          </w:tcPr>
          <w:p>
            <w:r>
              <w:rPr>
                <w:sz w:val="17"/>
              </w:rPr>
            </w:r>
            <w:r>
              <w:rPr>
                <w:sz w:val="17"/>
              </w:rPr>
              <w:t>Counts/​timings/​warnings against pre-agreed project limits; decision and lighter fallback if needed.</w:t>
            </w:r>
          </w:p>
        </w:tc>
      </w:tr>
      <w:tr>
        <w:trPr>
          <w:cantSplit/>
        </w:trPr>
        <w:tc>
          <w:tcPr>
            <w:tcW w:type="dxa" w:w="2334"/>
          </w:tcPr>
          <w:p>
            <w:r>
              <w:rPr>
                <w:sz w:val="17"/>
              </w:rPr>
            </w:r>
            <w:r>
              <w:rPr>
                <w:sz w:val="17"/>
              </w:rPr>
              <w:t>Category/​schedule</w:t>
            </w:r>
          </w:p>
        </w:tc>
        <w:tc>
          <w:tcPr>
            <w:tcW w:type="dxa" w:w="8132"/>
          </w:tcPr>
          <w:p>
            <w:r>
              <w:rPr>
                <w:sz w:val="17"/>
              </w:rPr>
            </w:r>
            <w:r>
              <w:rPr>
                <w:sz w:val="17"/>
              </w:rPr>
              <w:t>One row per unit or documented member scheme; identifiers/​material/​required data reconcile.</w:t>
            </w:r>
          </w:p>
        </w:tc>
      </w:tr>
      <w:tr>
        <w:trPr>
          <w:cantSplit/>
        </w:trPr>
        <w:tc>
          <w:tcPr>
            <w:tcW w:type="dxa" w:w="2334"/>
          </w:tcPr>
          <w:p>
            <w:r>
              <w:rPr>
                <w:sz w:val="17"/>
              </w:rPr>
            </w:r>
            <w:r>
              <w:rPr>
                <w:sz w:val="17"/>
              </w:rPr>
              <w:t>IFC recipient</w:t>
            </w:r>
          </w:p>
        </w:tc>
        <w:tc>
          <w:tcPr>
            <w:tcW w:type="dxa" w:w="8132"/>
          </w:tcPr>
          <w:p>
            <w:r>
              <w:rPr>
                <w:sz w:val="17"/>
              </w:rPr>
            </w:r>
            <w:r>
              <w:rPr>
                <w:sz w:val="17"/>
              </w:rPr>
              <w:t>Expected objects, shape and required mapped data present; exclusions/​simplification explicitly accepted for purpose.</w:t>
            </w:r>
          </w:p>
        </w:tc>
      </w:tr>
    </w:tbl>
    <w:p/>
    <w:p>
      <w:pPr/>
      <w:r>
        <w:t>Retain family/project revisions, min/nominal/max screenshots, timing/count table, schedule and receiving-tool report. The learner must explain how references drive the geometry and demonstrate one detected/rectified failure. Attendance or a finished image alone fails the assessment.</w:t>
      </w:r>
    </w:p>
    <w:p>
      <w:pPr>
        <w:pStyle w:val="Heading1"/>
      </w:pPr>
      <w:r>
        <w:t>Quick renders — controlled convenience workflow</w:t>
      </w:r>
    </w:p>
    <w:p>
      <w:pPr/>
      <w:r>
        <w:t>The recording demonstrated a real-time renderer and mentioned other engines. Current pricing, free entitlement, engine-specific material restrictions and library rights were not established by RESEARCH.md. Remove those claims; choose the office-approved engine only after the responsible owner records current provider/licence evidence and tests the compatible link/export version. Do not infer licence or safety from a “Libraries/Plug-ins” folder.</w:t>
      </w:r>
    </w:p>
    <w:p>
      <w:pPr>
        <w:pStyle w:val="ListParagraph"/>
        <w:spacing w:after="40"/>
        <w:ind w:left="360" w:hanging="280"/>
      </w:pPr>
      <w:r>
        <w:t xml:space="preserve">1.  </w:t>
      </w:r>
      <w:r>
        <w:t>Approve the exact renderer/add-in/link build, provider source, entitlement, third-party asset/material reuse rights and permitted model distribution. Record the test/fallback and reviewer. Use a copy and log installation/configuration; no production version change just for a fast image.</w:t>
      </w:r>
    </w:p>
    <w:p>
      <w:pPr>
        <w:pStyle w:val="ListParagraph"/>
        <w:spacing w:after="40"/>
        <w:ind w:left="360" w:hanging="280"/>
      </w:pPr>
      <w:r>
        <w:t xml:space="preserve">2.  </w:t>
      </w:r>
      <w:r>
        <w:t>Send the checked model revision through the supported link/export route. Compare orientation/scale/categories and one known material before rendering. Document whether material edits live only in the render scene or alter authoring data; do not promise a capability difference between vendors without tested current evidence.</w:t>
      </w:r>
    </w:p>
    <w:p>
      <w:pPr>
        <w:pStyle w:val="ListParagraph"/>
        <w:spacing w:after="40"/>
        <w:ind w:left="360" w:hanging="280"/>
      </w:pPr>
      <w:r>
        <w:t xml:space="preserve">3.  </w:t>
      </w:r>
      <w:r>
        <w:t>Set camera and intended conceptual quality. For sun use approved orientation/location/time when relevant; for a synthetic scene record assumptions. Check lights and licensed HDRI/asset sources, material assignment and clipping. Concept speed is a local objective, not permission to imply verified existing conditions or construction detail.</w:t>
      </w:r>
    </w:p>
    <w:p>
      <w:pPr>
        <w:pStyle w:val="ListParagraph"/>
        <w:spacing w:after="40"/>
        <w:ind w:left="360" w:hanging="280"/>
      </w:pPr>
      <w:r>
        <w:t xml:space="preserve">4.  </w:t>
      </w:r>
      <w:r>
        <w:t>Save the source revision, scene/settings and output with a caption describing concept status and omissions. Recheck the link after geometry changes. Model/schedule/IFC acceptance remains step 9; rendering is a separate communication check.</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07"/>
        <w:gridCol w:w="8059"/>
      </w:tblGrid>
      <w:tr>
        <w:trPr>
          <w:cantSplit/>
          <w:tblHeader/>
        </w:trPr>
        <w:tc>
          <w:tcPr>
            <w:tcW w:type="dxa" w:w="2407"/>
            <w:shd w:val="clear" w:color="auto" w:fill="111113"/>
          </w:tcPr>
          <w:p>
            <w:r>
              <w:rPr>
                <w:b/>
                <w:color w:val="FFFFFF"/>
                <w:sz w:val="17"/>
              </w:rPr>
            </w:r>
            <w:r>
              <w:rPr>
                <w:b/>
                <w:color w:val="FFFFFF"/>
                <w:sz w:val="17"/>
              </w:rPr>
              <w:t>Tool gate to complete</w:t>
            </w:r>
          </w:p>
        </w:tc>
        <w:tc>
          <w:tcPr>
            <w:tcW w:type="dxa" w:w="8059"/>
            <w:shd w:val="clear" w:color="auto" w:fill="111113"/>
          </w:tcPr>
          <w:p>
            <w:r>
              <w:rPr>
                <w:b/>
                <w:color w:val="FFFFFF"/>
                <w:sz w:val="17"/>
              </w:rPr>
            </w:r>
            <w:r>
              <w:rPr>
                <w:b/>
                <w:color w:val="FFFFFF"/>
                <w:sz w:val="17"/>
              </w:rPr>
              <w:t>Evidence required</w:t>
            </w:r>
          </w:p>
        </w:tc>
      </w:tr>
      <w:tr>
        <w:trPr>
          <w:cantSplit/>
        </w:trPr>
        <w:tc>
          <w:tcPr>
            <w:tcW w:type="dxa" w:w="2407"/>
          </w:tcPr>
          <w:p>
            <w:r>
              <w:rPr>
                <w:sz w:val="17"/>
              </w:rPr>
            </w:r>
            <w:r>
              <w:rPr>
                <w:sz w:val="17"/>
              </w:rPr>
              <w:t>Provider/​build/​compatibility</w:t>
            </w:r>
          </w:p>
        </w:tc>
        <w:tc>
          <w:tcPr>
            <w:tcW w:type="dxa" w:w="8059"/>
          </w:tcPr>
          <w:p>
            <w:r>
              <w:rPr>
                <w:sz w:val="17"/>
              </w:rPr>
            </w:r>
            <w:r>
              <w:rPr>
                <w:sz w:val="17"/>
              </w:rPr>
              <w:t>Official provider URL/​date, exact version, supported link route and successful representative test.</w:t>
            </w:r>
          </w:p>
        </w:tc>
      </w:tr>
      <w:tr>
        <w:trPr>
          <w:cantSplit/>
        </w:trPr>
        <w:tc>
          <w:tcPr>
            <w:tcW w:type="dxa" w:w="2407"/>
          </w:tcPr>
          <w:p>
            <w:r>
              <w:rPr>
                <w:sz w:val="17"/>
              </w:rPr>
            </w:r>
            <w:r>
              <w:rPr>
                <w:sz w:val="17"/>
              </w:rPr>
              <w:t>Licence/​asset rights</w:t>
            </w:r>
          </w:p>
        </w:tc>
        <w:tc>
          <w:tcPr>
            <w:tcW w:type="dxa" w:w="8059"/>
          </w:tcPr>
          <w:p>
            <w:r>
              <w:rPr>
                <w:sz w:val="17"/>
              </w:rPr>
            </w:r>
            <w:r>
              <w:rPr>
                <w:sz w:val="17"/>
              </w:rPr>
              <w:t>Entitlement holder/​scope/​expiry and authorised reuse of assets/​materials.</w:t>
            </w:r>
          </w:p>
        </w:tc>
      </w:tr>
      <w:tr>
        <w:trPr>
          <w:cantSplit/>
        </w:trPr>
        <w:tc>
          <w:tcPr>
            <w:tcW w:type="dxa" w:w="2407"/>
          </w:tcPr>
          <w:p>
            <w:r>
              <w:rPr>
                <w:sz w:val="17"/>
              </w:rPr>
            </w:r>
            <w:r>
              <w:rPr>
                <w:sz w:val="17"/>
              </w:rPr>
              <w:t>Operational trust</w:t>
            </w:r>
          </w:p>
        </w:tc>
        <w:tc>
          <w:tcPr>
            <w:tcW w:type="dxa" w:w="8059"/>
          </w:tcPr>
          <w:p>
            <w:r>
              <w:rPr>
                <w:sz w:val="17"/>
              </w:rPr>
            </w:r>
            <w:r>
              <w:rPr>
                <w:sz w:val="17"/>
              </w:rPr>
              <w:t>Source/​change record, isolated test, output diff, named reviewer and rollback/​fallback.</w:t>
            </w:r>
          </w:p>
        </w:tc>
      </w:tr>
    </w:tbl>
    <w:p/>
    <w:p>
      <w:pPr/>
      <w:r>
        <w:t>Workshop recordings may be indexed under the office Training/Workshops location. Record the actual approved location/access and recording date; availability there is not a release test.</w:t>
      </w:r>
    </w:p>
    <w:p>
      <w:pPr>
        <w:pStyle w:val="Heading1"/>
      </w:pPr>
      <w:r>
        <w:t>Acceptance criteria / self-check list</w:t>
      </w:r>
    </w:p>
    <w:p>
      <w:pPr>
        <w:pStyle w:val="ListParagraph"/>
        <w:spacing w:after="40"/>
        <w:ind w:left="360" w:hanging="240"/>
      </w:pPr>
      <w:r>
        <w:t xml:space="preserve">•  </w:t>
      </w:r>
      <w:r>
        <w:t>Purpose/LOIN, host/template/category and omitted information are stated; assumed measurements are labelled.</w:t>
      </w:r>
    </w:p>
    <w:p>
      <w:pPr>
        <w:pStyle w:val="ListParagraph"/>
        <w:spacing w:after="40"/>
        <w:ind w:left="360" w:hanging="240"/>
      </w:pPr>
      <w:r>
        <w:t xml:space="preserve">•  </w:t>
      </w:r>
      <w:r>
        <w:t>Numbered placements and orientation are reproducible; representative extremes/host changes and invalid cases are documented and corrected.</w:t>
      </w:r>
    </w:p>
    <w:p>
      <w:pPr>
        <w:pStyle w:val="ListParagraph"/>
        <w:spacing w:after="40"/>
        <w:ind w:left="360" w:hanging="240"/>
      </w:pPr>
      <w:r>
        <w:t xml:space="preserve">•  </w:t>
      </w:r>
      <w:r>
        <w:t>Model performance is measured against an approved baseline/limit, with a usable fallback where needed.</w:t>
      </w:r>
    </w:p>
    <w:p>
      <w:pPr>
        <w:pStyle w:val="ListParagraph"/>
        <w:spacing w:after="40"/>
        <w:ind w:left="360" w:hanging="240"/>
      </w:pPr>
      <w:r>
        <w:t xml:space="preserve">•  </w:t>
      </w:r>
      <w:r>
        <w:t>Unit/member category, quantities, identifiers and required properties reconcile through native schedule and recipient exchange.</w:t>
      </w:r>
    </w:p>
    <w:p>
      <w:pPr>
        <w:pStyle w:val="ListParagraph"/>
        <w:spacing w:after="40"/>
        <w:ind w:left="360" w:hanging="240"/>
      </w:pPr>
      <w:r>
        <w:t xml:space="preserve">•  </w:t>
      </w:r>
      <w:r>
        <w:t>Library revision is approved with provenance/rights and compatible rollback baseline.</w:t>
      </w:r>
    </w:p>
    <w:p>
      <w:pPr>
        <w:pStyle w:val="ListParagraph"/>
        <w:spacing w:after="40"/>
        <w:ind w:left="360" w:hanging="240"/>
      </w:pPr>
      <w:r>
        <w:t xml:space="preserve">•  </w:t>
      </w:r>
      <w:r>
        <w:t>Rendering has a separate concept/scene check; all current vendor/licence/capability claims require actual provider evidence before adoption.</w:t>
      </w:r>
    </w:p>
    <w:p>
      <w:pPr>
        <w:pStyle w:val="Heading1"/>
      </w:pPr>
      <w:r>
        <w:t>Common mistakes</w:t>
      </w:r>
    </w:p>
    <w:p>
      <w:pPr>
        <w:pStyle w:val="ListParagraph"/>
        <w:spacing w:after="40"/>
        <w:ind w:left="360" w:hanging="240"/>
      </w:pPr>
      <w:r>
        <w:t xml:space="preserve">•  </w:t>
      </w:r>
      <w:r>
        <w:t>Modelling a photo as fabrication truth: verify dimensions and assign uncertainty/approval.</w:t>
      </w:r>
    </w:p>
    <w:p>
      <w:pPr>
        <w:pStyle w:val="ListParagraph"/>
        <w:spacing w:after="40"/>
        <w:ind w:left="360" w:hanging="240"/>
      </w:pPr>
      <w:r>
        <w:t xml:space="preserve">•  </w:t>
      </w:r>
      <w:r>
        <w:t>Clicking points in an unrecorded order: label P1–P4 and test orientation.</w:t>
      </w:r>
    </w:p>
    <w:p>
      <w:pPr>
        <w:pStyle w:val="ListParagraph"/>
        <w:spacing w:after="40"/>
        <w:ind w:left="360" w:hanging="240"/>
      </w:pPr>
      <w:r>
        <w:t xml:space="preserve">•  </w:t>
      </w:r>
      <w:r>
        <w:t>Treating all curves/pattern templates alike: use adopted-release controls and measured results.</w:t>
      </w:r>
    </w:p>
    <w:p>
      <w:pPr>
        <w:pStyle w:val="ListParagraph"/>
        <w:spacing w:after="40"/>
        <w:ind w:left="360" w:hanging="240"/>
      </w:pPr>
      <w:r>
        <w:t xml:space="preserve">•  </w:t>
      </w:r>
      <w:r>
        <w:t>Repeating thousands of units before testing one: flex one, test a patch, then measure a representative workload.</w:t>
      </w:r>
    </w:p>
    <w:p>
      <w:pPr>
        <w:pStyle w:val="ListParagraph"/>
        <w:spacing w:after="40"/>
        <w:ind w:left="360" w:hanging="240"/>
      </w:pPr>
      <w:r>
        <w:t xml:space="preserve">•  </w:t>
      </w:r>
      <w:r>
        <w:t>Counting nested graphics as physical assets automatically: declare schedule/exchange semantics.</w:t>
      </w:r>
    </w:p>
    <w:p>
      <w:pPr>
        <w:pStyle w:val="ListParagraph"/>
        <w:spacing w:after="40"/>
        <w:ind w:left="360" w:hanging="240"/>
      </w:pPr>
      <w:r>
        <w:t xml:space="preserve">•  </w:t>
      </w:r>
      <w:r>
        <w:t>Calling tools “free and checked” from a share-folder name: retain provider/licence/test evidence.</w:t>
      </w:r>
    </w:p>
    <w:p>
      <w:pPr>
        <w:pStyle w:val="Heading1"/>
      </w:pPr>
      <w:r>
        <w:t>Related guides</w:t>
      </w:r>
    </w:p>
    <w:p>
      <w:pPr>
        <w:pStyle w:val="ListParagraph"/>
        <w:spacing w:after="40"/>
        <w:ind w:left="360" w:hanging="240"/>
      </w:pPr>
      <w:r>
        <w:t xml:space="preserve">•  </w:t>
      </w:r>
      <w:r>
        <w:t>23–24 — mass faces and curtain hosting; 26–27 — templates, constraints and properties.</w:t>
      </w:r>
    </w:p>
    <w:p>
      <w:pPr>
        <w:pStyle w:val="ListParagraph"/>
        <w:spacing w:after="40"/>
        <w:ind w:left="360" w:hanging="240"/>
      </w:pPr>
      <w:r>
        <w:t xml:space="preserve">•  </w:t>
      </w:r>
      <w:r>
        <w:t>28 — documentation/graphics; 30–31 — supported tool baseline and operational controls.</w:t>
      </w:r>
    </w:p>
    <w:p>
      <w:pPr>
        <w:pStyle w:val="ListParagraph"/>
        <w:spacing w:after="40"/>
        <w:ind w:left="360" w:hanging="240"/>
      </w:pPr>
      <w:r>
        <w:t xml:space="preserve">•  </w:t>
      </w:r>
      <w:r>
        <w:t>35–37 — library intake, schedule QA and family release.</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R07.1: purpose/step 1; R07.2: points table/step 2 and numbered diagram; R07.3: steps 3–6; R07.4: steps 6–7/test table; R07.5: steps 8–9/acceptance. G29 has no independently verified P1 defect; unsupported curve/vendor claims removed. P2: build, extreme/performance and category/schedule/IFC checks. CROSSWALK C12/C14/C20: evidence-based tool and geometry controls.</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40"/>
        <w:gridCol w:w="2653"/>
        <w:gridCol w:w="1844"/>
        <w:gridCol w:w="1646"/>
        <w:gridCol w:w="3582"/>
      </w:tblGrid>
      <w:tr>
        <w:trPr>
          <w:cantSplit/>
          <w:tblHeader/>
        </w:trPr>
        <w:tc>
          <w:tcPr>
            <w:tcW w:type="dxa" w:w="740"/>
            <w:shd w:val="clear" w:color="auto" w:fill="111113"/>
          </w:tcPr>
          <w:p>
            <w:r>
              <w:rPr>
                <w:b/>
                <w:color w:val="FFFFFF"/>
                <w:sz w:val="17"/>
              </w:rPr>
            </w:r>
            <w:r>
              <w:rPr>
                <w:b/>
                <w:color w:val="FFFFFF"/>
                <w:sz w:val="17"/>
              </w:rPr>
              <w:t>Source</w:t>
            </w:r>
          </w:p>
        </w:tc>
        <w:tc>
          <w:tcPr>
            <w:tcW w:type="dxa" w:w="2653"/>
            <w:shd w:val="clear" w:color="auto" w:fill="111113"/>
          </w:tcPr>
          <w:p>
            <w:r>
              <w:rPr>
                <w:b/>
                <w:color w:val="FFFFFF"/>
                <w:sz w:val="17"/>
              </w:rPr>
            </w:r>
            <w:r>
              <w:rPr>
                <w:b/>
                <w:color w:val="FFFFFF"/>
                <w:sz w:val="17"/>
              </w:rPr>
              <w:t>Title</w:t>
            </w:r>
          </w:p>
        </w:tc>
        <w:tc>
          <w:tcPr>
            <w:tcW w:type="dxa" w:w="1844"/>
            <w:shd w:val="clear" w:color="auto" w:fill="111113"/>
          </w:tcPr>
          <w:p>
            <w:r>
              <w:rPr>
                <w:b/>
                <w:color w:val="FFFFFF"/>
                <w:sz w:val="17"/>
              </w:rPr>
            </w:r>
            <w:r>
              <w:rPr>
                <w:b/>
                <w:color w:val="FFFFFF"/>
                <w:sz w:val="17"/>
              </w:rPr>
              <w:t>Publisher</w:t>
            </w:r>
          </w:p>
        </w:tc>
        <w:tc>
          <w:tcPr>
            <w:tcW w:type="dxa" w:w="1646"/>
            <w:shd w:val="clear" w:color="auto" w:fill="111113"/>
          </w:tcPr>
          <w:p>
            <w:r>
              <w:rPr>
                <w:b/>
                <w:color w:val="FFFFFF"/>
                <w:sz w:val="17"/>
              </w:rPr>
            </w:r>
            <w:r>
              <w:rPr>
                <w:b/>
                <w:color w:val="FFFFFF"/>
                <w:sz w:val="17"/>
              </w:rPr>
              <w:t>Year /​ edition</w:t>
            </w:r>
          </w:p>
        </w:tc>
        <w:tc>
          <w:tcPr>
            <w:tcW w:type="dxa" w:w="3582"/>
            <w:shd w:val="clear" w:color="auto" w:fill="111113"/>
          </w:tcPr>
          <w:p>
            <w:r>
              <w:rPr>
                <w:b/>
                <w:color w:val="FFFFFF"/>
                <w:sz w:val="17"/>
              </w:rPr>
            </w:r>
            <w:r>
              <w:rPr>
                <w:b/>
                <w:color w:val="FFFFFF"/>
                <w:sz w:val="17"/>
              </w:rPr>
              <w:t>URL /​ evidence note</w:t>
            </w:r>
          </w:p>
        </w:tc>
      </w:tr>
      <w:tr>
        <w:trPr>
          <w:cantSplit/>
        </w:trPr>
        <w:tc>
          <w:tcPr>
            <w:tcW w:type="dxa" w:w="740"/>
          </w:tcPr>
          <w:p>
            <w:r>
              <w:rPr>
                <w:sz w:val="17"/>
              </w:rPr>
            </w:r>
            <w:r>
              <w:rPr>
                <w:sz w:val="17"/>
              </w:rPr>
              <w:t>S02</w:t>
            </w:r>
          </w:p>
        </w:tc>
        <w:tc>
          <w:tcPr>
            <w:tcW w:type="dxa" w:w="2653"/>
          </w:tcPr>
          <w:p>
            <w:r>
              <w:rPr>
                <w:sz w:val="17"/>
              </w:rPr>
            </w:r>
            <w:r>
              <w:rPr>
                <w:sz w:val="17"/>
              </w:rPr>
              <w:t>ISO 19650-2 — Delivery phase of the assets</w:t>
            </w:r>
          </w:p>
        </w:tc>
        <w:tc>
          <w:tcPr>
            <w:tcW w:type="dxa" w:w="1844"/>
          </w:tcPr>
          <w:p>
            <w:r>
              <w:rPr>
                <w:sz w:val="17"/>
              </w:rPr>
            </w:r>
            <w:r>
              <w:rPr>
                <w:sz w:val="17"/>
              </w:rPr>
              <w:t>ISO</w:t>
            </w:r>
          </w:p>
        </w:tc>
        <w:tc>
          <w:tcPr>
            <w:tcW w:type="dxa" w:w="1646"/>
          </w:tcPr>
          <w:p>
            <w:r>
              <w:rPr>
                <w:sz w:val="17"/>
              </w:rPr>
            </w:r>
            <w:r>
              <w:rPr>
                <w:sz w:val="17"/>
              </w:rPr>
              <w:t>2018, ed.1</w:t>
            </w:r>
          </w:p>
        </w:tc>
        <w:tc>
          <w:tcPr>
            <w:tcW w:type="dxa" w:w="3582"/>
          </w:tcPr>
          <w:p>
            <w:r>
              <w:rPr>
                <w:sz w:val="17"/>
              </w:rPr>
            </w:r>
            <w:r>
              <w:rPr>
                <w:color w:val="9A7B45"/>
                <w:sz w:val="17"/>
                <w:u w:val="single"/>
              </w:rPr>
              <w:t>Catalogue /​ abstract</w:t>
            </w:r>
            <w:r>
              <w:rPr>
                <w:sz w:val="17"/>
              </w:rPr>
              <w:t>; publisher result exposes English abstract and status</w:t>
            </w:r>
          </w:p>
        </w:tc>
      </w:tr>
      <w:tr>
        <w:trPr>
          <w:cantSplit/>
        </w:trPr>
        <w:tc>
          <w:tcPr>
            <w:tcW w:type="dxa" w:w="740"/>
          </w:tcPr>
          <w:p>
            <w:r>
              <w:rPr>
                <w:sz w:val="17"/>
              </w:rPr>
            </w:r>
            <w:r>
              <w:rPr>
                <w:sz w:val="17"/>
              </w:rPr>
              <w:t>S04</w:t>
            </w:r>
          </w:p>
        </w:tc>
        <w:tc>
          <w:tcPr>
            <w:tcW w:type="dxa" w:w="2653"/>
          </w:tcPr>
          <w:p>
            <w:r>
              <w:rPr>
                <w:sz w:val="17"/>
              </w:rPr>
            </w:r>
            <w:r>
              <w:rPr>
                <w:sz w:val="17"/>
              </w:rPr>
              <w:t>ISO 19650-4 — Information exchange</w:t>
            </w:r>
          </w:p>
        </w:tc>
        <w:tc>
          <w:tcPr>
            <w:tcW w:type="dxa" w:w="1844"/>
          </w:tcPr>
          <w:p>
            <w:r>
              <w:rPr>
                <w:sz w:val="17"/>
              </w:rPr>
            </w:r>
            <w:r>
              <w:rPr>
                <w:sz w:val="17"/>
              </w:rPr>
              <w:t>ISO</w:t>
            </w:r>
          </w:p>
        </w:tc>
        <w:tc>
          <w:tcPr>
            <w:tcW w:type="dxa" w:w="1646"/>
          </w:tcPr>
          <w:p>
            <w:r>
              <w:rPr>
                <w:sz w:val="17"/>
              </w:rPr>
            </w:r>
            <w:r>
              <w:rPr>
                <w:sz w:val="17"/>
              </w:rPr>
              <w:t>2022, ed.1</w:t>
            </w:r>
          </w:p>
        </w:tc>
        <w:tc>
          <w:tcPr>
            <w:tcW w:type="dxa" w:w="3582"/>
          </w:tcPr>
          <w:p>
            <w:r>
              <w:rPr>
                <w:sz w:val="17"/>
              </w:rPr>
            </w:r>
            <w:r>
              <w:rPr>
                <w:color w:val="9A7B45"/>
                <w:sz w:val="17"/>
                <w:u w:val="single"/>
              </w:rPr>
              <w:t>Catalogue /​ abstract</w:t>
            </w:r>
          </w:p>
        </w:tc>
      </w:tr>
      <w:tr>
        <w:trPr>
          <w:cantSplit/>
        </w:trPr>
        <w:tc>
          <w:tcPr>
            <w:tcW w:type="dxa" w:w="740"/>
          </w:tcPr>
          <w:p>
            <w:r>
              <w:rPr>
                <w:sz w:val="17"/>
              </w:rPr>
            </w:r>
            <w:r>
              <w:rPr>
                <w:sz w:val="17"/>
              </w:rPr>
              <w:t>S07</w:t>
            </w:r>
          </w:p>
        </w:tc>
        <w:tc>
          <w:tcPr>
            <w:tcW w:type="dxa" w:w="2653"/>
          </w:tcPr>
          <w:p>
            <w:r>
              <w:rPr>
                <w:sz w:val="17"/>
              </w:rPr>
            </w:r>
            <w:r>
              <w:rPr>
                <w:sz w:val="17"/>
              </w:rPr>
              <w:t>ISO 7817-1 — Level of information need: concepts and principles</w:t>
            </w:r>
          </w:p>
        </w:tc>
        <w:tc>
          <w:tcPr>
            <w:tcW w:type="dxa" w:w="1844"/>
          </w:tcPr>
          <w:p>
            <w:r>
              <w:rPr>
                <w:sz w:val="17"/>
              </w:rPr>
            </w:r>
            <w:r>
              <w:rPr>
                <w:sz w:val="17"/>
              </w:rPr>
              <w:t>ISO</w:t>
            </w:r>
          </w:p>
        </w:tc>
        <w:tc>
          <w:tcPr>
            <w:tcW w:type="dxa" w:w="1646"/>
          </w:tcPr>
          <w:p>
            <w:r>
              <w:rPr>
                <w:sz w:val="17"/>
              </w:rPr>
            </w:r>
            <w:r>
              <w:rPr>
                <w:sz w:val="17"/>
              </w:rPr>
              <w:t>2024, ed.1</w:t>
            </w:r>
          </w:p>
        </w:tc>
        <w:tc>
          <w:tcPr>
            <w:tcW w:type="dxa" w:w="3582"/>
          </w:tcPr>
          <w:p>
            <w:r>
              <w:rPr>
                <w:sz w:val="17"/>
              </w:rPr>
            </w:r>
            <w:r>
              <w:rPr>
                <w:color w:val="9A7B45"/>
                <w:sz w:val="17"/>
                <w:u w:val="single"/>
              </w:rPr>
              <w:t>Catalogue /​ abstract</w:t>
            </w:r>
          </w:p>
        </w:tc>
      </w:tr>
      <w:tr>
        <w:trPr>
          <w:cantSplit/>
        </w:trPr>
        <w:tc>
          <w:tcPr>
            <w:tcW w:type="dxa" w:w="740"/>
          </w:tcPr>
          <w:p>
            <w:r>
              <w:rPr>
                <w:sz w:val="17"/>
              </w:rPr>
            </w:r>
            <w:r>
              <w:rPr>
                <w:sz w:val="17"/>
              </w:rPr>
              <w:t>A09</w:t>
            </w:r>
          </w:p>
        </w:tc>
        <w:tc>
          <w:tcPr>
            <w:tcW w:type="dxa" w:w="2653"/>
          </w:tcPr>
          <w:p>
            <w:r>
              <w:rPr>
                <w:sz w:val="17"/>
              </w:rPr>
            </w:r>
            <w:r>
              <w:rPr>
                <w:sz w:val="17"/>
              </w:rPr>
              <w:t>Adaptive Components; Place an Adaptive Component</w:t>
            </w:r>
          </w:p>
        </w:tc>
        <w:tc>
          <w:tcPr>
            <w:tcW w:type="dxa" w:w="1844"/>
          </w:tcPr>
          <w:p>
            <w:r>
              <w:rPr>
                <w:sz w:val="17"/>
              </w:rPr>
            </w:r>
            <w:r>
              <w:rPr>
                <w:sz w:val="17"/>
              </w:rPr>
              <w:t>Autodesk Revit Help</w:t>
            </w:r>
          </w:p>
        </w:tc>
        <w:tc>
          <w:tcPr>
            <w:tcW w:type="dxa" w:w="1646"/>
          </w:tcPr>
          <w:p>
            <w:r>
              <w:rPr>
                <w:sz w:val="17"/>
              </w:rPr>
            </w:r>
            <w:r>
              <w:rPr>
                <w:sz w:val="17"/>
              </w:rPr>
              <w:t>2016 /​ 2023; concept references</w:t>
            </w:r>
          </w:p>
        </w:tc>
        <w:tc>
          <w:tcPr>
            <w:tcW w:type="dxa" w:w="3582"/>
          </w:tcPr>
          <w:p>
            <w:r>
              <w:rPr>
                <w:sz w:val="17"/>
              </w:rPr>
            </w:r>
            <w:r>
              <w:rPr>
                <w:color w:val="9A7B45"/>
                <w:sz w:val="17"/>
                <w:u w:val="single"/>
              </w:rPr>
              <w:t>Reference points, repetition and hosting</w:t>
            </w:r>
            <w:r>
              <w:rPr>
                <w:sz w:val="17"/>
              </w:rPr>
              <w:t xml:space="preserve">; </w:t>
            </w:r>
            <w:r>
              <w:rPr>
                <w:color w:val="9A7B45"/>
                <w:sz w:val="17"/>
                <w:u w:val="single"/>
              </w:rPr>
              <w:t>placement</w:t>
            </w:r>
          </w:p>
        </w:tc>
      </w:tr>
      <w:tr>
        <w:trPr>
          <w:cantSplit/>
        </w:trPr>
        <w:tc>
          <w:tcPr>
            <w:tcW w:type="dxa" w:w="740"/>
          </w:tcPr>
          <w:p>
            <w:r>
              <w:rPr>
                <w:sz w:val="17"/>
              </w:rPr>
            </w:r>
            <w:r>
              <w:rPr>
                <w:sz w:val="17"/>
              </w:rPr>
              <w:t>A19</w:t>
            </w:r>
          </w:p>
        </w:tc>
        <w:tc>
          <w:tcPr>
            <w:tcW w:type="dxa" w:w="2653"/>
          </w:tcPr>
          <w:p>
            <w:r>
              <w:rPr>
                <w:sz w:val="17"/>
              </w:rPr>
            </w:r>
            <w:r>
              <w:rPr>
                <w:sz w:val="17"/>
              </w:rPr>
              <w:t>Model Efficiently</w:t>
            </w:r>
          </w:p>
        </w:tc>
        <w:tc>
          <w:tcPr>
            <w:tcW w:type="dxa" w:w="1844"/>
          </w:tcPr>
          <w:p>
            <w:r>
              <w:rPr>
                <w:sz w:val="17"/>
              </w:rPr>
            </w:r>
            <w:r>
              <w:rPr>
                <w:sz w:val="17"/>
              </w:rPr>
              <w:t>Autodesk Revit Help</w:t>
            </w:r>
          </w:p>
        </w:tc>
        <w:tc>
          <w:tcPr>
            <w:tcW w:type="dxa" w:w="1646"/>
          </w:tcPr>
          <w:p>
            <w:r>
              <w:rPr>
                <w:sz w:val="17"/>
              </w:rPr>
            </w:r>
            <w:r>
              <w:rPr>
                <w:sz w:val="17"/>
              </w:rPr>
              <w:t>Revit 2024</w:t>
            </w:r>
          </w:p>
        </w:tc>
        <w:tc>
          <w:tcPr>
            <w:tcW w:type="dxa" w:w="3582"/>
          </w:tcPr>
          <w:p>
            <w:r>
              <w:rPr>
                <w:sz w:val="17"/>
              </w:rPr>
            </w:r>
            <w:r>
              <w:rPr>
                <w:color w:val="9A7B45"/>
                <w:sz w:val="17"/>
                <w:u w:val="single"/>
              </w:rPr>
              <w:t>Warnings, links, constraints and content performance</w:t>
            </w:r>
          </w:p>
        </w:tc>
      </w:tr>
      <w:tr>
        <w:trPr>
          <w:cantSplit/>
        </w:trPr>
        <w:tc>
          <w:tcPr>
            <w:tcW w:type="dxa" w:w="740"/>
          </w:tcPr>
          <w:p>
            <w:r>
              <w:rPr>
                <w:sz w:val="17"/>
              </w:rPr>
            </w:r>
            <w:r>
              <w:rPr>
                <w:sz w:val="17"/>
              </w:rPr>
              <w:t>A18</w:t>
            </w:r>
          </w:p>
        </w:tc>
        <w:tc>
          <w:tcPr>
            <w:tcW w:type="dxa" w:w="2653"/>
          </w:tcPr>
          <w:p>
            <w:r>
              <w:rPr>
                <w:sz w:val="17"/>
              </w:rPr>
            </w:r>
            <w:r>
              <w:rPr>
                <w:sz w:val="17"/>
              </w:rPr>
              <w:t>Create a Family from a Template</w:t>
            </w:r>
          </w:p>
        </w:tc>
        <w:tc>
          <w:tcPr>
            <w:tcW w:type="dxa" w:w="1844"/>
          </w:tcPr>
          <w:p>
            <w:r>
              <w:rPr>
                <w:sz w:val="17"/>
              </w:rPr>
            </w:r>
            <w:r>
              <w:rPr>
                <w:sz w:val="17"/>
              </w:rPr>
              <w:t>Autodesk Revit Help</w:t>
            </w:r>
          </w:p>
        </w:tc>
        <w:tc>
          <w:tcPr>
            <w:tcW w:type="dxa" w:w="1646"/>
          </w:tcPr>
          <w:p>
            <w:r>
              <w:rPr>
                <w:sz w:val="17"/>
              </w:rPr>
            </w:r>
            <w:r>
              <w:rPr>
                <w:sz w:val="17"/>
              </w:rPr>
              <w:t>Revit 2026</w:t>
            </w:r>
          </w:p>
        </w:tc>
        <w:tc>
          <w:tcPr>
            <w:tcW w:type="dxa" w:w="3582"/>
          </w:tcPr>
          <w:p>
            <w:r>
              <w:rPr>
                <w:sz w:val="17"/>
              </w:rPr>
            </w:r>
            <w:r>
              <w:rPr>
                <w:color w:val="9A7B45"/>
                <w:sz w:val="17"/>
                <w:u w:val="single"/>
              </w:rPr>
              <w:t>Template selection and testing before sharing</w:t>
            </w:r>
          </w:p>
        </w:tc>
      </w:tr>
      <w:tr>
        <w:trPr>
          <w:cantSplit/>
        </w:trPr>
        <w:tc>
          <w:tcPr>
            <w:tcW w:type="dxa" w:w="740"/>
          </w:tcPr>
          <w:p>
            <w:r>
              <w:rPr>
                <w:sz w:val="17"/>
              </w:rPr>
            </w:r>
            <w:r>
              <w:rPr>
                <w:sz w:val="17"/>
              </w:rPr>
              <w:t>A06</w:t>
            </w:r>
          </w:p>
        </w:tc>
        <w:tc>
          <w:tcPr>
            <w:tcW w:type="dxa" w:w="2653"/>
          </w:tcPr>
          <w:p>
            <w:r>
              <w:rPr>
                <w:sz w:val="17"/>
              </w:rPr>
            </w:r>
            <w:r>
              <w:rPr>
                <w:sz w:val="17"/>
              </w:rPr>
              <w:t>Create Shared Project Parameters</w:t>
            </w:r>
          </w:p>
        </w:tc>
        <w:tc>
          <w:tcPr>
            <w:tcW w:type="dxa" w:w="1844"/>
          </w:tcPr>
          <w:p>
            <w:r>
              <w:rPr>
                <w:sz w:val="17"/>
              </w:rPr>
            </w:r>
            <w:r>
              <w:rPr>
                <w:sz w:val="17"/>
              </w:rPr>
              <w:t>Autodesk Revit Help</w:t>
            </w:r>
          </w:p>
        </w:tc>
        <w:tc>
          <w:tcPr>
            <w:tcW w:type="dxa" w:w="1646"/>
          </w:tcPr>
          <w:p>
            <w:r>
              <w:rPr>
                <w:sz w:val="17"/>
              </w:rPr>
            </w:r>
            <w:r>
              <w:rPr>
                <w:sz w:val="17"/>
              </w:rPr>
              <w:t>Revit 2026</w:t>
            </w:r>
          </w:p>
        </w:tc>
        <w:tc>
          <w:tcPr>
            <w:tcW w:type="dxa" w:w="3582"/>
          </w:tcPr>
          <w:p>
            <w:r>
              <w:rPr>
                <w:sz w:val="17"/>
              </w:rPr>
            </w:r>
            <w:r>
              <w:rPr>
                <w:color w:val="9A7B45"/>
                <w:sz w:val="17"/>
                <w:u w:val="single"/>
              </w:rPr>
              <w:t>Category bindings, instance/​type and tag/​schedule use</w:t>
            </w:r>
          </w:p>
        </w:tc>
      </w:tr>
      <w:tr>
        <w:trPr>
          <w:cantSplit/>
        </w:trPr>
        <w:tc>
          <w:tcPr>
            <w:tcW w:type="dxa" w:w="740"/>
          </w:tcPr>
          <w:p>
            <w:r>
              <w:rPr>
                <w:sz w:val="17"/>
              </w:rPr>
            </w:r>
            <w:r>
              <w:rPr>
                <w:sz w:val="17"/>
              </w:rPr>
              <w:t>A21</w:t>
            </w:r>
          </w:p>
        </w:tc>
        <w:tc>
          <w:tcPr>
            <w:tcW w:type="dxa" w:w="2653"/>
          </w:tcPr>
          <w:p>
            <w:r>
              <w:rPr>
                <w:sz w:val="17"/>
              </w:rPr>
            </w:r>
            <w:r>
              <w:rPr>
                <w:sz w:val="17"/>
              </w:rPr>
              <w:t>Schedules; About Schedules</w:t>
            </w:r>
          </w:p>
        </w:tc>
        <w:tc>
          <w:tcPr>
            <w:tcW w:type="dxa" w:w="1844"/>
          </w:tcPr>
          <w:p>
            <w:r>
              <w:rPr>
                <w:sz w:val="17"/>
              </w:rPr>
            </w:r>
            <w:r>
              <w:rPr>
                <w:sz w:val="17"/>
              </w:rPr>
              <w:t>Autodesk Revit Help</w:t>
            </w:r>
          </w:p>
        </w:tc>
        <w:tc>
          <w:tcPr>
            <w:tcW w:type="dxa" w:w="1646"/>
          </w:tcPr>
          <w:p>
            <w:r>
              <w:rPr>
                <w:sz w:val="17"/>
              </w:rPr>
            </w:r>
            <w:r>
              <w:rPr>
                <w:sz w:val="17"/>
              </w:rPr>
              <w:t>2026 /​ 2024</w:t>
            </w:r>
          </w:p>
        </w:tc>
        <w:tc>
          <w:tcPr>
            <w:tcW w:type="dxa" w:w="3582"/>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40"/>
          </w:tcPr>
          <w:p>
            <w:r>
              <w:rPr>
                <w:sz w:val="17"/>
              </w:rPr>
            </w:r>
            <w:r>
              <w:rPr>
                <w:sz w:val="17"/>
              </w:rPr>
              <w:t>S12</w:t>
            </w:r>
          </w:p>
        </w:tc>
        <w:tc>
          <w:tcPr>
            <w:tcW w:type="dxa" w:w="2653"/>
          </w:tcPr>
          <w:p>
            <w:r>
              <w:rPr>
                <w:sz w:val="17"/>
              </w:rPr>
            </w:r>
            <w:r>
              <w:rPr>
                <w:sz w:val="17"/>
              </w:rPr>
              <w:t>Industry Foundation Classes (IFC)</w:t>
            </w:r>
          </w:p>
        </w:tc>
        <w:tc>
          <w:tcPr>
            <w:tcW w:type="dxa" w:w="1844"/>
          </w:tcPr>
          <w:p>
            <w:r>
              <w:rPr>
                <w:sz w:val="17"/>
              </w:rPr>
            </w:r>
            <w:r>
              <w:rPr>
                <w:sz w:val="17"/>
              </w:rPr>
              <w:t>buildingSMART International</w:t>
            </w:r>
          </w:p>
        </w:tc>
        <w:tc>
          <w:tcPr>
            <w:tcW w:type="dxa" w:w="1646"/>
          </w:tcPr>
          <w:p>
            <w:r>
              <w:rPr>
                <w:sz w:val="17"/>
              </w:rPr>
            </w:r>
            <w:r>
              <w:rPr>
                <w:sz w:val="17"/>
              </w:rPr>
              <w:t>Undated live page; 2024 ISO edition</w:t>
            </w:r>
          </w:p>
        </w:tc>
        <w:tc>
          <w:tcPr>
            <w:tcW w:type="dxa" w:w="3582"/>
          </w:tcPr>
          <w:p>
            <w:r>
              <w:rPr>
                <w:sz w:val="17"/>
              </w:rPr>
            </w:r>
            <w:r>
              <w:rPr>
                <w:color w:val="9A7B45"/>
                <w:sz w:val="17"/>
                <w:u w:val="single"/>
              </w:rPr>
              <w:t>Version and implementation context</w:t>
            </w:r>
          </w:p>
        </w:tc>
      </w:tr>
      <w:tr>
        <w:trPr>
          <w:cantSplit/>
        </w:trPr>
        <w:tc>
          <w:tcPr>
            <w:tcW w:type="dxa" w:w="740"/>
          </w:tcPr>
          <w:p>
            <w:r>
              <w:rPr>
                <w:sz w:val="17"/>
              </w:rPr>
            </w:r>
            <w:r>
              <w:rPr>
                <w:sz w:val="17"/>
              </w:rPr>
              <w:t>A11</w:t>
            </w:r>
          </w:p>
        </w:tc>
        <w:tc>
          <w:tcPr>
            <w:tcW w:type="dxa" w:w="2653"/>
          </w:tcPr>
          <w:p>
            <w:r>
              <w:rPr>
                <w:sz w:val="17"/>
              </w:rPr>
            </w:r>
            <w:r>
              <w:rPr>
                <w:sz w:val="17"/>
              </w:rPr>
              <w:t>About Graph Security and Trusted Folders</w:t>
            </w:r>
          </w:p>
        </w:tc>
        <w:tc>
          <w:tcPr>
            <w:tcW w:type="dxa" w:w="1844"/>
          </w:tcPr>
          <w:p>
            <w:r>
              <w:rPr>
                <w:sz w:val="17"/>
              </w:rPr>
            </w:r>
            <w:r>
              <w:rPr>
                <w:sz w:val="17"/>
              </w:rPr>
              <w:t>Autodesk Dynamo Player Help</w:t>
            </w:r>
          </w:p>
        </w:tc>
        <w:tc>
          <w:tcPr>
            <w:tcW w:type="dxa" w:w="1646"/>
          </w:tcPr>
          <w:p>
            <w:r>
              <w:rPr>
                <w:sz w:val="17"/>
              </w:rPr>
            </w:r>
            <w:r>
              <w:rPr>
                <w:sz w:val="17"/>
              </w:rPr>
              <w:t>Revit 2026</w:t>
            </w:r>
          </w:p>
        </w:tc>
        <w:tc>
          <w:tcPr>
            <w:tcW w:type="dxa" w:w="3582"/>
          </w:tcPr>
          <w:p>
            <w:r>
              <w:rPr>
                <w:sz w:val="17"/>
              </w:rPr>
            </w:r>
            <w:r>
              <w:rPr>
                <w:color w:val="9A7B45"/>
                <w:sz w:val="17"/>
                <w:u w:val="single"/>
              </w:rPr>
              <w:t>Trusted folders and source verification</w:t>
            </w:r>
          </w:p>
        </w:tc>
      </w:tr>
      <w:tr>
        <w:trPr>
          <w:cantSplit/>
        </w:trPr>
        <w:tc>
          <w:tcPr>
            <w:tcW w:type="dxa" w:w="740"/>
          </w:tcPr>
          <w:p>
            <w:r>
              <w:rPr>
                <w:sz w:val="17"/>
              </w:rPr>
            </w:r>
            <w:r>
              <w:rPr>
                <w:sz w:val="17"/>
              </w:rPr>
              <w:t>A12</w:t>
            </w:r>
          </w:p>
        </w:tc>
        <w:tc>
          <w:tcPr>
            <w:tcW w:type="dxa" w:w="2653"/>
          </w:tcPr>
          <w:p>
            <w:r>
              <w:rPr>
                <w:sz w:val="17"/>
              </w:rPr>
            </w:r>
            <w:r>
              <w:rPr>
                <w:sz w:val="17"/>
              </w:rPr>
              <w:t>Add-in Registration</w:t>
            </w:r>
          </w:p>
        </w:tc>
        <w:tc>
          <w:tcPr>
            <w:tcW w:type="dxa" w:w="1844"/>
          </w:tcPr>
          <w:p>
            <w:r>
              <w:rPr>
                <w:sz w:val="17"/>
              </w:rPr>
            </w:r>
            <w:r>
              <w:rPr>
                <w:sz w:val="17"/>
              </w:rPr>
              <w:t>Autodesk Revit API Developer's Guide</w:t>
            </w:r>
          </w:p>
        </w:tc>
        <w:tc>
          <w:tcPr>
            <w:tcW w:type="dxa" w:w="1646"/>
          </w:tcPr>
          <w:p>
            <w:r>
              <w:rPr>
                <w:sz w:val="17"/>
              </w:rPr>
            </w:r>
            <w:r>
              <w:rPr>
                <w:sz w:val="17"/>
              </w:rPr>
              <w:t>Revit 2026</w:t>
            </w:r>
          </w:p>
        </w:tc>
        <w:tc>
          <w:tcPr>
            <w:tcW w:type="dxa" w:w="3582"/>
          </w:tcPr>
          <w:p>
            <w:r>
              <w:rPr>
                <w:sz w:val="17"/>
              </w:rPr>
            </w:r>
            <w:r>
              <w:rPr>
                <w:color w:val="9A7B45"/>
                <w:sz w:val="17"/>
                <w:u w:val="single"/>
              </w:rPr>
              <w:t>Manifest and loading behaviour</w:t>
            </w:r>
          </w:p>
        </w:tc>
      </w:tr>
      <w:tr>
        <w:trPr>
          <w:cantSplit/>
        </w:trPr>
        <w:tc>
          <w:tcPr>
            <w:tcW w:type="dxa" w:w="740"/>
          </w:tcPr>
          <w:p>
            <w:r>
              <w:rPr>
                <w:sz w:val="17"/>
              </w:rPr>
            </w:r>
            <w:r>
              <w:rPr>
                <w:sz w:val="17"/>
              </w:rPr>
              <w:t>P09</w:t>
            </w:r>
          </w:p>
        </w:tc>
        <w:tc>
          <w:tcPr>
            <w:tcW w:type="dxa" w:w="2653"/>
          </w:tcPr>
          <w:p>
            <w:r>
              <w:rPr>
                <w:sz w:val="17"/>
              </w:rPr>
            </w:r>
            <w:r>
              <w:rPr>
                <w:sz w:val="17"/>
              </w:rPr>
              <w:t>Choose a License for Your Work</w:t>
            </w:r>
          </w:p>
        </w:tc>
        <w:tc>
          <w:tcPr>
            <w:tcW w:type="dxa" w:w="1844"/>
          </w:tcPr>
          <w:p>
            <w:r>
              <w:rPr>
                <w:sz w:val="17"/>
              </w:rPr>
            </w:r>
            <w:r>
              <w:rPr>
                <w:sz w:val="17"/>
              </w:rPr>
              <w:t>Creative Commons</w:t>
            </w:r>
          </w:p>
        </w:tc>
        <w:tc>
          <w:tcPr>
            <w:tcW w:type="dxa" w:w="1646"/>
          </w:tcPr>
          <w:p>
            <w:r>
              <w:rPr>
                <w:sz w:val="17"/>
              </w:rPr>
            </w:r>
            <w:r>
              <w:rPr>
                <w:sz w:val="17"/>
              </w:rPr>
              <w:t>Undated live chooser</w:t>
            </w:r>
          </w:p>
        </w:tc>
        <w:tc>
          <w:tcPr>
            <w:tcW w:type="dxa" w:w="3582"/>
          </w:tcPr>
          <w:p>
            <w:r>
              <w:rPr>
                <w:sz w:val="17"/>
              </w:rPr>
            </w:r>
            <w:r>
              <w:rPr>
                <w:color w:val="9A7B45"/>
                <w:sz w:val="17"/>
                <w:u w:val="single"/>
              </w:rPr>
              <w:t>Licence rights and ownership/​authority questions</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BBM-STD-29-GUIDE-COMPLEX_GEOMETRY_PATTERN_BASED_AND_ADAPTIVE_FAMILIES_AND_QUICK_RENDERS-V0.2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9-GUIDE-COMPLEX_GEOMETRY_PATTERN_BASED_AND_ADAPTIVE_FAMILIES_AND_QUICK_RENDERS-V0.2.docx" TargetMode="External"/><Relationship Id="rId15" Type="http://schemas.openxmlformats.org/officeDocument/2006/relationships/image" Target="media/image3.png"/><Relationship Id="rId16"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