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spacing w:before="840"/>
      </w:pPr>
      <w:r>
        <w:t>35 · Importing Families from Outside</w:t>
      </w:r>
    </w:p>
    <w:p>
      <w:pPr/>
      <w:r>
        <w:t xml:space="preserve">Linked copies: ID STD-35 · </w:t>
      </w:r>
      <w:hyperlink r:id="rId13">
        <w:r>
          <w:rPr>
            <w:color w:val="9A7B45"/>
            <w:u w:val="single"/>
          </w:rPr>
          <w:t>TBP page</w:t>
        </w:r>
      </w:hyperlink>
      <w:r>
        <w:t xml:space="preserve"> · </w:t>
      </w:r>
      <w:hyperlink r:id="rId14">
        <w:r>
          <w:rPr>
            <w:color w:val="9A7B45"/>
            <w:u w:val="single"/>
          </w:rPr>
          <w:t>BABOOM edition</w:t>
        </w:r>
      </w:hyperlink>
      <w:r>
        <w:t xml:space="preserve"> · ArchHub: BABOOM companion</w:t>
      </w:r>
    </w:p>
    <w:p>
      <w:pPr/>
      <w:r>
        <w:t>Office BIM Workshops · Presenter: Ahmed Fargaly · Recorded session: 17 February 2025 · BBM-STD-35 · V0.2 · 14 October 2026 · WIP training revision; office approval pending</w:t>
      </w:r>
    </w:p>
    <w:p>
      <w:pPr>
        <w:pStyle w:val="Heading1"/>
      </w:pPr>
      <w:r>
        <w:t>Purpose &amp; scope</w:t>
      </w:r>
    </w:p>
    <w:p>
      <w:pPr/>
      <w:r>
        <w:t>Outside families bring their own geometry, patterns, styles, materials and parameters. Keep the workshop's two practical routes: rebuild simple content on an office template, or selectively transfer/clean more complex content. No unreviewed outside family enters a live model. A reviewed native, manufacturer or library family may enter through this guide's admission gate; this replaces the absolute ban in guide 32 (C17).</w:t>
      </w:r>
    </w:p>
    <w:p>
      <w:pPr/>
      <w:r>
        <w:t>The content author prepares the item; the data/discipline owner protects required manufacturer, specification and exchange semantics; the library owner approves the accepted version. The BIM coordinator checks integration and received outputs. Proposed project use, compatible build and reuse rights are required even when geometry is rebuilt.</w:t>
      </w:r>
    </w:p>
    <w:p>
      <w:pPr>
        <w:pStyle w:val="Heading1"/>
      </w:pPr>
      <w:r>
        <w:t>Standards basis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ISO 19650-1:2018 and ISO 19650-2:2018 support controlled shared information and agreed production methods. Office Manual BBM-STD-01 V0.1 §§6.1, 8.2, 9, 11 and 12 and BEP BBM-STD-10 V0.2 §§6.5–6.6, 8.3, 8.6, 8.10 and 10 serve library naming, information need and quality controls.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ISO 19650-4:2022 supports checked information exchange. ISO 7817-1:2024 supplies purpose-led geometry/properties/documentation requirements; more geometry is not automatically better content.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ISO 23386:2020 supports identified properties and controlled definition changes. Autodesk A06 supports shared bindings; A18 supports appropriate template/host and testing before sharing; A16 supports loading required types; A19 supports complexity/warning/performance review; S12 supports agreed IFC receiving checks.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Creative Commons licence chooser guidance (P09, undated) is a rights/authority prompt, not a licence granted to downloaded content. Record the actual source permission; a missing licence is an unresolved admission condition.</w:t>
      </w:r>
    </w:p>
    <w:p>
      <w:pPr>
        <w:pStyle w:val="Heading1"/>
      </w:pPr>
      <w:r>
        <w:t>V0.2 corrections — preserve required meaning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3071"/>
        <w:gridCol w:w="7395"/>
      </w:tblGrid>
      <w:tr>
        <w:trPr>
          <w:cantSplit/>
          <w:tblHeader/>
        </w:trPr>
        <w:tc>
          <w:tcPr>
            <w:tcW w:type="dxa" w:w="3071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Recorded instruction</w:t>
            </w:r>
          </w:p>
        </w:tc>
        <w:tc>
          <w:tcPr>
            <w:tcW w:type="dxa" w:w="7395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V0.2 control /​ reason</w:t>
            </w:r>
          </w:p>
        </w:tc>
      </w:tr>
      <w:tr>
        <w:trPr>
          <w:cantSplit/>
        </w:trPr>
        <w:tc>
          <w:tcPr>
            <w:tcW w:type="dxa" w:w="3071"/>
          </w:tcPr>
          <w:p>
            <w:r>
              <w:rPr>
                <w:sz w:val="17"/>
              </w:rPr>
            </w:r>
            <w:r>
              <w:rPr>
                <w:sz w:val="17"/>
              </w:rPr>
              <w:t>Transfer: Check All, Overwrite</w:t>
            </w:r>
          </w:p>
        </w:tc>
        <w:tc>
          <w:tcPr>
            <w:tcW w:type="dxa" w:w="7395"/>
          </w:tcPr>
          <w:p>
            <w:r>
              <w:rPr>
                <w:sz w:val="17"/>
              </w:rPr>
            </w:r>
            <w:r>
              <w:rPr>
                <w:sz w:val="17"/>
              </w:rPr>
              <w:t>Select approved standards only, document duplicate handling and compare changes in a quarantined copy. Blanket overwrite can destroy needed styles/​data/​constraints</w:t>
            </w:r>
          </w:p>
        </w:tc>
      </w:tr>
      <w:tr>
        <w:trPr>
          <w:cantSplit/>
        </w:trPr>
        <w:tc>
          <w:tcPr>
            <w:tcW w:type="dxa" w:w="3071"/>
          </w:tcPr>
          <w:p>
            <w:r>
              <w:rPr>
                <w:sz w:val="17"/>
              </w:rPr>
            </w:r>
            <w:r>
              <w:rPr>
                <w:sz w:val="17"/>
              </w:rPr>
              <w:t>Delete foreign or non-English parameters/​subcategories</w:t>
            </w:r>
          </w:p>
        </w:tc>
        <w:tc>
          <w:tcPr>
            <w:tcW w:type="dxa" w:w="7395"/>
          </w:tcPr>
          <w:p>
            <w:r>
              <w:rPr>
                <w:sz w:val="17"/>
              </w:rPr>
            </w:r>
            <w:r>
              <w:rPr>
                <w:sz w:val="17"/>
              </w:rPr>
              <w:t>Determine their purpose and dependencies; translate display documentation or map aliases without deleting required identities/​values</w:t>
            </w:r>
          </w:p>
        </w:tc>
      </w:tr>
      <w:tr>
        <w:trPr>
          <w:cantSplit/>
        </w:trPr>
        <w:tc>
          <w:tcPr>
            <w:tcW w:type="dxa" w:w="3071"/>
          </w:tcPr>
          <w:p>
            <w:r>
              <w:rPr>
                <w:sz w:val="17"/>
              </w:rPr>
            </w:r>
            <w:r>
              <w:rPr>
                <w:sz w:val="17"/>
              </w:rPr>
              <w:t>Constants in formulas are not real parameters</w:t>
            </w:r>
          </w:p>
        </w:tc>
        <w:tc>
          <w:tcPr>
            <w:tcW w:type="dxa" w:w="7395"/>
          </w:tcPr>
          <w:p>
            <w:r>
              <w:rPr>
                <w:sz w:val="17"/>
              </w:rPr>
            </w:r>
            <w:r>
              <w:rPr>
                <w:sz w:val="17"/>
              </w:rPr>
              <w:t>A constant may intentionally fix a type/​specification; document it. Flexability is purpose-dependent, not a reason to erase the formula</w:t>
            </w:r>
          </w:p>
        </w:tc>
      </w:tr>
      <w:tr>
        <w:trPr>
          <w:cantSplit/>
        </w:trPr>
        <w:tc>
          <w:tcPr>
            <w:tcW w:type="dxa" w:w="3071"/>
          </w:tcPr>
          <w:p>
            <w:r>
              <w:rPr>
                <w:sz w:val="17"/>
              </w:rPr>
            </w:r>
            <w:r>
              <w:rPr>
                <w:sz w:val="17"/>
              </w:rPr>
              <w:t>Constraints/​formulas are all overhead</w:t>
            </w:r>
          </w:p>
        </w:tc>
        <w:tc>
          <w:tcPr>
            <w:tcW w:type="dxa" w:w="7395"/>
          </w:tcPr>
          <w:p>
            <w:r>
              <w:rPr>
                <w:sz w:val="17"/>
              </w:rPr>
            </w:r>
            <w:r>
              <w:rPr>
                <w:sz w:val="17"/>
              </w:rPr>
              <w:t>Remove only proven unnecessary dependencies, one change at a time; retain design/​material/​type relationships and flex evidence</w:t>
            </w:r>
          </w:p>
        </w:tc>
      </w:tr>
      <w:tr>
        <w:trPr>
          <w:cantSplit/>
        </w:trPr>
        <w:tc>
          <w:tcPr>
            <w:tcW w:type="dxa" w:w="3071"/>
          </w:tcPr>
          <w:p>
            <w:r>
              <w:rPr>
                <w:sz w:val="17"/>
              </w:rPr>
            </w:r>
            <w:r>
              <w:rPr>
                <w:sz w:val="17"/>
              </w:rPr>
              <w:t>Geometry from a named tool is always fixed/​non-editable</w:t>
            </w:r>
          </w:p>
        </w:tc>
        <w:tc>
          <w:tcPr>
            <w:tcW w:type="dxa" w:w="7395"/>
          </w:tcPr>
          <w:p>
            <w:r>
              <w:rPr>
                <w:sz w:val="17"/>
              </w:rPr>
            </w:r>
            <w:r>
              <w:rPr>
                <w:sz w:val="17"/>
              </w:rPr>
              <w:t>Inspect actual forms/​category/​imports and record editable dimensions versus fixed geometry. Origin/​tool name does not establish editability</w:t>
            </w:r>
          </w:p>
        </w:tc>
      </w:tr>
      <w:tr>
        <w:trPr>
          <w:cantSplit/>
        </w:trPr>
        <w:tc>
          <w:tcPr>
            <w:tcW w:type="dxa" w:w="3071"/>
          </w:tcPr>
          <w:p>
            <w:r>
              <w:rPr>
                <w:sz w:val="17"/>
              </w:rPr>
            </w:r>
            <w:r>
              <w:rPr>
                <w:sz w:val="17"/>
              </w:rPr>
              <w:t>Save to Shared and it is available to everyone</w:t>
            </w:r>
          </w:p>
        </w:tc>
        <w:tc>
          <w:tcPr>
            <w:tcW w:type="dxa" w:w="7395"/>
          </w:tcPr>
          <w:p>
            <w:r>
              <w:rPr>
                <w:sz w:val="17"/>
              </w:rPr>
            </w:r>
            <w:r>
              <w:rPr>
                <w:sz w:val="17"/>
              </w:rPr>
              <w:t>Use a quarantine/​WIP intake first; release to the approved library only after owner acceptance, revision and evidence</w:t>
            </w:r>
          </w:p>
        </w:tc>
      </w:tr>
      <w:tr>
        <w:trPr>
          <w:cantSplit/>
        </w:trPr>
        <w:tc>
          <w:tcPr>
            <w:tcW w:type="dxa" w:w="3071"/>
          </w:tcPr>
          <w:p>
            <w:r>
              <w:rPr>
                <w:sz w:val="17"/>
              </w:rPr>
            </w:r>
            <w:r>
              <w:rPr>
                <w:sz w:val="17"/>
              </w:rPr>
              <w:t>Weekly cleanup deletes unexplained content</w:t>
            </w:r>
          </w:p>
        </w:tc>
        <w:tc>
          <w:tcPr>
            <w:tcW w:type="dxa" w:w="7395"/>
          </w:tcPr>
          <w:p>
            <w:r>
              <w:rPr>
                <w:sz w:val="17"/>
              </w:rPr>
            </w:r>
            <w:r>
              <w:rPr>
                <w:sz w:val="17"/>
              </w:rPr>
              <w:t>Quarantine/​report and resolve dependencies before removal. Do not silently remove used objects or required data</w:t>
            </w:r>
          </w:p>
        </w:tc>
      </w:tr>
    </w:tbl>
    <w:p/>
    <w:p>
      <w:pPr/>
      <w:r>
        <w:t>The office's uppercase/no-space family convention may be retained where the approved project/library annex adopts it. It is a local convention, not a universal ISO or Revit naming rule. Record any alias/migration and retain historical issue identities rather than renaming released references without coordination (C02).</w:t>
      </w:r>
    </w:p>
    <w:p>
      <w:pPr>
        <w:pStyle w:val="Heading1"/>
      </w:pPr>
      <w:r>
        <w:t>Intake record — complete before opening the live model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1828"/>
        <w:gridCol w:w="8638"/>
      </w:tblGrid>
      <w:tr>
        <w:trPr>
          <w:cantSplit/>
          <w:tblHeader/>
        </w:trPr>
        <w:tc>
          <w:tcPr>
            <w:tcW w:type="dxa" w:w="1828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8638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Required entry</w:t>
            </w:r>
          </w:p>
        </w:tc>
      </w:tr>
      <w:tr>
        <w:trPr>
          <w:cantSplit/>
        </w:trPr>
        <w:tc>
          <w:tcPr>
            <w:tcW w:type="dxa" w:w="1828"/>
          </w:tcPr>
          <w:p>
            <w:r>
              <w:rPr>
                <w:sz w:val="17"/>
              </w:rPr>
            </w:r>
            <w:r>
              <w:rPr>
                <w:sz w:val="17"/>
              </w:rPr>
              <w:t>Intake ID /​ proposed use</w:t>
            </w:r>
          </w:p>
        </w:tc>
        <w:tc>
          <w:tcPr>
            <w:tcW w:type="dxa" w:w="8638"/>
          </w:tcPr>
          <w:p>
            <w:r>
              <w:rPr>
                <w:sz w:val="17"/>
              </w:rPr>
            </w:r>
            <w:r>
              <w:rPr>
                <w:sz w:val="17"/>
              </w:rPr>
              <w:t>FAM-INT-[number]; discipline, object purpose, required geometry/​properties/​documents and project phase</w:t>
            </w:r>
          </w:p>
        </w:tc>
      </w:tr>
      <w:tr>
        <w:trPr>
          <w:cantSplit/>
        </w:trPr>
        <w:tc>
          <w:tcPr>
            <w:tcW w:type="dxa" w:w="1828"/>
          </w:tcPr>
          <w:p>
            <w:r>
              <w:rPr>
                <w:sz w:val="17"/>
              </w:rPr>
            </w:r>
            <w:r>
              <w:rPr>
                <w:sz w:val="17"/>
              </w:rPr>
              <w:t>Origin /​ custody</w:t>
            </w:r>
          </w:p>
        </w:tc>
        <w:tc>
          <w:tcPr>
            <w:tcW w:type="dxa" w:w="8638"/>
          </w:tcPr>
          <w:p>
            <w:r>
              <w:rPr>
                <w:sz w:val="17"/>
              </w:rPr>
            </w:r>
            <w:r>
              <w:rPr>
                <w:sz w:val="17"/>
              </w:rPr>
              <w:t>Source publisher/​provider, source URL/​receipt, download date, original filename/​revision/​hash and restricted intake location</w:t>
            </w:r>
          </w:p>
        </w:tc>
      </w:tr>
      <w:tr>
        <w:trPr>
          <w:cantSplit/>
        </w:trPr>
        <w:tc>
          <w:tcPr>
            <w:tcW w:type="dxa" w:w="1828"/>
          </w:tcPr>
          <w:p>
            <w:r>
              <w:rPr>
                <w:sz w:val="17"/>
              </w:rPr>
            </w:r>
            <w:r>
              <w:rPr>
                <w:sz w:val="17"/>
              </w:rPr>
              <w:t>Rights /​ permission</w:t>
            </w:r>
          </w:p>
        </w:tc>
        <w:tc>
          <w:tcPr>
            <w:tcW w:type="dxa" w:w="8638"/>
          </w:tcPr>
          <w:p>
            <w:r>
              <w:rPr>
                <w:sz w:val="17"/>
              </w:rPr>
            </w:r>
            <w:r>
              <w:rPr>
                <w:sz w:val="17"/>
              </w:rPr>
              <w:t>Licence/​terms and evidence, permitted modification/​reuse/​distribution, attribution obligations, rights reviewer and decision</w:t>
            </w:r>
          </w:p>
        </w:tc>
      </w:tr>
      <w:tr>
        <w:trPr>
          <w:cantSplit/>
        </w:trPr>
        <w:tc>
          <w:tcPr>
            <w:tcW w:type="dxa" w:w="1828"/>
          </w:tcPr>
          <w:p>
            <w:r>
              <w:rPr>
                <w:sz w:val="17"/>
              </w:rPr>
            </w:r>
            <w:r>
              <w:rPr>
                <w:sz w:val="17"/>
              </w:rPr>
              <w:t>Compatibility</w:t>
            </w:r>
          </w:p>
        </w:tc>
        <w:tc>
          <w:tcPr>
            <w:tcW w:type="dxa" w:w="8638"/>
          </w:tcPr>
          <w:p>
            <w:r>
              <w:rPr>
                <w:sz w:val="17"/>
              </w:rPr>
            </w:r>
            <w:r>
              <w:rPr>
                <w:sz w:val="17"/>
              </w:rPr>
              <w:t>Original Revit release if established; adopted major release/​build, upgrade necessity and approved test environment</w:t>
            </w:r>
          </w:p>
        </w:tc>
      </w:tr>
      <w:tr>
        <w:trPr>
          <w:cantSplit/>
        </w:trPr>
        <w:tc>
          <w:tcPr>
            <w:tcW w:type="dxa" w:w="1828"/>
          </w:tcPr>
          <w:p>
            <w:r>
              <w:rPr>
                <w:sz w:val="17"/>
              </w:rPr>
            </w:r>
            <w:r>
              <w:rPr>
                <w:sz w:val="17"/>
              </w:rPr>
              <w:t>Template /​ category /​ host</w:t>
            </w:r>
          </w:p>
        </w:tc>
        <w:tc>
          <w:tcPr>
            <w:tcW w:type="dxa" w:w="8638"/>
          </w:tcPr>
          <w:p>
            <w:r>
              <w:rPr>
                <w:sz w:val="17"/>
              </w:rPr>
            </w:r>
            <w:r>
              <w:rPr>
                <w:sz w:val="17"/>
              </w:rPr>
              <w:t>Office template revision; proposed category/​subcategories; unhosted/​face/​wall/​other hosting; rationale and exchange mapping</w:t>
            </w:r>
          </w:p>
        </w:tc>
      </w:tr>
      <w:tr>
        <w:trPr>
          <w:cantSplit/>
        </w:trPr>
        <w:tc>
          <w:tcPr>
            <w:tcW w:type="dxa" w:w="1828"/>
          </w:tcPr>
          <w:p>
            <w:r>
              <w:rPr>
                <w:sz w:val="17"/>
              </w:rPr>
            </w:r>
            <w:r>
              <w:rPr>
                <w:sz w:val="17"/>
              </w:rPr>
              <w:t>Types /​ dependencies</w:t>
            </w:r>
          </w:p>
        </w:tc>
        <w:tc>
          <w:tcPr>
            <w:tcW w:type="dxa" w:w="8638"/>
          </w:tcPr>
          <w:p>
            <w:r>
              <w:rPr>
                <w:sz w:val="17"/>
              </w:rPr>
            </w:r>
            <w:r>
              <w:rPr>
                <w:sz w:val="17"/>
              </w:rPr>
              <w:t>Required type list/​catalogue, nested/​shared nested content, materials/​textures, external resources, imported geometry and constraints</w:t>
            </w:r>
          </w:p>
        </w:tc>
      </w:tr>
      <w:tr>
        <w:trPr>
          <w:cantSplit/>
        </w:trPr>
        <w:tc>
          <w:tcPr>
            <w:tcW w:type="dxa" w:w="1828"/>
          </w:tcPr>
          <w:p>
            <w:r>
              <w:rPr>
                <w:sz w:val="17"/>
              </w:rPr>
            </w:r>
            <w:r>
              <w:rPr>
                <w:sz w:val="17"/>
              </w:rPr>
              <w:t>Required data</w:t>
            </w:r>
          </w:p>
        </w:tc>
        <w:tc>
          <w:tcPr>
            <w:tcW w:type="dxa" w:w="8638"/>
          </w:tcPr>
          <w:p>
            <w:r>
              <w:rPr>
                <w:sz w:val="17"/>
              </w:rPr>
            </w:r>
            <w:r>
              <w:rPr>
                <w:sz w:val="17"/>
              </w:rPr>
              <w:t>Property definitions/​GUIDs, type/​instance, units, allowed values, owner, classification release, tag/​schedule and IFC mappings</w:t>
            </w:r>
          </w:p>
        </w:tc>
      </w:tr>
      <w:tr>
        <w:trPr>
          <w:cantSplit/>
        </w:trPr>
        <w:tc>
          <w:tcPr>
            <w:tcW w:type="dxa" w:w="1828"/>
          </w:tcPr>
          <w:p>
            <w:r>
              <w:rPr>
                <w:sz w:val="17"/>
              </w:rPr>
            </w:r>
            <w:r>
              <w:rPr>
                <w:sz w:val="17"/>
              </w:rPr>
              <w:t>Review /​ recovery</w:t>
            </w:r>
          </w:p>
        </w:tc>
        <w:tc>
          <w:tcPr>
            <w:tcW w:type="dxa" w:w="8638"/>
          </w:tcPr>
          <w:p>
            <w:r>
              <w:rPr>
                <w:sz w:val="17"/>
              </w:rPr>
            </w:r>
            <w:r>
              <w:rPr>
                <w:sz w:val="17"/>
              </w:rPr>
              <w:t>Content author, discipline/​data reviewer, library approver, test file/​revision, original recovery copy and unresolved issues</w:t>
            </w:r>
          </w:p>
        </w:tc>
      </w:tr>
    </w:tbl>
    <w:p/>
    <w:p>
      <w:pPr/>
      <w:r>
        <w:t>If rights, compatibility or required meaning cannot be established, retain the item in restricted intake with a hold/reject reason. Do not load first and investigate later. Revit cannot natively save an upgraded family back to an older release; preserve the original and adopt the approved project version (A01).</w:t>
      </w:r>
    </w:p>
    <w:p>
      <w:pPr>
        <w:pStyle w:val="Heading1"/>
      </w:pPr>
      <w:r>
        <w:t>Step-by-step procedure</w:t>
      </w:r>
    </w:p>
    <w:p>
      <w:pPr>
        <w:pStyle w:val="ListParagraph"/>
        <w:spacing w:after="40"/>
        <w:ind w:left="360" w:hanging="280"/>
      </w:pPr>
      <w:r>
        <w:t xml:space="preserve">1.  </w:t>
      </w:r>
      <w:r>
        <w:rPr>
          <w:b/>
        </w:rPr>
        <w:t>Register and quarantine.</w:t>
      </w:r>
      <w:r>
        <w:t xml:space="preserve"> Retain original bytes and provenance separately from the edited WIP item. Review proposed use, rights, source reliability and exact project build before content enters a project. Unknown permission is not repaired by copying geometry to a new template. Minimise downloaded dependencies and use the office-approved trust/inspection process.</w:t>
      </w:r>
    </w:p>
    <w:p>
      <w:pPr>
        <w:pStyle w:val="ListParagraph"/>
        <w:spacing w:after="40"/>
        <w:ind w:left="360" w:hanging="280"/>
      </w:pPr>
      <w:r>
        <w:t xml:space="preserve">2.  </w:t>
      </w:r>
      <w:r>
        <w:rPr>
          <w:b/>
        </w:rPr>
        <w:t>Inspect the family.</w:t>
      </w:r>
      <w:r>
        <w:t xml:space="preserve"> Identify template/category/host, forms/imports, origin, dimensions, reference planes, types, parameters/GUIDs, formulas, nested content, materials and visibility. Record which properties are required by manufacture, design, procurement, tags, schedules or exchange. Inspect foreign line/fill patterns for dependencies; different styling indicates review work, not meaningless data.</w:t>
      </w:r>
    </w:p>
    <w:p>
      <w:pPr>
        <w:pStyle w:val="ListParagraph"/>
        <w:spacing w:after="40"/>
        <w:ind w:left="360" w:hanging="280"/>
      </w:pPr>
      <w:r>
        <w:t xml:space="preserve">3.  </w:t>
      </w:r>
      <w:r>
        <w:rPr>
          <w:b/>
        </w:rPr>
        <w:t>Choose a route and approved change list.</w:t>
      </w:r>
      <w:r>
        <w:t xml:space="preserve"> For simple editable geometry, start from the approved category/host template, rebuild or copy only justified geometry, then recreate references/constraints and map the required data. For complex content, keep the intact original and selectively transfer only needed office standards into a WIP copy, if that family/release supports the selected operation. Record selection and duplicate decision; never Check All by default. Consider the cost of lost host/functionality before preferring a rebuild.</w:t>
      </w:r>
    </w:p>
    <w:p>
      <w:pPr>
        <w:pStyle w:val="ListParagraph"/>
        <w:spacing w:after="40"/>
        <w:ind w:left="360" w:hanging="280"/>
      </w:pPr>
      <w:r>
        <w:t xml:space="preserve">4.  </w:t>
      </w:r>
      <w:r>
        <w:rPr>
          <w:b/>
        </w:rPr>
        <w:t>Map property identities before cleanup.</w:t>
      </w:r>
      <w:r>
        <w:t xml:space="preserve"> Maintain source property → approved property/GUID → category/binding → type/instance → unit/value domain → tag/schedule/IFC mapping. A matching display name does not prove identity. Preserve required values when converting, and obtain approval for a category/binding or type-instance change. Do not rename material codes without specification/QS coordination. Retain manufacturer data where required and authorised; do not replace it with invented office performance claims.</w:t>
      </w:r>
    </w:p>
    <w:p>
      <w:pPr>
        <w:pStyle w:val="ListParagraph"/>
        <w:spacing w:after="40"/>
        <w:ind w:left="360" w:hanging="280"/>
      </w:pPr>
      <w:r>
        <w:t xml:space="preserve">5.  </w:t>
      </w:r>
      <w:r>
        <w:rPr>
          <w:b/>
        </w:rPr>
        <w:t>Clean one reviewed dependency at a time.</w:t>
      </w:r>
      <w:r>
        <w:t xml:space="preserve"> Align line weights, subcategory/object styles, fill/line patterns and approved material names. Before deletion search types/geometry/nesting/formulas/visibility for references; remove only unneeded items on the approved change list. Compare the result to the original after each destructive change. Keep intentional constants and formula/constraint chains; only simplify when min/nominal/max tests prove behaviour is preserved. Retest origin and host after rebuilding/copying.</w:t>
      </w:r>
    </w:p>
    <w:p>
      <w:pPr>
        <w:pStyle w:val="ListParagraph"/>
        <w:spacing w:after="40"/>
        <w:ind w:left="360" w:hanging="280"/>
      </w:pPr>
      <w:r>
        <w:t xml:space="preserve">6.  </w:t>
      </w:r>
      <w:r>
        <w:rPr>
          <w:b/>
        </w:rPr>
        <w:t>Control nested content and complexity.</w:t>
      </w:r>
      <w:r>
        <w:t xml:space="preserve"> Document nested family identities/revisions and shared versus non-shared behaviour. Shared nesting can change project counts/tags/schedules; do not count both parent and nested physical item without a measurement rule. Review unnecessary types, imported/high-detail geometry, arrays/constraints, warnings, textures/external references and regeneration behaviour. Agree a performance criterion for the approved hardware/sample size rather than inventing a universal file-size ceiling.</w:t>
      </w:r>
    </w:p>
    <w:p>
      <w:pPr>
        <w:pStyle w:val="ListParagraph"/>
        <w:spacing w:after="40"/>
        <w:ind w:left="360" w:hanging="280"/>
      </w:pPr>
      <w:r>
        <w:t xml:space="preserve">7.  </w:t>
      </w:r>
      <w:r>
        <w:rPr>
          <w:b/>
        </w:rPr>
        <w:t>Load required types only.</w:t>
      </w:r>
      <w:r>
        <w:t xml:space="preserve"> Use a reviewed type catalogue where available: confirm matching family/catalogue names and location, types/units/values, select the agreed subset in Load Family and compare imported types to the request. Preserve the approved master/catalogue; unneeded types in a working project are not a reason to destroy the library master. Where no catalogue exists, curate an approved load copy or selected type route and verify that only the intended content enters the test model.</w:t>
      </w:r>
    </w:p>
    <w:p>
      <w:pPr>
        <w:pStyle w:val="ListParagraph"/>
        <w:spacing w:after="40"/>
        <w:ind w:left="360" w:hanging="280"/>
      </w:pPr>
      <w:r>
        <w:t xml:space="preserve">8.  </w:t>
      </w:r>
      <w:r>
        <w:rPr>
          <w:b/>
        </w:rPr>
        <w:t>Flex in family and project.</w:t>
      </w:r>
      <w:r>
        <w:t xml:space="preserve"> Test minimum, nominal and maximum required dimensions; every approved type; instance offsets/rotation; host placement/changes; and plan/elevation/section/3D visibility at required detail levels. Verify origin, placement height, materials and meaningful geometry. Fixed geometry is acceptable only when the requirement explicitly permits its limits. Record warnings/errors and expected/actual results. Test family reload choices against existing parameter values in a controlled project; do not assume either overwrite option always preserves every value.</w:t>
      </w:r>
    </w:p>
    <w:p>
      <w:pPr>
        <w:pStyle w:val="ListParagraph"/>
        <w:spacing w:after="40"/>
        <w:ind w:left="360" w:hanging="280"/>
      </w:pPr>
      <w:r>
        <w:t xml:space="preserve">9.  </w:t>
      </w:r>
      <w:r>
        <w:rPr>
          <w:b/>
        </w:rPr>
        <w:t>Check tags, schedules and exchange.</w:t>
      </w:r>
      <w:r>
        <w:t xml:space="preserve"> Populate a synthetic type code and two distinct instance IDs. Test required tags, itemised/grouped schedules and material reports, including shared/nested counts. Verify data GUID/binding/type-instance semantics rather than only a legible label. Export the agreed IFC schema/profile with the approved exporter; inspect expected object category/class, required property names/values/units, geometry and counts in the receiving tool. A valid native family is not automatically a correct IFC object. Retain model/exporter/profile/receiver revisions and comparison.</w:t>
      </w:r>
    </w:p>
    <w:p>
      <w:pPr>
        <w:pStyle w:val="ListParagraph"/>
        <w:spacing w:after="40"/>
        <w:ind w:left="360" w:hanging="280"/>
      </w:pPr>
      <w:r>
        <w:t xml:space="preserve">10.  </w:t>
      </w:r>
      <w:r>
        <w:rPr>
          <w:b/>
        </w:rPr>
        <w:t>Approve and release a library version.</w:t>
      </w:r>
      <w:r>
        <w:t xml:space="preserve"> The discipline/data reviewer signs required geometry/semantics; the library owner records acceptance, exact filename/revision/hash, compatible build, test evidence, allowed use, restrictions and dependency/catalogue versions. Release only then to the controlled project library; include status metadata, not merely a Shared path. Load the exact accepted version into the project and perform the integration/reload check. At project close propose reusable items for the office library under a separate rights/use review; project approval alone may not grant organisation-wide redistribution.</w:t>
      </w:r>
    </w:p>
    <w:p>
      <w:pPr>
        <w:pStyle w:val="ListParagraph"/>
        <w:spacing w:after="40"/>
        <w:ind w:left="360" w:hanging="280"/>
      </w:pPr>
      <w:r>
        <w:t xml:space="preserve">11.  </w:t>
      </w:r>
      <w:r>
        <w:rPr>
          <w:b/>
        </w:rPr>
        <w:t>Handle changes and failures.</w:t>
      </w:r>
      <w:r>
        <w:t xml:space="preserve"> Reject or hold failed content with intake ID, reason, affected test/owner and remedy. Correct WIP, repeat affected and regression tests and submit a new revision. Preserve superseded/original items and recovery instructions in controlled custody; remove live content only after host/tag/schedule/quantity dependencies and replaced element IDs are reconciled. Weekly model health review reports and routes defects; it does not silently delete families. Retest after project upgrades or mapping changes.</w:t>
      </w:r>
    </w:p>
    <w:p>
      <w:r>
        <w:drawing>
          <wp:inline xmlns:a="http://schemas.openxmlformats.org/drawingml/2006/main" xmlns:pic="http://schemas.openxmlformats.org/drawingml/2006/picture">
            <wp:extent cx="6645910" cy="37383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BM-STD-35-content-admission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3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i/>
        </w:rPr>
        <w:t>Quarantine, selective change and measured native/open exchange tests precede library release.</w:t>
      </w:r>
    </w:p>
    <w:p>
      <w:pPr>
        <w:pStyle w:val="Heading1"/>
      </w:pPr>
      <w:r>
        <w:t>Selective change / test register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1988"/>
        <w:gridCol w:w="2934"/>
        <w:gridCol w:w="1919"/>
        <w:gridCol w:w="1638"/>
        <w:gridCol w:w="1986"/>
      </w:tblGrid>
      <w:tr>
        <w:trPr>
          <w:cantSplit/>
          <w:tblHeader/>
        </w:trPr>
        <w:tc>
          <w:tcPr>
            <w:tcW w:type="dxa" w:w="1988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Source item</w:t>
            </w:r>
          </w:p>
        </w:tc>
        <w:tc>
          <w:tcPr>
            <w:tcW w:type="dxa" w:w="2934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Proposed change</w:t>
            </w:r>
          </w:p>
        </w:tc>
        <w:tc>
          <w:tcPr>
            <w:tcW w:type="dxa" w:w="1919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Protected dependency /​ data</w:t>
            </w:r>
          </w:p>
        </w:tc>
        <w:tc>
          <w:tcPr>
            <w:tcW w:type="dxa" w:w="1638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Owner /​ approved scope</w:t>
            </w:r>
          </w:p>
        </w:tc>
        <w:tc>
          <w:tcPr>
            <w:tcW w:type="dxa" w:w="1986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Expected /​ actual /​ evidence</w:t>
            </w:r>
          </w:p>
        </w:tc>
      </w:tr>
      <w:tr>
        <w:trPr>
          <w:cantSplit/>
        </w:trPr>
        <w:tc>
          <w:tcPr>
            <w:tcW w:type="dxa" w:w="1988"/>
          </w:tcPr>
          <w:p>
            <w:r>
              <w:rPr>
                <w:sz w:val="17"/>
              </w:rPr>
            </w:r>
            <w:r>
              <w:rPr>
                <w:sz w:val="17"/>
              </w:rPr>
              <w:t>[pattern/​subcategory]</w:t>
            </w:r>
          </w:p>
        </w:tc>
        <w:tc>
          <w:tcPr>
            <w:tcW w:type="dxa" w:w="2934"/>
          </w:tcPr>
          <w:p>
            <w:r>
              <w:rPr>
                <w:sz w:val="17"/>
              </w:rPr>
            </w:r>
            <w:r>
              <w:rPr>
                <w:sz w:val="17"/>
              </w:rPr>
              <w:t>Map to approved style</w:t>
            </w:r>
          </w:p>
        </w:tc>
        <w:tc>
          <w:tcPr>
            <w:tcW w:type="dxa" w:w="1919"/>
          </w:tcPr>
          <w:p>
            <w:r>
              <w:rPr>
                <w:sz w:val="17"/>
              </w:rPr>
            </w:r>
            <w:r>
              <w:rPr>
                <w:sz w:val="17"/>
              </w:rPr>
              <w:t>[geometry visibility]</w:t>
            </w:r>
          </w:p>
        </w:tc>
        <w:tc>
          <w:tcPr>
            <w:tcW w:type="dxa" w:w="1638"/>
          </w:tcPr>
          <w:p>
            <w:r>
              <w:rPr>
                <w:sz w:val="17"/>
              </w:rPr>
            </w:r>
            <w:r>
              <w:rPr>
                <w:sz w:val="17"/>
              </w:rPr>
              <w:t>[fill]</w:t>
            </w:r>
          </w:p>
        </w:tc>
        <w:tc>
          <w:tcPr>
            <w:tcW w:type="dxa" w:w="1986"/>
          </w:tcPr>
          <w:p>
            <w:r>
              <w:rPr>
                <w:sz w:val="17"/>
              </w:rPr>
            </w:r>
            <w:r>
              <w:rPr>
                <w:sz w:val="17"/>
              </w:rPr>
              <w:t>[before/​after views]</w:t>
            </w:r>
          </w:p>
        </w:tc>
      </w:tr>
      <w:tr>
        <w:trPr>
          <w:cantSplit/>
        </w:trPr>
        <w:tc>
          <w:tcPr>
            <w:tcW w:type="dxa" w:w="1988"/>
          </w:tcPr>
          <w:p>
            <w:r>
              <w:rPr>
                <w:sz w:val="17"/>
              </w:rPr>
            </w:r>
            <w:r>
              <w:rPr>
                <w:sz w:val="17"/>
              </w:rPr>
              <w:t>[parameter /​ GUID]</w:t>
            </w:r>
          </w:p>
        </w:tc>
        <w:tc>
          <w:tcPr>
            <w:tcW w:type="dxa" w:w="2934"/>
          </w:tcPr>
          <w:p>
            <w:r>
              <w:rPr>
                <w:sz w:val="17"/>
              </w:rPr>
            </w:r>
            <w:r>
              <w:rPr>
                <w:sz w:val="17"/>
              </w:rPr>
              <w:t>Retain, map or approved conversion</w:t>
            </w:r>
          </w:p>
        </w:tc>
        <w:tc>
          <w:tcPr>
            <w:tcW w:type="dxa" w:w="1919"/>
          </w:tcPr>
          <w:p>
            <w:r>
              <w:rPr>
                <w:sz w:val="17"/>
              </w:rPr>
            </w:r>
            <w:r>
              <w:rPr>
                <w:sz w:val="17"/>
              </w:rPr>
              <w:t>[formula/​tag/​schedule/​IFC]</w:t>
            </w:r>
          </w:p>
        </w:tc>
        <w:tc>
          <w:tcPr>
            <w:tcW w:type="dxa" w:w="1638"/>
          </w:tcPr>
          <w:p>
            <w:r>
              <w:rPr>
                <w:sz w:val="17"/>
              </w:rPr>
            </w:r>
            <w:r>
              <w:rPr>
                <w:sz w:val="17"/>
              </w:rPr>
              <w:t>[data owner]</w:t>
            </w:r>
          </w:p>
        </w:tc>
        <w:tc>
          <w:tcPr>
            <w:tcW w:type="dxa" w:w="1986"/>
          </w:tcPr>
          <w:p>
            <w:r>
              <w:rPr>
                <w:sz w:val="17"/>
              </w:rPr>
            </w:r>
            <w:r>
              <w:rPr>
                <w:sz w:val="17"/>
              </w:rPr>
              <w:t>[values, units, binding test]</w:t>
            </w:r>
          </w:p>
        </w:tc>
      </w:tr>
      <w:tr>
        <w:trPr>
          <w:cantSplit/>
        </w:trPr>
        <w:tc>
          <w:tcPr>
            <w:tcW w:type="dxa" w:w="1988"/>
          </w:tcPr>
          <w:p>
            <w:r>
              <w:rPr>
                <w:sz w:val="17"/>
              </w:rPr>
            </w:r>
            <w:r>
              <w:rPr>
                <w:sz w:val="17"/>
              </w:rPr>
              <w:t>[material code]</w:t>
            </w:r>
          </w:p>
        </w:tc>
        <w:tc>
          <w:tcPr>
            <w:tcW w:type="dxa" w:w="2934"/>
          </w:tcPr>
          <w:p>
            <w:r>
              <w:rPr>
                <w:sz w:val="17"/>
              </w:rPr>
            </w:r>
            <w:r>
              <w:rPr>
                <w:sz w:val="17"/>
              </w:rPr>
              <w:t>Approved alias /​ retained specification</w:t>
            </w:r>
          </w:p>
        </w:tc>
        <w:tc>
          <w:tcPr>
            <w:tcW w:type="dxa" w:w="1919"/>
          </w:tcPr>
          <w:p>
            <w:r>
              <w:rPr>
                <w:sz w:val="17"/>
              </w:rPr>
            </w:r>
            <w:r>
              <w:rPr>
                <w:sz w:val="17"/>
              </w:rPr>
              <w:t>[quantity/​spec/​appearance]</w:t>
            </w:r>
          </w:p>
        </w:tc>
        <w:tc>
          <w:tcPr>
            <w:tcW w:type="dxa" w:w="1638"/>
          </w:tcPr>
          <w:p>
            <w:r>
              <w:rPr>
                <w:sz w:val="17"/>
              </w:rPr>
            </w:r>
            <w:r>
              <w:rPr>
                <w:sz w:val="17"/>
              </w:rPr>
              <w:t>[discipline/​QS role]</w:t>
            </w:r>
          </w:p>
        </w:tc>
        <w:tc>
          <w:tcPr>
            <w:tcW w:type="dxa" w:w="1986"/>
          </w:tcPr>
          <w:p>
            <w:r>
              <w:rPr>
                <w:sz w:val="17"/>
              </w:rPr>
            </w:r>
            <w:r>
              <w:rPr>
                <w:sz w:val="17"/>
              </w:rPr>
              <w:t>[take-off and receiver check]</w:t>
            </w:r>
          </w:p>
        </w:tc>
      </w:tr>
      <w:tr>
        <w:trPr>
          <w:cantSplit/>
        </w:trPr>
        <w:tc>
          <w:tcPr>
            <w:tcW w:type="dxa" w:w="1988"/>
          </w:tcPr>
          <w:p>
            <w:r>
              <w:rPr>
                <w:sz w:val="17"/>
              </w:rPr>
            </w:r>
            <w:r>
              <w:rPr>
                <w:sz w:val="17"/>
              </w:rPr>
              <w:t>[nested family]</w:t>
            </w:r>
          </w:p>
        </w:tc>
        <w:tc>
          <w:tcPr>
            <w:tcW w:type="dxa" w:w="2934"/>
          </w:tcPr>
          <w:p>
            <w:r>
              <w:rPr>
                <w:sz w:val="17"/>
              </w:rPr>
            </w:r>
            <w:r>
              <w:rPr>
                <w:sz w:val="17"/>
              </w:rPr>
              <w:t>Retain/​update/​remove if unnecessary</w:t>
            </w:r>
          </w:p>
        </w:tc>
        <w:tc>
          <w:tcPr>
            <w:tcW w:type="dxa" w:w="1919"/>
          </w:tcPr>
          <w:p>
            <w:r>
              <w:rPr>
                <w:sz w:val="17"/>
              </w:rPr>
            </w:r>
            <w:r>
              <w:rPr>
                <w:sz w:val="17"/>
              </w:rPr>
              <w:t>[host/​shared counting]</w:t>
            </w:r>
          </w:p>
        </w:tc>
        <w:tc>
          <w:tcPr>
            <w:tcW w:type="dxa" w:w="1638"/>
          </w:tcPr>
          <w:p>
            <w:r>
              <w:rPr>
                <w:sz w:val="17"/>
              </w:rPr>
            </w:r>
            <w:r>
              <w:rPr>
                <w:sz w:val="17"/>
              </w:rPr>
              <w:t>[content owner]</w:t>
            </w:r>
          </w:p>
        </w:tc>
        <w:tc>
          <w:tcPr>
            <w:tcW w:type="dxa" w:w="1986"/>
          </w:tcPr>
          <w:p>
            <w:r>
              <w:rPr>
                <w:sz w:val="17"/>
              </w:rPr>
            </w:r>
            <w:r>
              <w:rPr>
                <w:sz w:val="17"/>
              </w:rPr>
              <w:t>[IDs/​counts/​flex]</w:t>
            </w:r>
          </w:p>
        </w:tc>
      </w:tr>
    </w:tbl>
    <w:p/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2207"/>
        <w:gridCol w:w="8259"/>
      </w:tblGrid>
      <w:tr>
        <w:trPr>
          <w:cantSplit/>
          <w:tblHeader/>
        </w:trPr>
        <w:tc>
          <w:tcPr>
            <w:tcW w:type="dxa" w:w="2207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Release test</w:t>
            </w:r>
          </w:p>
        </w:tc>
        <w:tc>
          <w:tcPr>
            <w:tcW w:type="dxa" w:w="8259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Required evidence /​ condition</w:t>
            </w:r>
          </w:p>
        </w:tc>
      </w:tr>
      <w:tr>
        <w:trPr>
          <w:cantSplit/>
        </w:trPr>
        <w:tc>
          <w:tcPr>
            <w:tcW w:type="dxa" w:w="2207"/>
          </w:tcPr>
          <w:p>
            <w:r>
              <w:rPr>
                <w:sz w:val="17"/>
              </w:rPr>
            </w:r>
            <w:r>
              <w:rPr>
                <w:sz w:val="17"/>
              </w:rPr>
              <w:t>Rights and compatibility</w:t>
            </w:r>
          </w:p>
        </w:tc>
        <w:tc>
          <w:tcPr>
            <w:tcW w:type="dxa" w:w="8259"/>
          </w:tcPr>
          <w:p>
            <w:r>
              <w:rPr>
                <w:sz w:val="17"/>
              </w:rPr>
            </w:r>
            <w:r>
              <w:rPr>
                <w:sz w:val="17"/>
              </w:rPr>
              <w:t>Accepted origin/​permission and compatible build; no unresolved admission blocker</w:t>
            </w:r>
          </w:p>
        </w:tc>
      </w:tr>
      <w:tr>
        <w:trPr>
          <w:cantSplit/>
        </w:trPr>
        <w:tc>
          <w:tcPr>
            <w:tcW w:type="dxa" w:w="2207"/>
          </w:tcPr>
          <w:p>
            <w:r>
              <w:rPr>
                <w:sz w:val="17"/>
              </w:rPr>
            </w:r>
            <w:r>
              <w:rPr>
                <w:sz w:val="17"/>
              </w:rPr>
              <w:t>Category /​ hosting</w:t>
            </w:r>
          </w:p>
        </w:tc>
        <w:tc>
          <w:tcPr>
            <w:tcW w:type="dxa" w:w="8259"/>
          </w:tcPr>
          <w:p>
            <w:r>
              <w:rPr>
                <w:sz w:val="17"/>
              </w:rPr>
            </w:r>
            <w:r>
              <w:rPr>
                <w:sz w:val="17"/>
              </w:rPr>
              <w:t>Intended category and supported host; placement/​change tests match purpose</w:t>
            </w:r>
          </w:p>
        </w:tc>
      </w:tr>
      <w:tr>
        <w:trPr>
          <w:cantSplit/>
        </w:trPr>
        <w:tc>
          <w:tcPr>
            <w:tcW w:type="dxa" w:w="2207"/>
          </w:tcPr>
          <w:p>
            <w:r>
              <w:rPr>
                <w:sz w:val="17"/>
              </w:rPr>
            </w:r>
            <w:r>
              <w:rPr>
                <w:sz w:val="17"/>
              </w:rPr>
              <w:t>Flex /​ visibility</w:t>
            </w:r>
          </w:p>
        </w:tc>
        <w:tc>
          <w:tcPr>
            <w:tcW w:type="dxa" w:w="8259"/>
          </w:tcPr>
          <w:p>
            <w:r>
              <w:rPr>
                <w:sz w:val="17"/>
              </w:rPr>
            </w:r>
            <w:r>
              <w:rPr>
                <w:sz w:val="17"/>
              </w:rPr>
              <w:t>Required dimension/​type extremes and views behave without unresolved critical failures</w:t>
            </w:r>
          </w:p>
        </w:tc>
      </w:tr>
      <w:tr>
        <w:trPr>
          <w:cantSplit/>
        </w:trPr>
        <w:tc>
          <w:tcPr>
            <w:tcW w:type="dxa" w:w="2207"/>
          </w:tcPr>
          <w:p>
            <w:r>
              <w:rPr>
                <w:sz w:val="17"/>
              </w:rPr>
            </w:r>
            <w:r>
              <w:rPr>
                <w:sz w:val="17"/>
              </w:rPr>
              <w:t>Complexity /​ warnings</w:t>
            </w:r>
          </w:p>
        </w:tc>
        <w:tc>
          <w:tcPr>
            <w:tcW w:type="dxa" w:w="8259"/>
          </w:tcPr>
          <w:p>
            <w:r>
              <w:rPr>
                <w:sz w:val="17"/>
              </w:rPr>
            </w:r>
            <w:r>
              <w:rPr>
                <w:sz w:val="17"/>
              </w:rPr>
              <w:t>Reviewed nesting/​types/​imports, classified warnings and agreed performance results</w:t>
            </w:r>
          </w:p>
        </w:tc>
      </w:tr>
      <w:tr>
        <w:trPr>
          <w:cantSplit/>
        </w:trPr>
        <w:tc>
          <w:tcPr>
            <w:tcW w:type="dxa" w:w="2207"/>
          </w:tcPr>
          <w:p>
            <w:r>
              <w:rPr>
                <w:sz w:val="17"/>
              </w:rPr>
            </w:r>
            <w:r>
              <w:rPr>
                <w:sz w:val="17"/>
              </w:rPr>
              <w:t>Tags /​ schedules</w:t>
            </w:r>
          </w:p>
        </w:tc>
        <w:tc>
          <w:tcPr>
            <w:tcW w:type="dxa" w:w="8259"/>
          </w:tcPr>
          <w:p>
            <w:r>
              <w:rPr>
                <w:sz w:val="17"/>
              </w:rPr>
            </w:r>
            <w:r>
              <w:rPr>
                <w:sz w:val="17"/>
              </w:rPr>
              <w:t>Required IDs/​codes/​materials and type/​instance/​nested counts match known sample</w:t>
            </w:r>
          </w:p>
        </w:tc>
      </w:tr>
      <w:tr>
        <w:trPr>
          <w:cantSplit/>
        </w:trPr>
        <w:tc>
          <w:tcPr>
            <w:tcW w:type="dxa" w:w="2207"/>
          </w:tcPr>
          <w:p>
            <w:r>
              <w:rPr>
                <w:sz w:val="17"/>
              </w:rPr>
            </w:r>
            <w:r>
              <w:rPr>
                <w:sz w:val="17"/>
              </w:rPr>
              <w:t>IFC /​ receiver</w:t>
            </w:r>
          </w:p>
        </w:tc>
        <w:tc>
          <w:tcPr>
            <w:tcW w:type="dxa" w:w="8259"/>
          </w:tcPr>
          <w:p>
            <w:r>
              <w:rPr>
                <w:sz w:val="17"/>
              </w:rPr>
            </w:r>
            <w:r>
              <w:rPr>
                <w:sz w:val="17"/>
              </w:rPr>
              <w:t>Agreed object/​property mapping, values/​units, geometry and counts reconcile to the accepted native version</w:t>
            </w:r>
          </w:p>
        </w:tc>
      </w:tr>
      <w:tr>
        <w:trPr>
          <w:cantSplit/>
        </w:trPr>
        <w:tc>
          <w:tcPr>
            <w:tcW w:type="dxa" w:w="2207"/>
          </w:tcPr>
          <w:p>
            <w:r>
              <w:rPr>
                <w:sz w:val="17"/>
              </w:rPr>
            </w:r>
            <w:r>
              <w:rPr>
                <w:sz w:val="17"/>
              </w:rPr>
              <w:t>Release</w:t>
            </w:r>
          </w:p>
        </w:tc>
        <w:tc>
          <w:tcPr>
            <w:tcW w:type="dxa" w:w="8259"/>
          </w:tcPr>
          <w:p>
            <w:r>
              <w:rPr>
                <w:sz w:val="17"/>
              </w:rPr>
            </w:r>
            <w:r>
              <w:rPr>
                <w:sz w:val="17"/>
              </w:rPr>
              <w:t>Library approver, revision/​hash/​dependencies, allowed use, retained evidence and tested reload/​recovery</w:t>
            </w:r>
          </w:p>
        </w:tc>
      </w:tr>
    </w:tbl>
    <w:p/>
    <w:p>
      <w:pPr>
        <w:pStyle w:val="Heading1"/>
      </w:pPr>
      <w:r>
        <w:t>Synthetic accepted/rejected comparison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1022"/>
        <w:gridCol w:w="5729"/>
        <w:gridCol w:w="3715"/>
      </w:tblGrid>
      <w:tr>
        <w:trPr>
          <w:cantSplit/>
          <w:tblHeader/>
        </w:trPr>
        <w:tc>
          <w:tcPr>
            <w:tcW w:type="dxa" w:w="1022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Candidate</w:t>
            </w:r>
          </w:p>
        </w:tc>
        <w:tc>
          <w:tcPr>
            <w:tcW w:type="dxa" w:w="5729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Intake /​ test facts</w:t>
            </w:r>
          </w:p>
        </w:tc>
        <w:tc>
          <w:tcPr>
            <w:tcW w:type="dxa" w:w="3715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Decision</w:t>
            </w:r>
          </w:p>
        </w:tc>
      </w:tr>
      <w:tr>
        <w:trPr>
          <w:cantSplit/>
        </w:trPr>
        <w:tc>
          <w:tcPr>
            <w:tcW w:type="dxa" w:w="1022"/>
          </w:tcPr>
          <w:p>
            <w:r>
              <w:rPr>
                <w:sz w:val="17"/>
              </w:rPr>
            </w:r>
            <w:r>
              <w:rPr>
                <w:sz w:val="17"/>
              </w:rPr>
              <w:t>Chair A</w:t>
            </w:r>
          </w:p>
        </w:tc>
        <w:tc>
          <w:tcPr>
            <w:tcW w:type="dxa" w:w="5729"/>
          </w:tcPr>
          <w:p>
            <w:r>
              <w:rPr>
                <w:sz w:val="17"/>
              </w:rPr>
            </w:r>
            <w:r>
              <w:rPr>
                <w:sz w:val="17"/>
              </w:rPr>
              <w:t>Authorised modification/​reuse; Furniture/​unhosted; three tested sizes; approved shared instance ID; two tagged/​scheduled instances; IFC mapping and selected two catalogue types reconcile</w:t>
            </w:r>
          </w:p>
        </w:tc>
        <w:tc>
          <w:tcPr>
            <w:tcW w:type="dxa" w:w="3715"/>
          </w:tcPr>
          <w:p>
            <w:r>
              <w:rPr>
                <w:sz w:val="17"/>
              </w:rPr>
            </w:r>
            <w:r>
              <w:rPr>
                <w:sz w:val="17"/>
              </w:rPr>
              <w:t>Eligible for owner approval and versioned release</w:t>
            </w:r>
          </w:p>
        </w:tc>
      </w:tr>
      <w:tr>
        <w:trPr>
          <w:cantSplit/>
        </w:trPr>
        <w:tc>
          <w:tcPr>
            <w:tcW w:type="dxa" w:w="1022"/>
          </w:tcPr>
          <w:p>
            <w:r>
              <w:rPr>
                <w:sz w:val="17"/>
              </w:rPr>
            </w:r>
            <w:r>
              <w:rPr>
                <w:sz w:val="17"/>
              </w:rPr>
              <w:t>Chair B</w:t>
            </w:r>
          </w:p>
        </w:tc>
        <w:tc>
          <w:tcPr>
            <w:tcW w:type="dxa" w:w="5729"/>
          </w:tcPr>
          <w:p>
            <w:r>
              <w:rPr>
                <w:sz w:val="17"/>
              </w:rPr>
            </w:r>
            <w:r>
              <w:rPr>
                <w:sz w:val="17"/>
              </w:rPr>
              <w:t>No established reuse permission; three same-name properties with unknown GUIDs; fixed imported geometry despite required resizing; tags blank; exporter returns wrong class</w:t>
            </w:r>
          </w:p>
        </w:tc>
        <w:tc>
          <w:tcPr>
            <w:tcW w:type="dxa" w:w="3715"/>
          </w:tcPr>
          <w:p>
            <w:r>
              <w:rPr>
                <w:sz w:val="17"/>
              </w:rPr>
            </w:r>
            <w:r>
              <w:rPr>
                <w:sz w:val="17"/>
              </w:rPr>
              <w:t>Hold/​reject. Record missing evidence and failed requirement; do not “clean” until ownership/​meaning is resolved</w:t>
            </w:r>
          </w:p>
        </w:tc>
      </w:tr>
    </w:tbl>
    <w:p/>
    <w:p>
      <w:pPr/>
      <w:r>
        <w:t>These are training expectations, not results for an actual downloaded family. Create a synthetic five-type master family with a catalogue; load only two requested types into a test project. Place one instance of each, give them distinct stable instance IDs, and verify count = 2 in the itemised schedule and receiver. Flex the approved size ranges, compare tags/properties and perform an intentional one-property removal in a disposable copy: the required-field check must fail. Restore it and retest. Submit intake/change map, views, warning/performance log, catalogue selection, tag/schedule/IFC evidence and release decision. Missing rights or a required-property failure prevents acceptance.</w:t>
      </w:r>
    </w:p>
    <w:p>
      <w:pPr>
        <w:pStyle w:val="Heading1"/>
      </w:pPr>
      <w:r>
        <w:t>Acceptance criteria / self-check list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Origin, rights, proposed use, original/revised identity and Revit compatibility are recorded before live loading.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Default office templates and controlled native/external admission policy agree with guide 32.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Rebuild/transfer scope is selected and diffed; required semantics, GUIDs, materials, formulas and constraints are preserved or approved/mapped.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Category/host, nested content, warnings, complexity and unnecessary types have a reviewed result.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Only required types are loaded; catalogue/dependency identities are retained.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Required sizes/types/visibility/hosting and reload parameter behaviour pass recorded tests.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Tags, schedules, material quantities and IFC receiving objects/properties/counts reconcile to the accepted native revision.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Library owner approves a version with use limits, compatibility, evidence and recovery; failed or superseded intake remains traceable.</w:t>
      </w:r>
    </w:p>
    <w:p>
      <w:pPr>
        <w:pStyle w:val="Heading1"/>
      </w:pPr>
      <w:r>
        <w:t>Common mistakes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Rebuilding geometry to evade unresolved source rights.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Deleting non-English or unfamiliar parameters without mapping their required meaning.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Treating a formula constant or a nested shared family as automatically unnecessary.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Transferring every setting, loading every catalogue type or blindly overwriting existing values.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Approving content because it looks correct in one 3D view while tags/hosts/IFC fail.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Copying a project-approved family into the office library without reviewing wider reuse permission.</w:t>
      </w:r>
    </w:p>
    <w:p>
      <w:pPr>
        <w:pStyle w:val="Heading1"/>
      </w:pPr>
      <w:r>
        <w:t>Related guides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26–27: parameter identities and family flexing; 30: version/template baseline.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31: selective standards transfer and logged changes; 32: admission policy and model QA.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34: circulation components/hosts; 36: schedule/receiver checks; 37: family creation and assessed chair tests.</w:t>
      </w:r>
    </w:p>
    <w:p>
      <w:pPr>
        <w:pStyle w:val="Heading1"/>
      </w:pPr>
      <w:r>
        <w:t>Editorial coverage record</w:t>
      </w:r>
    </w:p>
    <w:p>
      <w:pPr/>
      <w:r>
        <w:t>R13.1–R13.5: intake record; category/host/flex procedure; complexity/nesting/warnings review; required-type catalogue selection; tags/schedules/IFC and library owner release. C02/C09/C12/C15/C17 are resolved through controlled naming, property identity, compatibility/rights and selective changes. P1 1/1 and P2 1/1 fixed; P3 accepted/rejected comparison and assessed two-type exercise included. No actual family licence, installed capability or model test is assumed.</w:t>
      </w:r>
    </w:p>
    <w:p>
      <w:pPr>
        <w:pStyle w:val="Heading1"/>
      </w:pPr>
      <w:r>
        <w:t>References</w:t>
      </w:r>
    </w:p>
    <w:p>
      <w:pPr/>
      <w:r>
        <w:t>Source IDs refer to the supplied RESEARCH.md register. Autodesk Help describes the listed release; verify commands in the project-approved build. Public ISO abstracts establish scope and edition, not clause-level compliance.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S01 — ISO 19650-1 — Concepts and principles. ISO, 2018, ed.1. https://www.iso.org/standard/68078.html?browse=tc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S02 — ISO 19650-2 — Delivery phase of the assets. ISO, 2018, ed.1. https://www.iso.org/fr/standard/68080.html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S04 — ISO 19650-4 — Information exchange. ISO, 2022, ed.1. https://www.iso.org/cms/live/live/en/sites/isoorg/contents/data/standard/07/82/78246.html?browse=tc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S07 — ISO 7817-1 — Level of information need: concepts and principles. ISO, 2024, ed.1. https://www.iso.org/standard/82914.html?browse=tc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S16 — ISO 23386 — Methodology to describe, author and maintain properties in interconnected data dictionaries. ISO, 2020, ed.1. https://www.iso.org/standard/75401.html?browse=tc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A01 — Project Templates; Create a Model. Autodesk Revit Help, Revit 2026. https://help.autodesk.com/cloudhelp/2026/ENU/Revit-Customize/files/GUID-4C16B54A-7ADA-4DEB-A278-C199B1BC4207.htm ; https://help.autodesk.com/cloudhelp/2026/ENU/Revit-GetStarted/files/GUID-3FF8DDB0-A015-4F94-B9DA-1FA96181FCA3.htm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A06 — Create Shared Project Parameters. Autodesk Revit Help, Revit 2026. https://help.autodesk.com/cloudhelp/2026/ENU/Revit-Model/files/GUID-114C68A9-FF2B-4D4C-A2DF-3AE7E1F174C8.htm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A18 — Create a Family from a Template. Autodesk Revit Help, Revit 2026. https://help.autodesk.com/cloudhelp/2026/ENU/Revit-Customize/files/GUID-228D213B-9497-48A6-AAE1-4E54F7834931.htm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A16 — Load a Family with a Type Catalog. Autodesk Revit Help, Revit 2024. https://help.autodesk.com/cloudhelp/2024/ENU/Revit-Model/files/GUID-5DB0797C-B0CA-4C3F-B72A-84176738AEC5.htm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A19 — Model Efficiently. Autodesk Revit Help, Revit 2024. https://help.autodesk.com/cloudhelp/2024/ENU/Revit-Customize/files/GUID-8287BB99-B15F-4809-B6AF-3DA26B8CD027.htm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S12 — Industry Foundation Classes (IFC). buildingSMART International, Undated live page; 2024 ISO edition. https://www.buildingsmart.org/standards/bsi-standards/industry-foundation-classes/?lang=en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P09 — Choose a License for Your Work. Creative Commons, Undated live chooser. https://creativecommons.org/chooser/</w:t>
      </w:r>
    </w:p>
    <w:sectPr w:rsidR="00922C46" w:rsidSect="00922C46">
      <w:headerReference w:type="default" r:id="rId8"/>
      <w:footerReference w:type="default" r:id="rId9"/>
      <w:headerReference w:type="first" r:id="rId10"/>
      <w:pgSz w:w="11906" w:h="16838"/>
      <w:pgMar w:top="1701" w:right="720" w:bottom="720" w:left="720" w:header="454" w:footer="20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3B23" w14:textId="77777777" w:rsidR="00721C27" w:rsidRDefault="00721C27" w:rsidP="00CB352A">
      <w:pPr>
        <w:spacing w:after="0" w:line="240" w:lineRule="auto"/>
      </w:pPr>
      <w:r>
        <w:separator/>
      </w:r>
    </w:p>
  </w:endnote>
  <w:endnote w:type="continuationSeparator" w:id="0">
    <w:p w14:paraId="311C7F5C" w14:textId="77777777" w:rsidR="00721C27" w:rsidRDefault="00721C27" w:rsidP="00CB3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nter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403874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1233345" w14:textId="16A281E0" w:rsidR="00F66F4B" w:rsidRDefault="00F66F4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B1D756A" w14:textId="666CA5D8" w:rsidR="00F66F4B" w:rsidRDefault="00F66F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9EE4E" w14:textId="77777777" w:rsidR="00721C27" w:rsidRDefault="00721C27" w:rsidP="00CB352A">
      <w:pPr>
        <w:spacing w:after="0" w:line="240" w:lineRule="auto"/>
      </w:pPr>
      <w:r>
        <w:separator/>
      </w:r>
    </w:p>
  </w:footnote>
  <w:footnote w:type="continuationSeparator" w:id="0">
    <w:p w14:paraId="12244030" w14:textId="77777777" w:rsidR="00721C27" w:rsidRDefault="00721C27" w:rsidP="00CB3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8C6C" w14:textId="515D1FCF" w:rsidR="00CB352A" w:rsidRDefault="009C7B28">
    <w:pPr>
      <w:pStyle w:val="Header"/>
      <w:rPr>
        <w:b/>
        <w:bCs/>
      </w:rPr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58240" behindDoc="0" locked="0" layoutInCell="1" allowOverlap="1" wp14:anchorId="0228A8AB" wp14:editId="336A9345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923870934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9320F" w:rsidRPr="0089320F">
      <w:rPr>
        <w:b/>
        <w:bCs/>
      </w:rPr>
      <w:t>BBM-BIM | BBM-STD-35-GUIDE-IMPORTING_FAMILIES_FROM_OUTSIDE-V0.2</w:t>
    </w:r>
    <w:r w:rsidR="00A018A2">
      <w:rPr>
        <w:b/>
        <w:bCs/>
      </w:rPr>
    </w:r>
    <w:r w:rsidR="00050B13">
      <w:rPr>
        <w:b/>
        <w:bCs/>
      </w:rPr>
    </w:r>
  </w:p>
  <w:p w14:paraId="6DEDEFD4" w14:textId="77777777" w:rsidR="00F66F4B" w:rsidRDefault="00F66F4B">
    <w:pPr>
      <w:pStyle w:val="Header"/>
      <w:rPr>
        <w:b/>
        <w:bCs/>
      </w:rPr>
    </w:pPr>
  </w:p>
  <w:p w14:paraId="1F087E3B" w14:textId="77777777" w:rsidR="0089320F" w:rsidRPr="0089320F" w:rsidRDefault="0089320F">
    <w:pPr>
      <w:pStyle w:val="Header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3CAFC" w14:textId="11F1D81D" w:rsidR="0038312B" w:rsidRDefault="0038312B">
    <w:pPr>
      <w:pStyle w:val="Header"/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60288" behindDoc="0" locked="0" layoutInCell="1" allowOverlap="1" wp14:anchorId="05FC8F1B" wp14:editId="450AA59F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1296434436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CB5"/>
    <w:multiLevelType w:val="multilevel"/>
    <w:tmpl w:val="A9BE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E5580"/>
    <w:multiLevelType w:val="multilevel"/>
    <w:tmpl w:val="9F8C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10C3F"/>
    <w:multiLevelType w:val="multilevel"/>
    <w:tmpl w:val="FDB4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1F5278"/>
    <w:multiLevelType w:val="multilevel"/>
    <w:tmpl w:val="D27A30C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E607D4"/>
    <w:multiLevelType w:val="multilevel"/>
    <w:tmpl w:val="0F58E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D22449"/>
    <w:multiLevelType w:val="multilevel"/>
    <w:tmpl w:val="7FDA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291BE1"/>
    <w:multiLevelType w:val="multilevel"/>
    <w:tmpl w:val="9A98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B16DFE"/>
    <w:multiLevelType w:val="multilevel"/>
    <w:tmpl w:val="10F8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480DBE"/>
    <w:multiLevelType w:val="multilevel"/>
    <w:tmpl w:val="C850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E3636F"/>
    <w:multiLevelType w:val="multilevel"/>
    <w:tmpl w:val="DA9E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1543BB"/>
    <w:multiLevelType w:val="multilevel"/>
    <w:tmpl w:val="19F6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B2324D"/>
    <w:multiLevelType w:val="multilevel"/>
    <w:tmpl w:val="FC389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3A2E07"/>
    <w:multiLevelType w:val="multilevel"/>
    <w:tmpl w:val="E2403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EBD2A97"/>
    <w:multiLevelType w:val="multilevel"/>
    <w:tmpl w:val="43A2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EC43213"/>
    <w:multiLevelType w:val="multilevel"/>
    <w:tmpl w:val="8480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B110E8"/>
    <w:multiLevelType w:val="multilevel"/>
    <w:tmpl w:val="8052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C465B0"/>
    <w:multiLevelType w:val="multilevel"/>
    <w:tmpl w:val="C050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9A7D33"/>
    <w:multiLevelType w:val="hybridMultilevel"/>
    <w:tmpl w:val="ACE66CBA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187B4E90"/>
    <w:multiLevelType w:val="multilevel"/>
    <w:tmpl w:val="5EAA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F47AEF"/>
    <w:multiLevelType w:val="multilevel"/>
    <w:tmpl w:val="0CD4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F651B91"/>
    <w:multiLevelType w:val="multilevel"/>
    <w:tmpl w:val="9998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8076E0"/>
    <w:multiLevelType w:val="multilevel"/>
    <w:tmpl w:val="9A4E1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916E4C"/>
    <w:multiLevelType w:val="multilevel"/>
    <w:tmpl w:val="7308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983E25"/>
    <w:multiLevelType w:val="multilevel"/>
    <w:tmpl w:val="9FD6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9F27FC"/>
    <w:multiLevelType w:val="multilevel"/>
    <w:tmpl w:val="4310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CE0CD0"/>
    <w:multiLevelType w:val="hybridMultilevel"/>
    <w:tmpl w:val="877C0468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6" w15:restartNumberingAfterBreak="0">
    <w:nsid w:val="25E45045"/>
    <w:multiLevelType w:val="multilevel"/>
    <w:tmpl w:val="6D22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BD15BC"/>
    <w:multiLevelType w:val="multilevel"/>
    <w:tmpl w:val="E4B2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A054ACD"/>
    <w:multiLevelType w:val="multilevel"/>
    <w:tmpl w:val="A5BE0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BE48F0"/>
    <w:multiLevelType w:val="multilevel"/>
    <w:tmpl w:val="A142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DA1723"/>
    <w:multiLevelType w:val="hybridMultilevel"/>
    <w:tmpl w:val="1AD011EC"/>
    <w:lvl w:ilvl="0" w:tplc="498CDAC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B418A3"/>
    <w:multiLevelType w:val="multilevel"/>
    <w:tmpl w:val="93280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13038C1"/>
    <w:multiLevelType w:val="multilevel"/>
    <w:tmpl w:val="252A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1D27B7E"/>
    <w:multiLevelType w:val="multilevel"/>
    <w:tmpl w:val="BB3A3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33824DB"/>
    <w:multiLevelType w:val="hybridMultilevel"/>
    <w:tmpl w:val="BD40DAA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AC3C79"/>
    <w:multiLevelType w:val="hybridMultilevel"/>
    <w:tmpl w:val="743EF4B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CE442A6"/>
    <w:multiLevelType w:val="hybridMultilevel"/>
    <w:tmpl w:val="25DCC4CC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D203C6B"/>
    <w:multiLevelType w:val="multilevel"/>
    <w:tmpl w:val="482E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E80033A"/>
    <w:multiLevelType w:val="multilevel"/>
    <w:tmpl w:val="F54C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990FD6"/>
    <w:multiLevelType w:val="multilevel"/>
    <w:tmpl w:val="5DB6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5B207C1"/>
    <w:multiLevelType w:val="multilevel"/>
    <w:tmpl w:val="3F58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74743A6"/>
    <w:multiLevelType w:val="multilevel"/>
    <w:tmpl w:val="0464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89D6270"/>
    <w:multiLevelType w:val="multilevel"/>
    <w:tmpl w:val="493859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4B37442B"/>
    <w:multiLevelType w:val="multilevel"/>
    <w:tmpl w:val="DCC4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D4D4C7F"/>
    <w:multiLevelType w:val="multilevel"/>
    <w:tmpl w:val="F8B8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D6C620A"/>
    <w:multiLevelType w:val="multilevel"/>
    <w:tmpl w:val="D01A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DA02F28"/>
    <w:multiLevelType w:val="hybridMultilevel"/>
    <w:tmpl w:val="89589A58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10A30BE"/>
    <w:multiLevelType w:val="multilevel"/>
    <w:tmpl w:val="387A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1D07053"/>
    <w:multiLevelType w:val="hybridMultilevel"/>
    <w:tmpl w:val="753CE6EA"/>
    <w:lvl w:ilvl="0" w:tplc="137A815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1F9764D"/>
    <w:multiLevelType w:val="hybridMultilevel"/>
    <w:tmpl w:val="6D90A5F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3257493"/>
    <w:multiLevelType w:val="multilevel"/>
    <w:tmpl w:val="1862E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55033D6"/>
    <w:multiLevelType w:val="multilevel"/>
    <w:tmpl w:val="C024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5DF1E1A"/>
    <w:multiLevelType w:val="multilevel"/>
    <w:tmpl w:val="EA0A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7897B19"/>
    <w:multiLevelType w:val="hybridMultilevel"/>
    <w:tmpl w:val="C5142CA6"/>
    <w:lvl w:ilvl="0" w:tplc="D1F2EE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8987667"/>
    <w:multiLevelType w:val="multilevel"/>
    <w:tmpl w:val="4428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A4841AC"/>
    <w:multiLevelType w:val="multilevel"/>
    <w:tmpl w:val="65D4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C154B9E"/>
    <w:multiLevelType w:val="multilevel"/>
    <w:tmpl w:val="3EDC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CF446D6"/>
    <w:multiLevelType w:val="multilevel"/>
    <w:tmpl w:val="9AE83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DA12C63"/>
    <w:multiLevelType w:val="multilevel"/>
    <w:tmpl w:val="19BA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EA64FFB"/>
    <w:multiLevelType w:val="multilevel"/>
    <w:tmpl w:val="4BEC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F26775D"/>
    <w:multiLevelType w:val="multilevel"/>
    <w:tmpl w:val="0DCC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F4C2599"/>
    <w:multiLevelType w:val="multilevel"/>
    <w:tmpl w:val="13B8F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07C44F1"/>
    <w:multiLevelType w:val="multilevel"/>
    <w:tmpl w:val="3CC6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43467FE"/>
    <w:multiLevelType w:val="multilevel"/>
    <w:tmpl w:val="9522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DB57CDF"/>
    <w:multiLevelType w:val="multilevel"/>
    <w:tmpl w:val="72E6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E964972"/>
    <w:multiLevelType w:val="multilevel"/>
    <w:tmpl w:val="C3AC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0511F6D"/>
    <w:multiLevelType w:val="multilevel"/>
    <w:tmpl w:val="9BEC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123172F"/>
    <w:multiLevelType w:val="multilevel"/>
    <w:tmpl w:val="12B6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4BE5B37"/>
    <w:multiLevelType w:val="multilevel"/>
    <w:tmpl w:val="27C6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8180DFE"/>
    <w:multiLevelType w:val="multilevel"/>
    <w:tmpl w:val="176C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83555A3"/>
    <w:multiLevelType w:val="multilevel"/>
    <w:tmpl w:val="1EF2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9CD7C91"/>
    <w:multiLevelType w:val="multilevel"/>
    <w:tmpl w:val="0FC4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D12550"/>
    <w:multiLevelType w:val="multilevel"/>
    <w:tmpl w:val="5F00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9FC1C66"/>
    <w:multiLevelType w:val="hybridMultilevel"/>
    <w:tmpl w:val="6246873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BAE16B6"/>
    <w:multiLevelType w:val="hybridMultilevel"/>
    <w:tmpl w:val="E8164416"/>
    <w:lvl w:ilvl="0" w:tplc="D52ED5B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D3F25B3"/>
    <w:multiLevelType w:val="multilevel"/>
    <w:tmpl w:val="EA48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EC23B7E"/>
    <w:multiLevelType w:val="multilevel"/>
    <w:tmpl w:val="416C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EF26A17"/>
    <w:multiLevelType w:val="hybridMultilevel"/>
    <w:tmpl w:val="E7F42ABC"/>
    <w:lvl w:ilvl="0" w:tplc="51D0EC10">
      <w:start w:val="2"/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EFD14F4"/>
    <w:multiLevelType w:val="hybridMultilevel"/>
    <w:tmpl w:val="1E980114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F303287"/>
    <w:multiLevelType w:val="multilevel"/>
    <w:tmpl w:val="2EBA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8837531">
    <w:abstractNumId w:val="11"/>
  </w:num>
  <w:num w:numId="2" w16cid:durableId="1351297986">
    <w:abstractNumId w:val="53"/>
  </w:num>
  <w:num w:numId="3" w16cid:durableId="1365397943">
    <w:abstractNumId w:val="56"/>
  </w:num>
  <w:num w:numId="4" w16cid:durableId="2071027318">
    <w:abstractNumId w:val="75"/>
  </w:num>
  <w:num w:numId="5" w16cid:durableId="210533793">
    <w:abstractNumId w:val="32"/>
  </w:num>
  <w:num w:numId="6" w16cid:durableId="445732298">
    <w:abstractNumId w:val="61"/>
  </w:num>
  <w:num w:numId="7" w16cid:durableId="133573405">
    <w:abstractNumId w:val="30"/>
  </w:num>
  <w:num w:numId="8" w16cid:durableId="574585613">
    <w:abstractNumId w:val="74"/>
  </w:num>
  <w:num w:numId="9" w16cid:durableId="1349478103">
    <w:abstractNumId w:val="59"/>
  </w:num>
  <w:num w:numId="10" w16cid:durableId="2110003057">
    <w:abstractNumId w:val="45"/>
  </w:num>
  <w:num w:numId="11" w16cid:durableId="1874147494">
    <w:abstractNumId w:val="28"/>
  </w:num>
  <w:num w:numId="12" w16cid:durableId="2079087691">
    <w:abstractNumId w:val="3"/>
  </w:num>
  <w:num w:numId="13" w16cid:durableId="1823153762">
    <w:abstractNumId w:val="36"/>
  </w:num>
  <w:num w:numId="14" w16cid:durableId="1909921589">
    <w:abstractNumId w:val="12"/>
  </w:num>
  <w:num w:numId="15" w16cid:durableId="641083692">
    <w:abstractNumId w:val="77"/>
  </w:num>
  <w:num w:numId="16" w16cid:durableId="1245065181">
    <w:abstractNumId w:val="21"/>
  </w:num>
  <w:num w:numId="17" w16cid:durableId="398945280">
    <w:abstractNumId w:val="14"/>
  </w:num>
  <w:num w:numId="18" w16cid:durableId="16122890">
    <w:abstractNumId w:val="42"/>
  </w:num>
  <w:num w:numId="19" w16cid:durableId="1635210469">
    <w:abstractNumId w:val="25"/>
  </w:num>
  <w:num w:numId="20" w16cid:durableId="218126872">
    <w:abstractNumId w:val="17"/>
  </w:num>
  <w:num w:numId="21" w16cid:durableId="1801800760">
    <w:abstractNumId w:val="34"/>
  </w:num>
  <w:num w:numId="22" w16cid:durableId="1988775808">
    <w:abstractNumId w:val="47"/>
  </w:num>
  <w:num w:numId="23" w16cid:durableId="471681732">
    <w:abstractNumId w:val="27"/>
  </w:num>
  <w:num w:numId="24" w16cid:durableId="1064639593">
    <w:abstractNumId w:val="72"/>
  </w:num>
  <w:num w:numId="25" w16cid:durableId="2090497845">
    <w:abstractNumId w:val="23"/>
  </w:num>
  <w:num w:numId="26" w16cid:durableId="1181160950">
    <w:abstractNumId w:val="66"/>
  </w:num>
  <w:num w:numId="27" w16cid:durableId="1095247099">
    <w:abstractNumId w:val="26"/>
  </w:num>
  <w:num w:numId="28" w16cid:durableId="1520775121">
    <w:abstractNumId w:val="55"/>
  </w:num>
  <w:num w:numId="29" w16cid:durableId="600991068">
    <w:abstractNumId w:val="29"/>
  </w:num>
  <w:num w:numId="30" w16cid:durableId="1683556577">
    <w:abstractNumId w:val="51"/>
  </w:num>
  <w:num w:numId="31" w16cid:durableId="974061579">
    <w:abstractNumId w:val="43"/>
  </w:num>
  <w:num w:numId="32" w16cid:durableId="1131433968">
    <w:abstractNumId w:val="50"/>
  </w:num>
  <w:num w:numId="33" w16cid:durableId="512912934">
    <w:abstractNumId w:val="58"/>
  </w:num>
  <w:num w:numId="34" w16cid:durableId="1647661682">
    <w:abstractNumId w:val="5"/>
  </w:num>
  <w:num w:numId="35" w16cid:durableId="973022565">
    <w:abstractNumId w:val="24"/>
  </w:num>
  <w:num w:numId="36" w16cid:durableId="2025981299">
    <w:abstractNumId w:val="37"/>
  </w:num>
  <w:num w:numId="37" w16cid:durableId="60642266">
    <w:abstractNumId w:val="31"/>
  </w:num>
  <w:num w:numId="38" w16cid:durableId="2132359830">
    <w:abstractNumId w:val="9"/>
  </w:num>
  <w:num w:numId="39" w16cid:durableId="313875134">
    <w:abstractNumId w:val="38"/>
  </w:num>
  <w:num w:numId="40" w16cid:durableId="1400589230">
    <w:abstractNumId w:val="1"/>
  </w:num>
  <w:num w:numId="41" w16cid:durableId="2120292575">
    <w:abstractNumId w:val="22"/>
  </w:num>
  <w:num w:numId="42" w16cid:durableId="1371876170">
    <w:abstractNumId w:val="57"/>
  </w:num>
  <w:num w:numId="43" w16cid:durableId="1466267942">
    <w:abstractNumId w:val="62"/>
  </w:num>
  <w:num w:numId="44" w16cid:durableId="3631326">
    <w:abstractNumId w:val="4"/>
  </w:num>
  <w:num w:numId="45" w16cid:durableId="1991057930">
    <w:abstractNumId w:val="41"/>
  </w:num>
  <w:num w:numId="46" w16cid:durableId="664094968">
    <w:abstractNumId w:val="76"/>
  </w:num>
  <w:num w:numId="47" w16cid:durableId="1739940048">
    <w:abstractNumId w:val="49"/>
  </w:num>
  <w:num w:numId="48" w16cid:durableId="286551571">
    <w:abstractNumId w:val="16"/>
  </w:num>
  <w:num w:numId="49" w16cid:durableId="846596105">
    <w:abstractNumId w:val="40"/>
  </w:num>
  <w:num w:numId="50" w16cid:durableId="510607186">
    <w:abstractNumId w:val="63"/>
  </w:num>
  <w:num w:numId="51" w16cid:durableId="12155379">
    <w:abstractNumId w:val="2"/>
  </w:num>
  <w:num w:numId="52" w16cid:durableId="1045834822">
    <w:abstractNumId w:val="54"/>
  </w:num>
  <w:num w:numId="53" w16cid:durableId="804196552">
    <w:abstractNumId w:val="73"/>
  </w:num>
  <w:num w:numId="54" w16cid:durableId="178736295">
    <w:abstractNumId w:val="10"/>
  </w:num>
  <w:num w:numId="55" w16cid:durableId="1877966397">
    <w:abstractNumId w:val="46"/>
  </w:num>
  <w:num w:numId="56" w16cid:durableId="1944485735">
    <w:abstractNumId w:val="8"/>
  </w:num>
  <w:num w:numId="57" w16cid:durableId="1237714374">
    <w:abstractNumId w:val="35"/>
  </w:num>
  <w:num w:numId="58" w16cid:durableId="165638271">
    <w:abstractNumId w:val="78"/>
  </w:num>
  <w:num w:numId="59" w16cid:durableId="881479234">
    <w:abstractNumId w:val="48"/>
  </w:num>
  <w:num w:numId="60" w16cid:durableId="861405408">
    <w:abstractNumId w:val="18"/>
  </w:num>
  <w:num w:numId="61" w16cid:durableId="1968507311">
    <w:abstractNumId w:val="52"/>
  </w:num>
  <w:num w:numId="62" w16cid:durableId="726805067">
    <w:abstractNumId w:val="7"/>
  </w:num>
  <w:num w:numId="63" w16cid:durableId="694841789">
    <w:abstractNumId w:val="19"/>
  </w:num>
  <w:num w:numId="64" w16cid:durableId="628516054">
    <w:abstractNumId w:val="69"/>
  </w:num>
  <w:num w:numId="65" w16cid:durableId="1222668138">
    <w:abstractNumId w:val="65"/>
  </w:num>
  <w:num w:numId="66" w16cid:durableId="1019281562">
    <w:abstractNumId w:val="70"/>
  </w:num>
  <w:num w:numId="67" w16cid:durableId="1271547946">
    <w:abstractNumId w:val="20"/>
  </w:num>
  <w:num w:numId="68" w16cid:durableId="726295327">
    <w:abstractNumId w:val="64"/>
  </w:num>
  <w:num w:numId="69" w16cid:durableId="831221370">
    <w:abstractNumId w:val="68"/>
  </w:num>
  <w:num w:numId="70" w16cid:durableId="137649203">
    <w:abstractNumId w:val="44"/>
  </w:num>
  <w:num w:numId="71" w16cid:durableId="1085299768">
    <w:abstractNumId w:val="71"/>
  </w:num>
  <w:num w:numId="72" w16cid:durableId="1020814749">
    <w:abstractNumId w:val="79"/>
  </w:num>
  <w:num w:numId="73" w16cid:durableId="1082262486">
    <w:abstractNumId w:val="33"/>
  </w:num>
  <w:num w:numId="74" w16cid:durableId="1776947863">
    <w:abstractNumId w:val="67"/>
  </w:num>
  <w:num w:numId="75" w16cid:durableId="115297018">
    <w:abstractNumId w:val="60"/>
  </w:num>
  <w:num w:numId="76" w16cid:durableId="23871195">
    <w:abstractNumId w:val="39"/>
  </w:num>
  <w:num w:numId="77" w16cid:durableId="2099859680">
    <w:abstractNumId w:val="13"/>
  </w:num>
  <w:num w:numId="78" w16cid:durableId="900794897">
    <w:abstractNumId w:val="0"/>
  </w:num>
  <w:num w:numId="79" w16cid:durableId="2037386573">
    <w:abstractNumId w:val="15"/>
  </w:num>
  <w:num w:numId="80" w16cid:durableId="11658962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A1"/>
    <w:rsid w:val="00011DE7"/>
    <w:rsid w:val="00014181"/>
    <w:rsid w:val="00015002"/>
    <w:rsid w:val="00031E93"/>
    <w:rsid w:val="00050B13"/>
    <w:rsid w:val="00071679"/>
    <w:rsid w:val="000B77CC"/>
    <w:rsid w:val="000D2CAD"/>
    <w:rsid w:val="000D3F31"/>
    <w:rsid w:val="000E40BB"/>
    <w:rsid w:val="00106139"/>
    <w:rsid w:val="001344DE"/>
    <w:rsid w:val="00135631"/>
    <w:rsid w:val="001455B9"/>
    <w:rsid w:val="00166022"/>
    <w:rsid w:val="001921A6"/>
    <w:rsid w:val="001C3FBF"/>
    <w:rsid w:val="001E35E1"/>
    <w:rsid w:val="0024151C"/>
    <w:rsid w:val="00244E2A"/>
    <w:rsid w:val="002B62CB"/>
    <w:rsid w:val="002B72A5"/>
    <w:rsid w:val="002E22B1"/>
    <w:rsid w:val="002E26B1"/>
    <w:rsid w:val="002E7B1C"/>
    <w:rsid w:val="003465B5"/>
    <w:rsid w:val="00381C02"/>
    <w:rsid w:val="0038312B"/>
    <w:rsid w:val="00384EA1"/>
    <w:rsid w:val="00386C78"/>
    <w:rsid w:val="003E3D4A"/>
    <w:rsid w:val="003F0FED"/>
    <w:rsid w:val="0044196E"/>
    <w:rsid w:val="0046252B"/>
    <w:rsid w:val="004A6153"/>
    <w:rsid w:val="004B0410"/>
    <w:rsid w:val="004C5116"/>
    <w:rsid w:val="004F0F2D"/>
    <w:rsid w:val="00584E33"/>
    <w:rsid w:val="005C3D0B"/>
    <w:rsid w:val="005C6025"/>
    <w:rsid w:val="00603D1F"/>
    <w:rsid w:val="00606DB4"/>
    <w:rsid w:val="00670C60"/>
    <w:rsid w:val="00675752"/>
    <w:rsid w:val="006A3C85"/>
    <w:rsid w:val="006F2333"/>
    <w:rsid w:val="00721C27"/>
    <w:rsid w:val="0072403D"/>
    <w:rsid w:val="00811E67"/>
    <w:rsid w:val="0081580C"/>
    <w:rsid w:val="008246ED"/>
    <w:rsid w:val="00832F4E"/>
    <w:rsid w:val="00836FBF"/>
    <w:rsid w:val="008449E9"/>
    <w:rsid w:val="00872D61"/>
    <w:rsid w:val="00884127"/>
    <w:rsid w:val="0089320F"/>
    <w:rsid w:val="00922C46"/>
    <w:rsid w:val="009C7B28"/>
    <w:rsid w:val="009E6369"/>
    <w:rsid w:val="009F2E66"/>
    <w:rsid w:val="009F657F"/>
    <w:rsid w:val="00A018A2"/>
    <w:rsid w:val="00A11121"/>
    <w:rsid w:val="00A267E2"/>
    <w:rsid w:val="00A8584F"/>
    <w:rsid w:val="00AA67BF"/>
    <w:rsid w:val="00AA7E9A"/>
    <w:rsid w:val="00AB36A2"/>
    <w:rsid w:val="00AD592D"/>
    <w:rsid w:val="00B26407"/>
    <w:rsid w:val="00B82C0A"/>
    <w:rsid w:val="00BA4935"/>
    <w:rsid w:val="00BB2E0C"/>
    <w:rsid w:val="00BF5F8A"/>
    <w:rsid w:val="00BF6C96"/>
    <w:rsid w:val="00C10D76"/>
    <w:rsid w:val="00C128AF"/>
    <w:rsid w:val="00C47258"/>
    <w:rsid w:val="00C62CFE"/>
    <w:rsid w:val="00C90F45"/>
    <w:rsid w:val="00CB352A"/>
    <w:rsid w:val="00CC064F"/>
    <w:rsid w:val="00CF67A1"/>
    <w:rsid w:val="00D04E04"/>
    <w:rsid w:val="00D50B5A"/>
    <w:rsid w:val="00D676C0"/>
    <w:rsid w:val="00D76C48"/>
    <w:rsid w:val="00DD0AC6"/>
    <w:rsid w:val="00DE2E50"/>
    <w:rsid w:val="00E070CA"/>
    <w:rsid w:val="00E07122"/>
    <w:rsid w:val="00E61CAC"/>
    <w:rsid w:val="00E74AA0"/>
    <w:rsid w:val="00E86154"/>
    <w:rsid w:val="00E868BF"/>
    <w:rsid w:val="00E94A0E"/>
    <w:rsid w:val="00EA0679"/>
    <w:rsid w:val="00EA3575"/>
    <w:rsid w:val="00EC0C97"/>
    <w:rsid w:val="00ED53F1"/>
    <w:rsid w:val="00F3602F"/>
    <w:rsid w:val="00F66F4B"/>
    <w:rsid w:val="00F861B0"/>
    <w:rsid w:val="00F93E7C"/>
    <w:rsid w:val="00FA2C09"/>
    <w:rsid w:val="00FA42A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A9A19"/>
  <w15:chartTrackingRefBased/>
  <w15:docId w15:val="{97BBD25F-B166-4413-9BF0-9496AD41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C78"/>
    <w:rPr>
      <w:rFonts w:ascii="Inter" w:hAnsi="Inter" w:eastAsia="Inter" w:cs="Inter"/>
      <w:color w:val="14130F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C7B28"/>
    <w:pPr>
      <w:keepNext/>
      <w:keepLines/>
      <w:spacing w:before="360" w:after="80"/>
      <w:outlineLvl w:val="0"/>
    </w:pPr>
    <w:rPr>
      <w:rFonts w:ascii="Inter" w:eastAsiaTheme="majorEastAsia" w:hAnsi="Inter" w:cstheme="majorBidi" w:eastAsia="Inter" w:cs="Inter"/>
      <w:b/>
      <w:color w:val="9A7B45"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86C78"/>
    <w:pPr>
      <w:keepNext/>
      <w:keepLines/>
      <w:tabs>
        <w:tab w:val="left" w:pos="1080"/>
      </w:tabs>
      <w:spacing w:before="280" w:after="200"/>
      <w:outlineLvl w:val="1"/>
    </w:pPr>
    <w:rPr>
      <w:rFonts w:ascii="Inter" w:eastAsiaTheme="majorEastAsia" w:hAnsi="Inter" w:cstheme="majorBidi" w:eastAsia="Inter" w:cs="Inter"/>
      <w:b/>
      <w:color w:val="14130F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26B1"/>
    <w:pPr>
      <w:keepNext/>
      <w:keepLines/>
      <w:spacing w:before="160" w:after="80"/>
      <w:outlineLvl w:val="2"/>
    </w:pPr>
    <w:rPr>
      <w:rFonts w:eastAsiaTheme="majorEastAsia" w:cstheme="majorBidi" w:ascii="Inter" w:hAnsi="Inter" w:eastAsia="Inter" w:cs="Inter"/>
      <w:b/>
      <w:color w:val="111113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28"/>
    <w:rPr>
      <w:rFonts w:ascii="Verdana" w:eastAsiaTheme="majorEastAsia" w:hAnsi="Verdana" w:cstheme="majorBidi"/>
      <w:b/>
      <w:color w:val="FF3300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4151C"/>
    <w:rPr>
      <w:rFonts w:ascii="Verdana" w:eastAsiaTheme="majorEastAsia" w:hAnsi="Verdana" w:cstheme="majorBidi"/>
      <w:b/>
      <w:color w:val="1C1C1C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E26B1"/>
    <w:rPr>
      <w:rFonts w:eastAsiaTheme="majorEastAsia" w:cstheme="majorBidi"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C7B28"/>
    <w:pPr>
      <w:spacing w:after="80" w:line="240" w:lineRule="auto"/>
      <w:contextualSpacing/>
      <w:jc w:val="center"/>
    </w:pPr>
    <w:rPr>
      <w:rFonts w:ascii="Inter" w:eastAsiaTheme="majorEastAsia" w:hAnsi="Inter" w:cstheme="majorBidi" w:eastAsia="Inter" w:cs="Inter"/>
      <w:b/>
      <w:color w:val="9A7B45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28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7A1"/>
    <w:pPr>
      <w:ind w:left="720"/>
      <w:contextualSpacing/>
    </w:pPr>
    <w:rPr>
      <w:rFonts w:ascii="Inter" w:hAnsi="Inter" w:eastAsia="Inter" w:cs="Inter"/>
    </w:rPr>
  </w:style>
  <w:style w:type="character" w:styleId="IntenseEmphasis">
    <w:name w:val="Intense Emphasis"/>
    <w:basedOn w:val="DefaultParagraphFont"/>
    <w:uiPriority w:val="21"/>
    <w:qFormat/>
    <w:rsid w:val="00CF6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7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CB352A"/>
  </w:style>
  <w:style w:type="paragraph" w:styleId="Footer">
    <w:name w:val="footer"/>
    <w:basedOn w:val="Normal"/>
    <w:link w:val="Foot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B352A"/>
  </w:style>
  <w:style w:type="character" w:styleId="Strong">
    <w:name w:val="Strong"/>
    <w:basedOn w:val="DefaultParagraphFont"/>
    <w:uiPriority w:val="22"/>
    <w:qFormat/>
    <w:rsid w:val="009C7B28"/>
    <w:rPr>
      <w:rFonts w:ascii="Verdana" w:hAnsi="Verdana"/>
      <w:b/>
      <w:bCs/>
      <w:sz w:val="20"/>
    </w:rPr>
  </w:style>
  <w:style w:type="table" w:styleId="TableGrid">
    <w:name w:val="Table Grid"/>
    <w:basedOn w:val="TableNormal"/>
    <w:uiPriority w:val="39"/>
    <w:rsid w:val="00AD5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922C46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22C46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E63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s://www.notion.so/28ff57b4e72f80d082a8d79ff687fc07" TargetMode="External"/><Relationship Id="rId14" Type="http://schemas.openxmlformats.org/officeDocument/2006/relationships/hyperlink" Target="https://github.com/Fargaly/baboom-bim-standard/blob/main/05-METHODOLOGIES-AND-GUIDELINES/BBM-STD-35-GUIDE-IMPORTING_FAMILIES_FROM_OUTSIDE-V0.2.docx" TargetMode="External"/><Relationship Id="rId15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21</Pages>
  <Words>4872</Words>
  <Characters>27773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GLOSSARY</vt:lpstr>
    </vt:vector>
  </TitlesOfParts>
  <Company/>
  <LinksUpToDate>false</LinksUpToDate>
  <CharactersWithSpaces>32580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GLOSSARY</dc:title>
  <dc:subject>Bep</dc:subject>
  <dc:creator>Fargaly</dc:creator>
  <cp:keywords/>
  <dc:description/>
  <cp:lastModifiedBy>Fargaly</cp:lastModifiedBy>
  <cp:revision>20</cp:revision>
  <dcterms:created xsi:type="dcterms:W3CDTF">2024-11-06T10:52:00Z</dcterms:created>
  <dcterms:modified xsi:type="dcterms:W3CDTF">2025-10-21T13:40:00Z</dcterms:modified>
</cp:coreProperties>
</file>