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spacing w:before="840"/>
      </w:pPr>
      <w:r>
        <w:t>36 · Data Control with Schedules</w:t>
      </w:r>
    </w:p>
    <w:p>
      <w:pPr/>
      <w:r>
        <w:t xml:space="preserve">Linked copies: ID STD-36 · </w:t>
      </w:r>
      <w:hyperlink r:id="rId13">
        <w:r>
          <w:rPr>
            <w:color w:val="9A7B45"/>
            <w:u w:val="single"/>
          </w:rPr>
          <w:t>TBP page</w:t>
        </w:r>
      </w:hyperlink>
      <w:r>
        <w:t xml:space="preserve"> · </w:t>
      </w:r>
      <w:hyperlink r:id="rId14">
        <w:r>
          <w:rPr>
            <w:color w:val="9A7B45"/>
            <w:u w:val="single"/>
          </w:rPr>
          <w:t>BABOOM edition</w:t>
        </w:r>
      </w:hyperlink>
      <w:r>
        <w:t xml:space="preserve"> · ArchHub: BABOOM companion</w:t>
      </w:r>
    </w:p>
    <w:p>
      <w:pPr/>
      <w:r>
        <w:t>Office BIM Workshops · Presenter: Ahmed Fargaly · Recorded session: 19 May 2025 · BBM-STD-36 · V0.2 · 14 October 2026 · WIP training revision; office approval pending</w:t>
      </w:r>
    </w:p>
    <w:p>
      <w:pPr>
        <w:pStyle w:val="Heading1"/>
      </w:pPr>
      <w:r>
        <w:t>Purpose &amp; scope</w:t>
      </w:r>
    </w:p>
    <w:p>
      <w:pPr/>
      <w:r>
        <w:t>Every modelled element carries data: category, family/type, material layers, levels, constraints, phase, workset, marks and other required properties. Keep the workshop's principle that schedules expose and control that data. Build an audit schedule first; then use controlled grouping and formatting for an issued schedule or finishes legend.</w:t>
      </w:r>
    </w:p>
    <w:p>
      <w:pPr/>
      <w:r>
        <w:t>This guide covers category/field definitions, itemised versus grouped edit scope, shared/key parameters, known-data validation, exceptions and export reconciliation. The author owns edits; the data/discipline owner defines fields/units/meaning; the BIM coordinator checks outputs; the appointed exchange roles authorise and accept the specific revision. The URS remains assigned to the responsible architect/coordinate owner with the BIM specialist under guide 30; scheduling does not transfer that authority.</w:t>
      </w:r>
    </w:p>
    <w:p>
      <w:pPr>
        <w:pStyle w:val="Heading1"/>
      </w:pPr>
      <w:r>
        <w:t>Standards basis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ISO 19650-1:2018 and ISO 19650-2:2018 support agreed requirements, responsibilities and information production. Office Manual BBM-STD-01 V0.1 §§3.2, 7.2–7.3, 9, 11–12 and BEP BBM-STD-10 V0.2 §§6.5–6.6, 8.6 and 10 serve controlled data, schedules and issue checks.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ISO 19650-4:2022 supplies exchange-quality checks. ISO 23386:2020 supplies controlled property definition/identity; ISO 7817-1:2024 makes required geometry, properties and documentation purpose-specific.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Autodesk A21 distinguishes schedule kinds, live records and grouping. A06/A17 support shared category bindings and instance-only keys; A14 supports phase checks. Microsoft Learn Data lineage (P05, undated) supplies the source/revision/dependency principle; no Power BI connection is required to keep a schedule lineage record.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UK BIM Framework Guidance C, edition 1 (2020), distinguishes checked exchange/CDE decisions from a browser folder or sheet name.</w:t>
      </w:r>
    </w:p>
    <w:p>
      <w:pPr>
        <w:pStyle w:val="Heading1"/>
      </w:pPr>
      <w:r>
        <w:t>V0.2 corrections and retained warning</w:t>
      </w:r>
    </w:p>
    <w:tbl>
      <w:tblPr>
        <w:tblStyle w:val="TableGrid"/>
        <w:tblW w:type="auto" w:w="0"/>
        <w:tblLayout w:type="fixed"/>
        <w:tblCellMar>
          <w:left w:w="45" w:type="dxa"/>
          <w:right w:w="45" w:type="dxa"/>
        </w:tblCellMar>
        <w:tblLook w:firstColumn="1" w:firstRow="1" w:lastColumn="0" w:lastRow="0" w:noHBand="0" w:noVBand="1" w:val="04A0"/>
        <w:tblBorders>
          <w:top w:val="single" w:sz="4" w:space="0" w:color="D9D3C4"/>
          <w:left w:val="single" w:sz="4" w:space="0" w:color="D9D3C4"/>
          <w:bottom w:val="single" w:sz="4" w:space="0" w:color="D9D3C4"/>
          <w:right w:val="single" w:sz="4" w:space="0" w:color="D9D3C4"/>
          <w:insideH w:val="single" w:sz="4" w:space="0" w:color="D9D3C4"/>
          <w:insideV w:val="single" w:sz="4" w:space="0" w:color="D9D3C4"/>
        </w:tblBorders>
      </w:tblPr>
      <w:tblGrid>
        <w:gridCol w:w="2687"/>
        <w:gridCol w:w="7779"/>
      </w:tblGrid>
      <w:tr>
        <w:trPr>
          <w:cantSplit/>
          <w:tblHeader/>
        </w:trPr>
        <w:tc>
          <w:tcPr>
            <w:tcW w:type="dxa" w:w="2687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Workshop shorthand</w:t>
            </w:r>
          </w:p>
        </w:tc>
        <w:tc>
          <w:tcPr>
            <w:tcW w:type="dxa" w:w="7779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Correct scope /​ check</w:t>
            </w:r>
          </w:p>
        </w:tc>
      </w:tr>
      <w:tr>
        <w:trPr>
          <w:cantSplit/>
        </w:trPr>
        <w:tc>
          <w:tcPr>
            <w:tcW w:type="dxa" w:w="2687"/>
          </w:tcPr>
          <w:p>
            <w:r>
              <w:rPr>
                <w:sz w:val="17"/>
              </w:rPr>
            </w:r>
            <w:r>
              <w:rPr>
                <w:sz w:val="17"/>
              </w:rPr>
              <w:t>Every row is a real element</w:t>
            </w:r>
          </w:p>
        </w:tc>
        <w:tc>
          <w:tcPr>
            <w:tcW w:type="dxa" w:w="7779"/>
          </w:tcPr>
          <w:p>
            <w:r>
              <w:rPr>
                <w:sz w:val="17"/>
              </w:rPr>
            </w:r>
            <w:r>
              <w:rPr>
                <w:sz w:val="17"/>
              </w:rPr>
              <w:t>An itemised element schedule can show one instance per body row. Grouped rows can represent several elements; headers/​totals are not elements. Material take-offs can show multiple material records for one element; key rows are data definitions</w:t>
            </w:r>
          </w:p>
        </w:tc>
      </w:tr>
      <w:tr>
        <w:trPr>
          <w:cantSplit/>
        </w:trPr>
        <w:tc>
          <w:tcPr>
            <w:tcW w:type="dxa" w:w="2687"/>
          </w:tcPr>
          <w:p>
            <w:r>
              <w:rPr>
                <w:sz w:val="17"/>
              </w:rPr>
            </w:r>
            <w:r>
              <w:rPr>
                <w:sz w:val="17"/>
              </w:rPr>
              <w:t>Selecting any row selects its element</w:t>
            </w:r>
          </w:p>
        </w:tc>
        <w:tc>
          <w:tcPr>
            <w:tcW w:type="dxa" w:w="7779"/>
          </w:tcPr>
          <w:p>
            <w:r>
              <w:rPr>
                <w:sz w:val="17"/>
              </w:rPr>
            </w:r>
            <w:r>
              <w:rPr>
                <w:sz w:val="17"/>
              </w:rPr>
              <w:t>Use Highlight in Model where supported and inspect actual selected IDs/​count; schedule kind, linking and grouping matter</w:t>
            </w:r>
          </w:p>
        </w:tc>
      </w:tr>
      <w:tr>
        <w:trPr>
          <w:cantSplit/>
        </w:trPr>
        <w:tc>
          <w:tcPr>
            <w:tcW w:type="dxa" w:w="2687"/>
          </w:tcPr>
          <w:p>
            <w:r>
              <w:rPr>
                <w:sz w:val="17"/>
              </w:rPr>
            </w:r>
            <w:r>
              <w:rPr>
                <w:sz w:val="17"/>
              </w:rPr>
              <w:t>Grouped edits change only what I can see</w:t>
            </w:r>
          </w:p>
        </w:tc>
        <w:tc>
          <w:tcPr>
            <w:tcW w:type="dxa" w:w="7779"/>
          </w:tcPr>
          <w:p>
            <w:r>
              <w:rPr>
                <w:sz w:val="17"/>
              </w:rPr>
            </w:r>
            <w:r>
              <w:rPr>
                <w:sz w:val="17"/>
              </w:rPr>
              <w:t>Editable instance fields can affect the grouped instances; a type-field edit can affect all instances of that type, including outside the visible schedule. Computed, hosted, linked or read-only fields have different restrictions</w:t>
            </w:r>
          </w:p>
        </w:tc>
      </w:tr>
      <w:tr>
        <w:trPr>
          <w:cantSplit/>
        </w:trPr>
        <w:tc>
          <w:tcPr>
            <w:tcW w:type="dxa" w:w="2687"/>
          </w:tcPr>
          <w:p>
            <w:r>
              <w:rPr>
                <w:sz w:val="17"/>
              </w:rPr>
            </w:r>
            <w:r>
              <w:rPr>
                <w:sz w:val="17"/>
              </w:rPr>
              <w:t>All schedule kinds work identically</w:t>
            </w:r>
          </w:p>
        </w:tc>
        <w:tc>
          <w:tcPr>
            <w:tcW w:type="dxa" w:w="7779"/>
          </w:tcPr>
          <w:p>
            <w:r>
              <w:rPr>
                <w:sz w:val="17"/>
              </w:rPr>
            </w:r>
            <w:r>
              <w:rPr>
                <w:sz w:val="17"/>
              </w:rPr>
              <w:t>Element, material, sheet, view, annotation and key schedules have different fields, scope and editing behaviour</w:t>
            </w:r>
          </w:p>
        </w:tc>
      </w:tr>
      <w:tr>
        <w:trPr>
          <w:cantSplit/>
        </w:trPr>
        <w:tc>
          <w:tcPr>
            <w:tcW w:type="dxa" w:w="2687"/>
          </w:tcPr>
          <w:p>
            <w:r>
              <w:rPr>
                <w:sz w:val="17"/>
              </w:rPr>
            </w:r>
            <w:r>
              <w:rPr>
                <w:sz w:val="17"/>
              </w:rPr>
              <w:t>Filter by sheet always works and includes everything</w:t>
            </w:r>
          </w:p>
        </w:tc>
        <w:tc>
          <w:tcPr>
            <w:tcW w:type="dxa" w:w="7779"/>
          </w:tcPr>
          <w:p>
            <w:r>
              <w:rPr>
                <w:sz w:val="17"/>
              </w:rPr>
            </w:r>
            <w:r>
              <w:rPr>
                <w:sz w:val="17"/>
              </w:rPr>
              <w:t>Verify adopted release, category/​schedule kind and actual sheet visibility. Use a tested fallback where unsupported or incomplete</w:t>
            </w:r>
          </w:p>
        </w:tc>
      </w:tr>
      <w:tr>
        <w:trPr>
          <w:cantSplit/>
        </w:trPr>
        <w:tc>
          <w:tcPr>
            <w:tcW w:type="dxa" w:w="2687"/>
          </w:tcPr>
          <w:p>
            <w:r>
              <w:rPr>
                <w:sz w:val="17"/>
              </w:rPr>
            </w:r>
            <w:r>
              <w:rPr>
                <w:sz w:val="17"/>
              </w:rPr>
              <w:t>Multi-category includes all wall/​floor/​material data</w:t>
            </w:r>
          </w:p>
        </w:tc>
        <w:tc>
          <w:tcPr>
            <w:tcW w:type="dxa" w:w="7779"/>
          </w:tcPr>
          <w:p>
            <w:r>
              <w:rPr>
                <w:sz w:val="17"/>
              </w:rPr>
            </w:r>
            <w:r>
              <w:rPr>
                <w:sz w:val="17"/>
              </w:rPr>
              <w:t>Inclusion/​fields depend on category and release. Prove required category coverage; use per-category or material schedules and a controlled reconciliation if needed</w:t>
            </w:r>
          </w:p>
        </w:tc>
      </w:tr>
      <w:tr>
        <w:trPr>
          <w:cantSplit/>
        </w:trPr>
        <w:tc>
          <w:tcPr>
            <w:tcW w:type="dxa" w:w="2687"/>
          </w:tcPr>
          <w:p>
            <w:r>
              <w:rPr>
                <w:sz w:val="17"/>
              </w:rPr>
            </w:r>
            <w:r>
              <w:rPr>
                <w:sz w:val="17"/>
              </w:rPr>
              <w:t>Filter blanks out</w:t>
            </w:r>
          </w:p>
        </w:tc>
        <w:tc>
          <w:tcPr>
            <w:tcW w:type="dxa" w:w="7779"/>
          </w:tcPr>
          <w:p>
            <w:r>
              <w:rPr>
                <w:sz w:val="17"/>
              </w:rPr>
            </w:r>
            <w:r>
              <w:rPr>
                <w:sz w:val="17"/>
              </w:rPr>
              <w:t>Presentation may filter blanks only while a separate unfiltered exception audit exposes mandatory failures</w:t>
            </w:r>
          </w:p>
        </w:tc>
      </w:tr>
      <w:tr>
        <w:trPr>
          <w:cantSplit/>
        </w:trPr>
        <w:tc>
          <w:tcPr>
            <w:tcW w:type="dxa" w:w="2687"/>
          </w:tcPr>
          <w:p>
            <w:r>
              <w:rPr>
                <w:sz w:val="17"/>
              </w:rPr>
            </w:r>
            <w:r>
              <w:rPr>
                <w:sz w:val="17"/>
              </w:rPr>
              <w:t>Copy/​paste schedule brings every needed definition</w:t>
            </w:r>
          </w:p>
        </w:tc>
        <w:tc>
          <w:tcPr>
            <w:tcW w:type="dxa" w:w="7779"/>
          </w:tcPr>
          <w:p>
            <w:r>
              <w:rPr>
                <w:sz w:val="17"/>
              </w:rPr>
            </w:r>
            <w:r>
              <w:rPr>
                <w:sz w:val="17"/>
              </w:rPr>
              <w:t>Use the supported schedule-reuse route; inspect fields, bindings, filters/​templates/​phase and source/​target differences after transfer</w:t>
            </w:r>
          </w:p>
        </w:tc>
      </w:tr>
    </w:tbl>
    <w:p/>
    <w:p>
      <w:pPr/>
      <w:r>
        <w:rPr>
          <w:b/>
        </w:rPr>
        <w:t>Keep this warning:</w:t>
      </w:r>
      <w:r>
        <w:t xml:space="preserve"> editing a schedule edits model information. A grouped row can contain many objects; deleting selected element records can remove their geometry and associated data. Key/material/linked schedule operations have distinct behaviour. Before an edit or deletion preserve a snapshot, identify schedule kind and affected IDs/types, inspect dependencies, obtain the required decision and prove the result in a controlled sample. Do not treat a blank-looking row as an empty spreadsheet row.</w:t>
      </w:r>
    </w:p>
    <w:p>
      <w:pPr>
        <w:pStyle w:val="Heading1"/>
      </w:pPr>
      <w:r>
        <w:t>Schedule specification — fill before creating the view</w:t>
      </w:r>
    </w:p>
    <w:tbl>
      <w:tblPr>
        <w:tblStyle w:val="TableGrid"/>
        <w:tblW w:type="auto" w:w="0"/>
        <w:tblLayout w:type="fixed"/>
        <w:tblCellMar>
          <w:left w:w="45" w:type="dxa"/>
          <w:right w:w="45" w:type="dxa"/>
        </w:tblCellMar>
        <w:tblLook w:firstColumn="1" w:firstRow="1" w:lastColumn="0" w:lastRow="0" w:noHBand="0" w:noVBand="1" w:val="04A0"/>
        <w:tblBorders>
          <w:top w:val="single" w:sz="4" w:space="0" w:color="D9D3C4"/>
          <w:left w:val="single" w:sz="4" w:space="0" w:color="D9D3C4"/>
          <w:bottom w:val="single" w:sz="4" w:space="0" w:color="D9D3C4"/>
          <w:right w:val="single" w:sz="4" w:space="0" w:color="D9D3C4"/>
          <w:insideH w:val="single" w:sz="4" w:space="0" w:color="D9D3C4"/>
          <w:insideV w:val="single" w:sz="4" w:space="0" w:color="D9D3C4"/>
        </w:tblBorders>
      </w:tblPr>
      <w:tblGrid>
        <w:gridCol w:w="1807"/>
        <w:gridCol w:w="8659"/>
      </w:tblGrid>
      <w:tr>
        <w:trPr>
          <w:cantSplit/>
          <w:tblHeader/>
        </w:trPr>
        <w:tc>
          <w:tcPr>
            <w:tcW w:type="dxa" w:w="1807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Field</w:t>
            </w:r>
          </w:p>
        </w:tc>
        <w:tc>
          <w:tcPr>
            <w:tcW w:type="dxa" w:w="8659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Required definition</w:t>
            </w:r>
          </w:p>
        </w:tc>
      </w:tr>
      <w:tr>
        <w:trPr>
          <w:cantSplit/>
        </w:trPr>
        <w:tc>
          <w:tcPr>
            <w:tcW w:type="dxa" w:w="1807"/>
          </w:tcPr>
          <w:p>
            <w:r>
              <w:rPr>
                <w:sz w:val="17"/>
              </w:rPr>
            </w:r>
            <w:r>
              <w:rPr>
                <w:sz w:val="17"/>
              </w:rPr>
              <w:t>Name /​ owner /​ use</w:t>
            </w:r>
          </w:p>
        </w:tc>
        <w:tc>
          <w:tcPr>
            <w:tcW w:type="dxa" w:w="8659"/>
          </w:tcPr>
          <w:p>
            <w:r>
              <w:rPr>
                <w:sz w:val="17"/>
              </w:rPr>
            </w:r>
            <w:r>
              <w:rPr>
                <w:sz w:val="17"/>
              </w:rPr>
              <w:t>Audit, quantity, issue schedule or legend; responsible data/​discipline owner</w:t>
            </w:r>
          </w:p>
        </w:tc>
      </w:tr>
      <w:tr>
        <w:trPr>
          <w:cantSplit/>
        </w:trPr>
        <w:tc>
          <w:tcPr>
            <w:tcW w:type="dxa" w:w="1807"/>
          </w:tcPr>
          <w:p>
            <w:r>
              <w:rPr>
                <w:sz w:val="17"/>
              </w:rPr>
            </w:r>
            <w:r>
              <w:rPr>
                <w:sz w:val="17"/>
              </w:rPr>
              <w:t>Scope</w:t>
            </w:r>
          </w:p>
        </w:tc>
        <w:tc>
          <w:tcPr>
            <w:tcW w:type="dxa" w:w="8659"/>
          </w:tcPr>
          <w:p>
            <w:r>
              <w:rPr>
                <w:sz w:val="17"/>
              </w:rPr>
            </w:r>
            <w:r>
              <w:rPr>
                <w:sz w:val="17"/>
              </w:rPr>
              <w:t>Category/​schedule kind; model + linked container revisions; level/​zone; intended phase/​filter and exclusions</w:t>
            </w:r>
          </w:p>
        </w:tc>
      </w:tr>
      <w:tr>
        <w:trPr>
          <w:cantSplit/>
        </w:trPr>
        <w:tc>
          <w:tcPr>
            <w:tcW w:type="dxa" w:w="1807"/>
          </w:tcPr>
          <w:p>
            <w:r>
              <w:rPr>
                <w:sz w:val="17"/>
              </w:rPr>
            </w:r>
            <w:r>
              <w:rPr>
                <w:sz w:val="17"/>
              </w:rPr>
              <w:t>Identity</w:t>
            </w:r>
          </w:p>
        </w:tc>
        <w:tc>
          <w:tcPr>
            <w:tcW w:type="dxa" w:w="8659"/>
          </w:tcPr>
          <w:p>
            <w:r>
              <w:rPr>
                <w:sz w:val="17"/>
              </w:rPr>
            </w:r>
            <w:r>
              <w:rPr>
                <w:sz w:val="17"/>
              </w:rPr>
              <w:t>Stable element key or agreed exchange identifier; unique instance mark; controlled type/​material code</w:t>
            </w:r>
          </w:p>
        </w:tc>
      </w:tr>
      <w:tr>
        <w:trPr>
          <w:cantSplit/>
        </w:trPr>
        <w:tc>
          <w:tcPr>
            <w:tcW w:type="dxa" w:w="1807"/>
          </w:tcPr>
          <w:p>
            <w:r>
              <w:rPr>
                <w:sz w:val="17"/>
              </w:rPr>
            </w:r>
            <w:r>
              <w:rPr>
                <w:sz w:val="17"/>
              </w:rPr>
              <w:t>Fields</w:t>
            </w:r>
          </w:p>
        </w:tc>
        <w:tc>
          <w:tcPr>
            <w:tcW w:type="dxa" w:w="8659"/>
          </w:tcPr>
          <w:p>
            <w:r>
              <w:rPr>
                <w:sz w:val="17"/>
              </w:rPr>
            </w:r>
            <w:r>
              <w:rPr>
                <w:sz w:val="17"/>
              </w:rPr>
              <w:t>Display label, source property identity/​GUID where applicable, category binding, type/​instance, definition and required status</w:t>
            </w:r>
          </w:p>
        </w:tc>
      </w:tr>
      <w:tr>
        <w:trPr>
          <w:cantSplit/>
        </w:trPr>
        <w:tc>
          <w:tcPr>
            <w:tcW w:type="dxa" w:w="1807"/>
          </w:tcPr>
          <w:p>
            <w:r>
              <w:rPr>
                <w:sz w:val="17"/>
              </w:rPr>
            </w:r>
            <w:r>
              <w:rPr>
                <w:sz w:val="17"/>
              </w:rPr>
              <w:t>Units and precision</w:t>
            </w:r>
          </w:p>
        </w:tc>
        <w:tc>
          <w:tcPr>
            <w:tcW w:type="dxa" w:w="8659"/>
          </w:tcPr>
          <w:p>
            <w:r>
              <w:rPr>
                <w:sz w:val="17"/>
              </w:rPr>
            </w:r>
            <w:r>
              <w:rPr>
                <w:sz w:val="17"/>
              </w:rPr>
              <w:t>Underlying data type/​unit; displayed/​export unit; precision; decimal symbol; calculation expression</w:t>
            </w:r>
          </w:p>
        </w:tc>
      </w:tr>
      <w:tr>
        <w:trPr>
          <w:cantSplit/>
        </w:trPr>
        <w:tc>
          <w:tcPr>
            <w:tcW w:type="dxa" w:w="1807"/>
          </w:tcPr>
          <w:p>
            <w:r>
              <w:rPr>
                <w:sz w:val="17"/>
              </w:rPr>
            </w:r>
            <w:r>
              <w:rPr>
                <w:sz w:val="17"/>
              </w:rPr>
              <w:t>Grouping</w:t>
            </w:r>
          </w:p>
        </w:tc>
        <w:tc>
          <w:tcPr>
            <w:tcW w:type="dxa" w:w="8659"/>
          </w:tcPr>
          <w:p>
            <w:r>
              <w:rPr>
                <w:sz w:val="17"/>
              </w:rPr>
            </w:r>
            <w:r>
              <w:rPr>
                <w:sz w:val="17"/>
              </w:rPr>
              <w:t>Sort keys; Itemize every instance on/​off; counts, totals, headers/​footers and handling of differing values</w:t>
            </w:r>
          </w:p>
        </w:tc>
      </w:tr>
      <w:tr>
        <w:trPr>
          <w:cantSplit/>
        </w:trPr>
        <w:tc>
          <w:tcPr>
            <w:tcW w:type="dxa" w:w="1807"/>
          </w:tcPr>
          <w:p>
            <w:r>
              <w:rPr>
                <w:sz w:val="17"/>
              </w:rPr>
            </w:r>
            <w:r>
              <w:rPr>
                <w:sz w:val="17"/>
              </w:rPr>
              <w:t>Filters</w:t>
            </w:r>
          </w:p>
        </w:tc>
        <w:tc>
          <w:tcPr>
            <w:tcW w:type="dxa" w:w="8659"/>
          </w:tcPr>
          <w:p>
            <w:r>
              <w:rPr>
                <w:sz w:val="17"/>
              </w:rPr>
            </w:r>
            <w:r>
              <w:rPr>
                <w:sz w:val="17"/>
              </w:rPr>
              <w:t>Exact field/​operator/​value, phase scope and link inclusion; hidden fields used for checks retained</w:t>
            </w:r>
          </w:p>
        </w:tc>
      </w:tr>
      <w:tr>
        <w:trPr>
          <w:cantSplit/>
        </w:trPr>
        <w:tc>
          <w:tcPr>
            <w:tcW w:type="dxa" w:w="1807"/>
          </w:tcPr>
          <w:p>
            <w:r>
              <w:rPr>
                <w:sz w:val="17"/>
              </w:rPr>
            </w:r>
            <w:r>
              <w:rPr>
                <w:sz w:val="17"/>
              </w:rPr>
              <w:t>Exceptions</w:t>
            </w:r>
          </w:p>
        </w:tc>
        <w:tc>
          <w:tcPr>
            <w:tcW w:type="dxa" w:w="8659"/>
          </w:tcPr>
          <w:p>
            <w:r>
              <w:rPr>
                <w:sz w:val="17"/>
              </w:rPr>
            </w:r>
            <w:r>
              <w:rPr>
                <w:sz w:val="17"/>
              </w:rPr>
              <w:t>Blank/​duplicate ID/​code, invalid key/​required property, wrong phase/​scope and abnormal quantity tests</w:t>
            </w:r>
          </w:p>
        </w:tc>
      </w:tr>
      <w:tr>
        <w:trPr>
          <w:cantSplit/>
        </w:trPr>
        <w:tc>
          <w:tcPr>
            <w:tcW w:type="dxa" w:w="1807"/>
          </w:tcPr>
          <w:p>
            <w:r>
              <w:rPr>
                <w:sz w:val="17"/>
              </w:rPr>
            </w:r>
            <w:r>
              <w:rPr>
                <w:sz w:val="17"/>
              </w:rPr>
              <w:t>Presentation</w:t>
            </w:r>
          </w:p>
        </w:tc>
        <w:tc>
          <w:tcPr>
            <w:tcW w:type="dxa" w:w="8659"/>
          </w:tcPr>
          <w:p>
            <w:r>
              <w:rPr>
                <w:sz w:val="17"/>
              </w:rPr>
            </w:r>
            <w:r>
              <w:rPr>
                <w:sz w:val="17"/>
              </w:rPr>
              <w:t>Template revision and controlled properties; column order/​headings, scale-independent sheet legibility</w:t>
            </w:r>
          </w:p>
        </w:tc>
      </w:tr>
      <w:tr>
        <w:trPr>
          <w:cantSplit/>
        </w:trPr>
        <w:tc>
          <w:tcPr>
            <w:tcW w:type="dxa" w:w="1807"/>
          </w:tcPr>
          <w:p>
            <w:r>
              <w:rPr>
                <w:sz w:val="17"/>
              </w:rPr>
            </w:r>
            <w:r>
              <w:rPr>
                <w:sz w:val="17"/>
              </w:rPr>
              <w:t>Export</w:t>
            </w:r>
          </w:p>
        </w:tc>
        <w:tc>
          <w:tcPr>
            <w:tcW w:type="dxa" w:w="8659"/>
          </w:tcPr>
          <w:p>
            <w:r>
              <w:rPr>
                <w:sz w:val="17"/>
              </w:rPr>
            </w:r>
            <w:r>
              <w:rPr>
                <w:sz w:val="17"/>
              </w:rPr>
              <w:t>Format/​delimiter/​encoding, profile, field mapping, receiver version and required comparison</w:t>
            </w:r>
          </w:p>
        </w:tc>
      </w:tr>
      <w:tr>
        <w:trPr>
          <w:cantSplit/>
        </w:trPr>
        <w:tc>
          <w:tcPr>
            <w:tcW w:type="dxa" w:w="1807"/>
          </w:tcPr>
          <w:p>
            <w:r>
              <w:rPr>
                <w:sz w:val="17"/>
              </w:rPr>
            </w:r>
            <w:r>
              <w:rPr>
                <w:sz w:val="17"/>
              </w:rPr>
              <w:t>Lineage /​ approval</w:t>
            </w:r>
          </w:p>
        </w:tc>
        <w:tc>
          <w:tcPr>
            <w:tcW w:type="dxa" w:w="8659"/>
          </w:tcPr>
          <w:p>
            <w:r>
              <w:rPr>
                <w:sz w:val="17"/>
              </w:rPr>
            </w:r>
            <w:r>
              <w:rPr>
                <w:sz w:val="17"/>
              </w:rPr>
              <w:t>Source model/​link revision, schedule settings revision, export revision/​date, checker and exchange decision</w:t>
            </w:r>
          </w:p>
        </w:tc>
      </w:tr>
    </w:tbl>
    <w:p/>
    <w:p>
      <w:pPr/>
      <w:r>
        <w:t>A visible heading renamed CODE does not change the underlying property's identity. Hidden fields can retain filtering/sorting information; document them. Combined text parameters can form a display label such as EF-01, but the receiver still needs defined fields/keys. Numeric calculated values require dimensionally consistent units and an independent expected-result test.</w:t>
      </w:r>
    </w:p>
    <w:p>
      <w:pPr>
        <w:pStyle w:val="Heading1"/>
      </w:pPr>
      <w:r>
        <w:t>Step-by-step procedure</w:t>
      </w:r>
    </w:p>
    <w:p>
      <w:pPr>
        <w:pStyle w:val="ListParagraph"/>
        <w:spacing w:after="40"/>
        <w:ind w:left="360" w:hanging="280"/>
      </w:pPr>
      <w:r>
        <w:t xml:space="preserve">1.  </w:t>
      </w:r>
      <w:r>
        <w:rPr>
          <w:b/>
        </w:rPr>
        <w:t>Select a purpose and schedule kind.</w:t>
      </w:r>
      <w:r>
        <w:t xml:space="preserve"> Use View → Schedules and the supported Schedule/Quantities, Material Takeoff, Sheet List, Note Block, View List or key schedule route. Choose the category and phase where applicable. Confirm category/linked/sheet-filter capability in the adopted Revit build. Do not select a multi-category view merely because the title sounds inclusive.</w:t>
      </w:r>
    </w:p>
    <w:p>
      <w:pPr>
        <w:pStyle w:val="ListParagraph"/>
        <w:spacing w:after="40"/>
        <w:ind w:left="360" w:hanging="280"/>
      </w:pPr>
      <w:r>
        <w:t xml:space="preserve">2.  </w:t>
      </w:r>
      <w:r>
        <w:rPr>
          <w:b/>
        </w:rPr>
        <w:t>Define fields and identities.</w:t>
      </w:r>
      <w:r>
        <w:t xml:space="preserve"> Complete the specification. Order fields as the intended left-to-right report. Select built-in or approved project/shared fields; record their definitions, units, GUID/binding and instance/type scope. For repeated data use approved shared definitions rather than same-name copies. Type Mark/Description may carry the agreed type/material codes; unique instance IDs remain separate. Classification table/code/release belongs in the controlled dictionary if required.</w:t>
      </w:r>
    </w:p>
    <w:p>
      <w:pPr>
        <w:pStyle w:val="ListParagraph"/>
        <w:spacing w:after="40"/>
        <w:ind w:left="360" w:hanging="280"/>
      </w:pPr>
      <w:r>
        <w:t xml:space="preserve">3.  </w:t>
      </w:r>
      <w:r>
        <w:rPr>
          <w:b/>
        </w:rPr>
        <w:t>Use controlled keys where suitable.</w:t>
      </w:r>
      <w:r>
        <w:t xml:space="preserve"> Key schedules use instance parameters (A17). For room finishes, use the approved RoomFinishKey and fields from guide 33; test that changing a key populates intended instances and that overrides/exceptions follow the agreed policy. A type-level value is not a key-schedule instance field. Preserve required shared property identities in tags, schedules and exchange mappings.</w:t>
      </w:r>
    </w:p>
    <w:p>
      <w:pPr>
        <w:pStyle w:val="ListParagraph"/>
        <w:spacing w:after="40"/>
        <w:ind w:left="360" w:hanging="280"/>
      </w:pPr>
      <w:r>
        <w:t xml:space="preserve">4.  </w:t>
      </w:r>
      <w:r>
        <w:rPr>
          <w:b/>
        </w:rPr>
        <w:t>Build the itemised audit first.</w:t>
      </w:r>
      <w:r>
        <w:t xml:space="preserve"> Include stable ID, instance mark, type/material code, phase/level, required fields and quantity. Itemise every instance for element-level reconciliation. Keep counts and raw values visible. Identify read-only/computed/linked/type fields before any edit; not every parameter displayed can be changed. Link inclusion is a separate scope decision with source revision and tested host/linked counts.</w:t>
      </w:r>
    </w:p>
    <w:p>
      <w:pPr>
        <w:pStyle w:val="ListParagraph"/>
        <w:spacing w:after="40"/>
        <w:ind w:left="360" w:hanging="280"/>
      </w:pPr>
      <w:r>
        <w:t xml:space="preserve">5.  </w:t>
      </w:r>
      <w:r>
        <w:rPr>
          <w:b/>
        </w:rPr>
        <w:t>Test filters, grouping and totals.</w:t>
      </w:r>
      <w:r>
        <w:t xml:space="preserve"> Run the known dataset below. Compare itemised count and sum to independent arithmetic; then group by approved keys and ensure grouped counts/totals preserve the same scope. Differing values may show Varies or configured behaviour; neither an empty-looking cell nor a single row proves homogeneity. Test phase, linked scope, decimal units and numeric expressions before presentation.</w:t>
      </w:r>
    </w:p>
    <w:p>
      <w:pPr>
        <w:pStyle w:val="ListParagraph"/>
        <w:spacing w:after="40"/>
        <w:ind w:left="360" w:hanging="280"/>
      </w:pPr>
      <w:r>
        <w:t xml:space="preserve">6.  </w:t>
      </w:r>
      <w:r>
        <w:rPr>
          <w:b/>
        </w:rPr>
        <w:t>Maintain exception schedules.</w:t>
      </w:r>
      <w:r>
        <w:t xml:space="preserve"> Keep unfiltered QA scope alongside presentation schedules. Expose missing/duplicate instance IDs and required codes, invalid finish/classification keys, wrong worksets, unexpected phase, orphan/unmatched links and abnormal zero/unexpected values. A duplicate type code across multiple instances of the same type is expected; one code assigned to two distinct types may be a dictionary collision. Inspect duplicates against the correct identity level. Revit filters alone may not implement every duplicate/range test: use a keyed exported comparison with retained evidence where necessary.</w:t>
      </w:r>
    </w:p>
    <w:p>
      <w:pPr>
        <w:pStyle w:val="ListParagraph"/>
        <w:spacing w:after="40"/>
        <w:ind w:left="360" w:hanging="280"/>
      </w:pPr>
      <w:r>
        <w:t xml:space="preserve">7.  </w:t>
      </w:r>
      <w:r>
        <w:rPr>
          <w:b/>
        </w:rPr>
        <w:t>Edit or delete only with the scope proved.</w:t>
      </w:r>
      <w:r>
        <w:t xml:space="preserve"> Save model revision and pre-edit itemised values/IDs; ungroup for precise instance edits where practical. Highlight/select and inspect affected count. For type edits review all instances of that type across the project. For linked data route changes to the owning linked model. For computed/read-only values fix the responsible input/host under review. A grouped element-row deletion can remove several physical objects; require intent/dependency review and recovery, not merely a formatting preference. Test a reversible sample first and diff all affected fields/counts before the approved batch.</w:t>
      </w:r>
    </w:p>
    <w:p>
      <w:pPr>
        <w:pStyle w:val="ListParagraph"/>
        <w:spacing w:after="40"/>
        <w:ind w:left="360" w:hanging="280"/>
      </w:pPr>
      <w:r>
        <w:t xml:space="preserve">8.  </w:t>
      </w:r>
      <w:r>
        <w:rPr>
          <w:b/>
        </w:rPr>
        <w:t>Format the checked presentation.</w:t>
      </w:r>
      <w:r>
        <w:t xml:space="preserve"> Apply the approved schedule template and review which properties it controls; not every schedule setting is automatically locked. Set headings, field widths/order, unit display, alignment, grids/header shading and sheet legibility. Use an empty-code filter for a legend only after the exception audit is checked and required omissions are corrected. Do not hide unresolved failures in the issued output.</w:t>
      </w:r>
    </w:p>
    <w:p>
      <w:pPr>
        <w:pStyle w:val="ListParagraph"/>
        <w:spacing w:after="40"/>
        <w:ind w:left="360" w:hanging="280"/>
      </w:pPr>
      <w:r>
        <w:t xml:space="preserve">9.  </w:t>
      </w:r>
      <w:r>
        <w:rPr>
          <w:b/>
        </w:rPr>
        <w:t>Build a finishes legend from controlled data.</w:t>
      </w:r>
      <w:r>
        <w:t xml:space="preserve"> Use agreed wall/type codes and descriptions or material Mark/Description in a material take-off. Confirm whether the object type or the actual material is being tagged; a wall tag and material tag are not interchangeable. Test Filter by Sheet with the actual schedule/category/release and a sheet containing known views. If unsupported, use a documented sheet/zone key or a checked per-category list, with reconciliation to the placed views. Do not claim that a mixed-category legend covers categories that the test omits. Keep material code/specification ownership aligned with the QS/discipline role.</w:t>
      </w:r>
    </w:p>
    <w:p>
      <w:pPr>
        <w:pStyle w:val="ListParagraph"/>
        <w:spacing w:after="40"/>
        <w:ind w:left="360" w:hanging="280"/>
      </w:pPr>
      <w:r>
        <w:t xml:space="preserve">10.  </w:t>
      </w:r>
      <w:r>
        <w:rPr>
          <w:b/>
        </w:rPr>
        <w:t>Reuse settings through a tested route.</w:t>
      </w:r>
      <w:r>
        <w:t xml:space="preserve"> Use Revit's supported schedule insertion/reuse operation for the adopted release. Verify source/target category, fields/shared GUIDs, bindings, template, units, phase, filters and calculated values on a small target model. Retest after a transfer; an identical display name does not prove identical meanings or correct units. Record changed dependencies rather than copying from an unrelated project without review.</w:t>
      </w:r>
    </w:p>
    <w:p>
      <w:pPr>
        <w:pStyle w:val="ListParagraph"/>
        <w:spacing w:after="40"/>
        <w:ind w:left="360" w:hanging="280"/>
      </w:pPr>
      <w:r>
        <w:t xml:space="preserve">11.  </w:t>
      </w:r>
      <w:r>
        <w:rPr>
          <w:b/>
        </w:rPr>
        <w:t>Export and validate the receiver.</w:t>
      </w:r>
      <w:r>
        <w:t xml:space="preserve"> Export a delimited schedule or approved exchange; record model/link and schedule settings revisions, profile/format, delimiter/encoding, units/decimal policy, grouping and export date. Supply the mapping table below. In the receiver compare stable keys, row/element counts, expected fields/types/units, missing/duplicate codes and independently calculated totals. Preserve leading zeros and distinguish text codes from numbers. A grouped export needs count/key information sufficient for the intended purpose; retain the itemised audit for reconciliation.</w:t>
      </w:r>
    </w:p>
    <w:p>
      <w:pPr>
        <w:pStyle w:val="ListParagraph"/>
        <w:spacing w:after="40"/>
        <w:ind w:left="360" w:hanging="280"/>
      </w:pPr>
      <w:r>
        <w:t xml:space="preserve">12.  </w:t>
      </w:r>
      <w:r>
        <w:rPr>
          <w:b/>
        </w:rPr>
        <w:t>Check the final sheet/package and issue.</w:t>
      </w:r>
      <w:r>
        <w:t xml:space="preserve"> Reconcile the displayed/printed schedule and legend to the same model revision as the export; compare representative values and totals visually. Native model changes after review invalidate the output baseline until affected checks are repeated. Record producer/checker, appointed authorisation/recipient acceptance, rejection/correction/resubmission and retained superseded evidence. A renamed Published view or live schedule update does not update the recorded formal issue automatically.</w:t>
      </w:r>
    </w:p>
    <w:p>
      <w:r>
        <w:drawing>
          <wp:inline xmlns:a="http://schemas.openxmlformats.org/drawingml/2006/main" xmlns:pic="http://schemas.openxmlformats.org/drawingml/2006/picture">
            <wp:extent cx="6645910" cy="373832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BM-STD-36-schedule-release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7383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rPr>
          <w:i/>
        </w:rPr>
        <w:t>Specify, audit, expose failures, reconcile and approve a revision before using schedules as exchange evidence.</w:t>
      </w:r>
    </w:p>
    <w:p>
      <w:r>
        <w:drawing>
          <wp:inline xmlns:a="http://schemas.openxmlformats.org/drawingml/2006/main" xmlns:pic="http://schemas.openxmlformats.org/drawingml/2006/picture">
            <wp:extent cx="6645910" cy="373832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BM-STD-36-itemised-grouped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7383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rPr>
          <w:i/>
        </w:rPr>
        <w:t>Grouping reduces presentation rows, while object count and edit scope remain explicit.</w:t>
      </w:r>
    </w:p>
    <w:p>
      <w:pPr>
        <w:pStyle w:val="Heading1"/>
      </w:pPr>
      <w:r>
        <w:t>Known-data exercise — five elements and intentional faults</w:t>
      </w:r>
    </w:p>
    <w:p>
      <w:pPr/>
      <w:r>
        <w:t>Create five synthetic wall instances in the exercise's New phase. Populate a required instance DataID with the listed test keys; link it to the office-approved shared definition and Walls instance binding. Use approved type-code definitions for the exercise; do not invent production GUIDs.</w:t>
      </w:r>
    </w:p>
    <w:tbl>
      <w:tblPr>
        <w:tblStyle w:val="TableGrid"/>
        <w:tblW w:type="auto" w:w="0"/>
        <w:tblLayout w:type="fixed"/>
        <w:tblCellMar>
          <w:left w:w="45" w:type="dxa"/>
          <w:right w:w="45" w:type="dxa"/>
        </w:tblCellMar>
        <w:tblLook w:firstColumn="1" w:firstRow="1" w:lastColumn="0" w:lastRow="0" w:noHBand="0" w:noVBand="1" w:val="04A0"/>
        <w:tblBorders>
          <w:top w:val="single" w:sz="4" w:space="0" w:color="D9D3C4"/>
          <w:left w:val="single" w:sz="4" w:space="0" w:color="D9D3C4"/>
          <w:bottom w:val="single" w:sz="4" w:space="0" w:color="D9D3C4"/>
          <w:right w:val="single" w:sz="4" w:space="0" w:color="D9D3C4"/>
          <w:insideH w:val="single" w:sz="4" w:space="0" w:color="D9D3C4"/>
          <w:insideV w:val="single" w:sz="4" w:space="0" w:color="D9D3C4"/>
        </w:tblBorders>
      </w:tblPr>
      <w:tblGrid>
        <w:gridCol w:w="1473"/>
        <w:gridCol w:w="1324"/>
        <w:gridCol w:w="2169"/>
        <w:gridCol w:w="1813"/>
        <w:gridCol w:w="2254"/>
        <w:gridCol w:w="1433"/>
      </w:tblGrid>
      <w:tr>
        <w:trPr>
          <w:cantSplit/>
          <w:tblHeader/>
        </w:trPr>
        <w:tc>
          <w:tcPr>
            <w:tcW w:type="dxa" w:w="1473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DataID</w:t>
            </w:r>
          </w:p>
        </w:tc>
        <w:tc>
          <w:tcPr>
            <w:tcW w:type="dxa" w:w="1324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Type</w:t>
            </w:r>
          </w:p>
        </w:tc>
        <w:tc>
          <w:tcPr>
            <w:tcW w:type="dxa" w:w="2169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Instance Mark</w:t>
            </w:r>
          </w:p>
        </w:tc>
        <w:tc>
          <w:tcPr>
            <w:tcW w:type="dxa" w:w="1813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Type code</w:t>
            </w:r>
          </w:p>
        </w:tc>
        <w:tc>
          <w:tcPr>
            <w:tcW w:type="dxa" w:w="2254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Known area m²</w:t>
            </w:r>
          </w:p>
        </w:tc>
        <w:tc>
          <w:tcPr>
            <w:tcW w:type="dxa" w:w="1433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Phase</w:t>
            </w:r>
          </w:p>
        </w:tc>
      </w:tr>
      <w:tr>
        <w:trPr>
          <w:cantSplit/>
        </w:trPr>
        <w:tc>
          <w:tcPr>
            <w:tcW w:type="dxa" w:w="1473"/>
          </w:tcPr>
          <w:p>
            <w:r>
              <w:rPr>
                <w:sz w:val="17"/>
              </w:rPr>
            </w:r>
            <w:r>
              <w:rPr>
                <w:sz w:val="17"/>
              </w:rPr>
              <w:t>W01</w:t>
            </w:r>
          </w:p>
        </w:tc>
        <w:tc>
          <w:tcPr>
            <w:tcW w:type="dxa" w:w="1324"/>
          </w:tcPr>
          <w:p>
            <w:r>
              <w:rPr>
                <w:sz w:val="17"/>
              </w:rPr>
            </w:r>
            <w:r>
              <w:rPr>
                <w:sz w:val="17"/>
              </w:rPr>
              <w:t>A</w:t>
            </w:r>
          </w:p>
        </w:tc>
        <w:tc>
          <w:tcPr>
            <w:tcW w:type="dxa" w:w="2169"/>
          </w:tcPr>
          <w:p>
            <w:r>
              <w:rPr>
                <w:sz w:val="17"/>
              </w:rPr>
            </w:r>
            <w:r>
              <w:rPr>
                <w:sz w:val="17"/>
              </w:rPr>
              <w:t>001</w:t>
            </w:r>
          </w:p>
        </w:tc>
        <w:tc>
          <w:tcPr>
            <w:tcW w:type="dxa" w:w="1813"/>
          </w:tcPr>
          <w:p>
            <w:r>
              <w:rPr>
                <w:sz w:val="17"/>
              </w:rPr>
            </w:r>
            <w:r>
              <w:rPr>
                <w:sz w:val="17"/>
              </w:rPr>
              <w:t>WF01</w:t>
            </w:r>
          </w:p>
        </w:tc>
        <w:tc>
          <w:tcPr>
            <w:tcW w:type="dxa" w:w="2254"/>
          </w:tcPr>
          <w:p>
            <w:r>
              <w:rPr>
                <w:sz w:val="17"/>
              </w:rPr>
            </w:r>
            <w:r>
              <w:rPr>
                <w:sz w:val="17"/>
              </w:rPr>
              <w:t>10.00</w:t>
            </w:r>
          </w:p>
        </w:tc>
        <w:tc>
          <w:tcPr>
            <w:tcW w:type="dxa" w:w="1433"/>
          </w:tcPr>
          <w:p>
            <w:r>
              <w:rPr>
                <w:sz w:val="17"/>
              </w:rPr>
            </w:r>
            <w:r>
              <w:rPr>
                <w:sz w:val="17"/>
              </w:rPr>
              <w:t>New</w:t>
            </w:r>
          </w:p>
        </w:tc>
      </w:tr>
      <w:tr>
        <w:trPr>
          <w:cantSplit/>
        </w:trPr>
        <w:tc>
          <w:tcPr>
            <w:tcW w:type="dxa" w:w="1473"/>
          </w:tcPr>
          <w:p>
            <w:r>
              <w:rPr>
                <w:sz w:val="17"/>
              </w:rPr>
            </w:r>
            <w:r>
              <w:rPr>
                <w:sz w:val="17"/>
              </w:rPr>
              <w:t>W02</w:t>
            </w:r>
          </w:p>
        </w:tc>
        <w:tc>
          <w:tcPr>
            <w:tcW w:type="dxa" w:w="1324"/>
          </w:tcPr>
          <w:p>
            <w:r>
              <w:rPr>
                <w:sz w:val="17"/>
              </w:rPr>
            </w:r>
            <w:r>
              <w:rPr>
                <w:sz w:val="17"/>
              </w:rPr>
              <w:t>A</w:t>
            </w:r>
          </w:p>
        </w:tc>
        <w:tc>
          <w:tcPr>
            <w:tcW w:type="dxa" w:w="2169"/>
          </w:tcPr>
          <w:p>
            <w:r>
              <w:rPr>
                <w:sz w:val="17"/>
              </w:rPr>
            </w:r>
            <w:r>
              <w:rPr>
                <w:sz w:val="17"/>
              </w:rPr>
              <w:t>002</w:t>
            </w:r>
          </w:p>
        </w:tc>
        <w:tc>
          <w:tcPr>
            <w:tcW w:type="dxa" w:w="1813"/>
          </w:tcPr>
          <w:p>
            <w:r>
              <w:rPr>
                <w:sz w:val="17"/>
              </w:rPr>
            </w:r>
            <w:r>
              <w:rPr>
                <w:sz w:val="17"/>
              </w:rPr>
              <w:t>WF01</w:t>
            </w:r>
          </w:p>
        </w:tc>
        <w:tc>
          <w:tcPr>
            <w:tcW w:type="dxa" w:w="2254"/>
          </w:tcPr>
          <w:p>
            <w:r>
              <w:rPr>
                <w:sz w:val="17"/>
              </w:rPr>
            </w:r>
            <w:r>
              <w:rPr>
                <w:sz w:val="17"/>
              </w:rPr>
              <w:t>12.00</w:t>
            </w:r>
          </w:p>
        </w:tc>
        <w:tc>
          <w:tcPr>
            <w:tcW w:type="dxa" w:w="1433"/>
          </w:tcPr>
          <w:p>
            <w:r>
              <w:rPr>
                <w:sz w:val="17"/>
              </w:rPr>
            </w:r>
            <w:r>
              <w:rPr>
                <w:sz w:val="17"/>
              </w:rPr>
              <w:t>New</w:t>
            </w:r>
          </w:p>
        </w:tc>
      </w:tr>
      <w:tr>
        <w:trPr>
          <w:cantSplit/>
        </w:trPr>
        <w:tc>
          <w:tcPr>
            <w:tcW w:type="dxa" w:w="1473"/>
          </w:tcPr>
          <w:p>
            <w:r>
              <w:rPr>
                <w:sz w:val="17"/>
              </w:rPr>
            </w:r>
            <w:r>
              <w:rPr>
                <w:sz w:val="17"/>
              </w:rPr>
              <w:t>W03</w:t>
            </w:r>
          </w:p>
        </w:tc>
        <w:tc>
          <w:tcPr>
            <w:tcW w:type="dxa" w:w="1324"/>
          </w:tcPr>
          <w:p>
            <w:r>
              <w:rPr>
                <w:sz w:val="17"/>
              </w:rPr>
            </w:r>
            <w:r>
              <w:rPr>
                <w:sz w:val="17"/>
              </w:rPr>
              <w:t>B</w:t>
            </w:r>
          </w:p>
        </w:tc>
        <w:tc>
          <w:tcPr>
            <w:tcW w:type="dxa" w:w="2169"/>
          </w:tcPr>
          <w:p>
            <w:r>
              <w:rPr>
                <w:sz w:val="17"/>
              </w:rPr>
            </w:r>
            <w:r>
              <w:rPr>
                <w:sz w:val="17"/>
              </w:rPr>
              <w:t>003</w:t>
            </w:r>
          </w:p>
        </w:tc>
        <w:tc>
          <w:tcPr>
            <w:tcW w:type="dxa" w:w="1813"/>
          </w:tcPr>
          <w:p>
            <w:r>
              <w:rPr>
                <w:sz w:val="17"/>
              </w:rPr>
            </w:r>
            <w:r>
              <w:rPr>
                <w:sz w:val="17"/>
              </w:rPr>
              <w:t>WF02</w:t>
            </w:r>
          </w:p>
        </w:tc>
        <w:tc>
          <w:tcPr>
            <w:tcW w:type="dxa" w:w="2254"/>
          </w:tcPr>
          <w:p>
            <w:r>
              <w:rPr>
                <w:sz w:val="17"/>
              </w:rPr>
            </w:r>
            <w:r>
              <w:rPr>
                <w:sz w:val="17"/>
              </w:rPr>
              <w:t>8.00</w:t>
            </w:r>
          </w:p>
        </w:tc>
        <w:tc>
          <w:tcPr>
            <w:tcW w:type="dxa" w:w="1433"/>
          </w:tcPr>
          <w:p>
            <w:r>
              <w:rPr>
                <w:sz w:val="17"/>
              </w:rPr>
            </w:r>
            <w:r>
              <w:rPr>
                <w:sz w:val="17"/>
              </w:rPr>
              <w:t>New</w:t>
            </w:r>
          </w:p>
        </w:tc>
      </w:tr>
      <w:tr>
        <w:trPr>
          <w:cantSplit/>
        </w:trPr>
        <w:tc>
          <w:tcPr>
            <w:tcW w:type="dxa" w:w="1473"/>
          </w:tcPr>
          <w:p>
            <w:r>
              <w:rPr>
                <w:sz w:val="17"/>
              </w:rPr>
            </w:r>
            <w:r>
              <w:rPr>
                <w:sz w:val="17"/>
              </w:rPr>
              <w:t>W04</w:t>
            </w:r>
          </w:p>
        </w:tc>
        <w:tc>
          <w:tcPr>
            <w:tcW w:type="dxa" w:w="1324"/>
          </w:tcPr>
          <w:p>
            <w:r>
              <w:rPr>
                <w:sz w:val="17"/>
              </w:rPr>
            </w:r>
            <w:r>
              <w:rPr>
                <w:sz w:val="17"/>
              </w:rPr>
              <w:t>B</w:t>
            </w:r>
          </w:p>
        </w:tc>
        <w:tc>
          <w:tcPr>
            <w:tcW w:type="dxa" w:w="2169"/>
          </w:tcPr>
          <w:p>
            <w:r>
              <w:rPr>
                <w:sz w:val="17"/>
              </w:rPr>
            </w:r>
            <w:r>
              <w:rPr>
                <w:sz w:val="17"/>
              </w:rPr>
              <w:t>003</w:t>
            </w:r>
          </w:p>
        </w:tc>
        <w:tc>
          <w:tcPr>
            <w:tcW w:type="dxa" w:w="1813"/>
          </w:tcPr>
          <w:p>
            <w:r>
              <w:rPr>
                <w:sz w:val="17"/>
              </w:rPr>
            </w:r>
            <w:r>
              <w:rPr>
                <w:sz w:val="17"/>
              </w:rPr>
              <w:t>WF02</w:t>
            </w:r>
          </w:p>
        </w:tc>
        <w:tc>
          <w:tcPr>
            <w:tcW w:type="dxa" w:w="2254"/>
          </w:tcPr>
          <w:p>
            <w:r>
              <w:rPr>
                <w:sz w:val="17"/>
              </w:rPr>
            </w:r>
            <w:r>
              <w:rPr>
                <w:sz w:val="17"/>
              </w:rPr>
              <w:t>9.00</w:t>
            </w:r>
          </w:p>
        </w:tc>
        <w:tc>
          <w:tcPr>
            <w:tcW w:type="dxa" w:w="1433"/>
          </w:tcPr>
          <w:p>
            <w:r>
              <w:rPr>
                <w:sz w:val="17"/>
              </w:rPr>
            </w:r>
            <w:r>
              <w:rPr>
                <w:sz w:val="17"/>
              </w:rPr>
              <w:t>New</w:t>
            </w:r>
          </w:p>
        </w:tc>
      </w:tr>
      <w:tr>
        <w:trPr>
          <w:cantSplit/>
        </w:trPr>
        <w:tc>
          <w:tcPr>
            <w:tcW w:type="dxa" w:w="1473"/>
          </w:tcPr>
          <w:p>
            <w:r>
              <w:rPr>
                <w:sz w:val="17"/>
              </w:rPr>
            </w:r>
            <w:r>
              <w:rPr>
                <w:sz w:val="17"/>
              </w:rPr>
              <w:t>W05</w:t>
            </w:r>
          </w:p>
        </w:tc>
        <w:tc>
          <w:tcPr>
            <w:tcW w:type="dxa" w:w="1324"/>
          </w:tcPr>
          <w:p>
            <w:r>
              <w:rPr>
                <w:sz w:val="17"/>
              </w:rPr>
            </w:r>
            <w:r>
              <w:rPr>
                <w:sz w:val="17"/>
              </w:rPr>
              <w:t>B</w:t>
            </w:r>
          </w:p>
        </w:tc>
        <w:tc>
          <w:tcPr>
            <w:tcW w:type="dxa" w:w="2169"/>
          </w:tcPr>
          <w:p>
            <w:r>
              <w:rPr>
                <w:sz w:val="17"/>
              </w:rPr>
            </w:r>
            <w:r>
              <w:rPr>
                <w:sz w:val="17"/>
              </w:rPr>
              <w:t>[blank]</w:t>
            </w:r>
          </w:p>
        </w:tc>
        <w:tc>
          <w:tcPr>
            <w:tcW w:type="dxa" w:w="1813"/>
          </w:tcPr>
          <w:p>
            <w:r>
              <w:rPr>
                <w:sz w:val="17"/>
              </w:rPr>
            </w:r>
            <w:r>
              <w:rPr>
                <w:sz w:val="17"/>
              </w:rPr>
              <w:t>WF02</w:t>
            </w:r>
          </w:p>
        </w:tc>
        <w:tc>
          <w:tcPr>
            <w:tcW w:type="dxa" w:w="2254"/>
          </w:tcPr>
          <w:p>
            <w:r>
              <w:rPr>
                <w:sz w:val="17"/>
              </w:rPr>
            </w:r>
            <w:r>
              <w:rPr>
                <w:sz w:val="17"/>
              </w:rPr>
              <w:t>11.00</w:t>
            </w:r>
          </w:p>
        </w:tc>
        <w:tc>
          <w:tcPr>
            <w:tcW w:type="dxa" w:w="1433"/>
          </w:tcPr>
          <w:p>
            <w:r>
              <w:rPr>
                <w:sz w:val="17"/>
              </w:rPr>
            </w:r>
            <w:r>
              <w:rPr>
                <w:sz w:val="17"/>
              </w:rPr>
              <w:t>New</w:t>
            </w:r>
          </w:p>
        </w:tc>
      </w:tr>
    </w:tbl>
    <w:p/>
    <w:p>
      <w:pPr/>
      <w:r>
        <w:t>For this dataset define the area as simple test faces with no openings/joins that alter the intended area. If actual geometry reports another value, investigate and explain the measurement convention; do not type a fabricated replacement into a calculated field.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Expected itemised count = 5, total = 50.00 m². Group by type: A count 2 / 22.00 m²; B count 3 / 28.00 m². Two report rows still represent five objects.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 xml:space="preserve">Exception checks must detect duplicate </w:t>
      </w:r>
      <w:r>
        <w:rPr>
          <w:b/>
        </w:rPr>
        <w:t>instance</w:t>
      </w:r>
      <w:r>
        <w:t xml:space="preserve"> Mark 003 and blank W05 Mark. Repeated type code WF02 on instances of one type is valid. Repair to 004 and 005 and recheck uniqueness/count/totals; missing required data prevents issue even when total area is correct.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Add an Existing-phase control wall with 6.00 m². New-only total remains 50.00 m²; an agreed all-included-scope diagnostic total becomes 56.00 m². Test a linked wall separately with included/excluded flags and the correct phase mapping; record expected counts, not assumptions.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Add an area-derived calculated field at a synthetic 2.00 currency units/m²: New total should be 100.00 currency units under the exercise rule. This is arithmetic training, not a cost estimate. Validate units/expression and receiver recomputation.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In a disposable copy, edit one grouped instance field and a type field separately. Record all changed IDs and values; inspect instances outside the report scope for the type edit. Preview a grouped deletion's selection count and dependency impact without treating it as row formatting. Restore the controlled baseline after the sample.</w:t>
      </w:r>
    </w:p>
    <w:p>
      <w:pPr>
        <w:pStyle w:val="Heading1"/>
      </w:pPr>
      <w:r>
        <w:t>Export mapping and reconciliation record</w:t>
      </w:r>
    </w:p>
    <w:tbl>
      <w:tblPr>
        <w:tblStyle w:val="TableGrid"/>
        <w:tblW w:type="auto" w:w="0"/>
        <w:tblLayout w:type="fixed"/>
        <w:tblCellMar>
          <w:left w:w="45" w:type="dxa"/>
          <w:right w:w="45" w:type="dxa"/>
        </w:tblCellMar>
        <w:tblLook w:firstColumn="1" w:firstRow="1" w:lastColumn="0" w:lastRow="0" w:noHBand="0" w:noVBand="1" w:val="04A0"/>
        <w:tblBorders>
          <w:top w:val="single" w:sz="4" w:space="0" w:color="D9D3C4"/>
          <w:left w:val="single" w:sz="4" w:space="0" w:color="D9D3C4"/>
          <w:bottom w:val="single" w:sz="4" w:space="0" w:color="D9D3C4"/>
          <w:right w:val="single" w:sz="4" w:space="0" w:color="D9D3C4"/>
          <w:insideH w:val="single" w:sz="4" w:space="0" w:color="D9D3C4"/>
          <w:insideV w:val="single" w:sz="4" w:space="0" w:color="D9D3C4"/>
        </w:tblBorders>
      </w:tblPr>
      <w:tblGrid>
        <w:gridCol w:w="2268"/>
        <w:gridCol w:w="2601"/>
        <w:gridCol w:w="5597"/>
      </w:tblGrid>
      <w:tr>
        <w:trPr>
          <w:cantSplit/>
          <w:tblHeader/>
        </w:trPr>
        <w:tc>
          <w:tcPr>
            <w:tcW w:type="dxa" w:w="2268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Schedule field</w:t>
            </w:r>
          </w:p>
        </w:tc>
        <w:tc>
          <w:tcPr>
            <w:tcW w:type="dxa" w:w="2601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Receiver field /​ type</w:t>
            </w:r>
          </w:p>
        </w:tc>
        <w:tc>
          <w:tcPr>
            <w:tcW w:type="dxa" w:w="5597"/>
            <w:shd w:val="clear" w:color="auto" w:fill="111113"/>
          </w:tcPr>
          <w:p>
            <w:r>
              <w:rPr>
                <w:b/>
                <w:color w:val="FFFFFF"/>
                <w:sz w:val="17"/>
              </w:rPr>
            </w:r>
            <w:r>
              <w:rPr>
                <w:b/>
                <w:color w:val="FFFFFF"/>
                <w:sz w:val="17"/>
              </w:rPr>
              <w:t>Conversion /​ check</w:t>
            </w:r>
          </w:p>
        </w:tc>
      </w:tr>
      <w:tr>
        <w:trPr>
          <w:cantSplit/>
        </w:trPr>
        <w:tc>
          <w:tcPr>
            <w:tcW w:type="dxa" w:w="2268"/>
          </w:tcPr>
          <w:p>
            <w:r>
              <w:rPr>
                <w:sz w:val="17"/>
              </w:rPr>
            </w:r>
            <w:r>
              <w:rPr>
                <w:sz w:val="17"/>
              </w:rPr>
              <w:t>DataID</w:t>
            </w:r>
          </w:p>
        </w:tc>
        <w:tc>
          <w:tcPr>
            <w:tcW w:type="dxa" w:w="2601"/>
          </w:tcPr>
          <w:p>
            <w:r>
              <w:rPr>
                <w:sz w:val="17"/>
              </w:rPr>
            </w:r>
            <w:r>
              <w:rPr>
                <w:sz w:val="17"/>
              </w:rPr>
              <w:t>ElementKey /​ text</w:t>
            </w:r>
          </w:p>
        </w:tc>
        <w:tc>
          <w:tcPr>
            <w:tcW w:type="dxa" w:w="5597"/>
          </w:tcPr>
          <w:p>
            <w:r>
              <w:rPr>
                <w:sz w:val="17"/>
              </w:rPr>
            </w:r>
            <w:r>
              <w:rPr>
                <w:sz w:val="17"/>
              </w:rPr>
              <w:t>Exact five unique keys; map linked keys with source-container identity if included</w:t>
            </w:r>
          </w:p>
        </w:tc>
      </w:tr>
      <w:tr>
        <w:trPr>
          <w:cantSplit/>
        </w:trPr>
        <w:tc>
          <w:tcPr>
            <w:tcW w:type="dxa" w:w="2268"/>
          </w:tcPr>
          <w:p>
            <w:r>
              <w:rPr>
                <w:sz w:val="17"/>
              </w:rPr>
            </w:r>
            <w:r>
              <w:rPr>
                <w:sz w:val="17"/>
              </w:rPr>
              <w:t>Instance Mark</w:t>
            </w:r>
          </w:p>
        </w:tc>
        <w:tc>
          <w:tcPr>
            <w:tcW w:type="dxa" w:w="2601"/>
          </w:tcPr>
          <w:p>
            <w:r>
              <w:rPr>
                <w:sz w:val="17"/>
              </w:rPr>
            </w:r>
            <w:r>
              <w:rPr>
                <w:sz w:val="17"/>
              </w:rPr>
              <w:t>InstanceMark /​ text</w:t>
            </w:r>
          </w:p>
        </w:tc>
        <w:tc>
          <w:tcPr>
            <w:tcW w:type="dxa" w:w="5597"/>
          </w:tcPr>
          <w:p>
            <w:r>
              <w:rPr>
                <w:sz w:val="17"/>
              </w:rPr>
            </w:r>
            <w:r>
              <w:rPr>
                <w:sz w:val="17"/>
              </w:rPr>
              <w:t>Preserve 001…005; no numeric coercion or blank/​duplicate</w:t>
            </w:r>
          </w:p>
        </w:tc>
      </w:tr>
      <w:tr>
        <w:trPr>
          <w:cantSplit/>
        </w:trPr>
        <w:tc>
          <w:tcPr>
            <w:tcW w:type="dxa" w:w="2268"/>
          </w:tcPr>
          <w:p>
            <w:r>
              <w:rPr>
                <w:sz w:val="17"/>
              </w:rPr>
            </w:r>
            <w:r>
              <w:rPr>
                <w:sz w:val="17"/>
              </w:rPr>
              <w:t>Type /​ Type code</w:t>
            </w:r>
          </w:p>
        </w:tc>
        <w:tc>
          <w:tcPr>
            <w:tcW w:type="dxa" w:w="2601"/>
          </w:tcPr>
          <w:p>
            <w:r>
              <w:rPr>
                <w:sz w:val="17"/>
              </w:rPr>
            </w:r>
            <w:r>
              <w:rPr>
                <w:sz w:val="17"/>
              </w:rPr>
              <w:t>TypeName /​ TypeCode /​ text</w:t>
            </w:r>
          </w:p>
        </w:tc>
        <w:tc>
          <w:tcPr>
            <w:tcW w:type="dxa" w:w="5597"/>
          </w:tcPr>
          <w:p>
            <w:r>
              <w:rPr>
                <w:sz w:val="17"/>
              </w:rPr>
            </w:r>
            <w:r>
              <w:rPr>
                <w:sz w:val="17"/>
              </w:rPr>
              <w:t>A→WF01 and B→WF02; approved dictionary semantics</w:t>
            </w:r>
          </w:p>
        </w:tc>
      </w:tr>
      <w:tr>
        <w:trPr>
          <w:cantSplit/>
        </w:trPr>
        <w:tc>
          <w:tcPr>
            <w:tcW w:type="dxa" w:w="2268"/>
          </w:tcPr>
          <w:p>
            <w:r>
              <w:rPr>
                <w:sz w:val="17"/>
              </w:rPr>
            </w:r>
            <w:r>
              <w:rPr>
                <w:sz w:val="17"/>
              </w:rPr>
              <w:t>Area</w:t>
            </w:r>
          </w:p>
        </w:tc>
        <w:tc>
          <w:tcPr>
            <w:tcW w:type="dxa" w:w="2601"/>
          </w:tcPr>
          <w:p>
            <w:r>
              <w:rPr>
                <w:sz w:val="17"/>
              </w:rPr>
            </w:r>
            <w:r>
              <w:rPr>
                <w:sz w:val="17"/>
              </w:rPr>
              <w:t>Area_m2 /​ decimal</w:t>
            </w:r>
          </w:p>
        </w:tc>
        <w:tc>
          <w:tcPr>
            <w:tcW w:type="dxa" w:w="5597"/>
          </w:tcPr>
          <w:p>
            <w:r>
              <w:rPr>
                <w:sz w:val="17"/>
              </w:rPr>
            </w:r>
            <w:r>
              <w:rPr>
                <w:sz w:val="17"/>
              </w:rPr>
              <w:t>Explicit m²; five expected values; independent 50.00 sum</w:t>
            </w:r>
          </w:p>
        </w:tc>
      </w:tr>
      <w:tr>
        <w:trPr>
          <w:cantSplit/>
        </w:trPr>
        <w:tc>
          <w:tcPr>
            <w:tcW w:type="dxa" w:w="2268"/>
          </w:tcPr>
          <w:p>
            <w:r>
              <w:rPr>
                <w:sz w:val="17"/>
              </w:rPr>
            </w:r>
            <w:r>
              <w:rPr>
                <w:sz w:val="17"/>
              </w:rPr>
              <w:t>Phase /​ source model</w:t>
            </w:r>
          </w:p>
        </w:tc>
        <w:tc>
          <w:tcPr>
            <w:tcW w:type="dxa" w:w="2601"/>
          </w:tcPr>
          <w:p>
            <w:r>
              <w:rPr>
                <w:sz w:val="17"/>
              </w:rPr>
            </w:r>
            <w:r>
              <w:rPr>
                <w:sz w:val="17"/>
              </w:rPr>
              <w:t>Phase /​ SourceRevision /​ text</w:t>
            </w:r>
          </w:p>
        </w:tc>
        <w:tc>
          <w:tcPr>
            <w:tcW w:type="dxa" w:w="5597"/>
          </w:tcPr>
          <w:p>
            <w:r>
              <w:rPr>
                <w:sz w:val="17"/>
              </w:rPr>
            </w:r>
            <w:r>
              <w:rPr>
                <w:sz w:val="17"/>
              </w:rPr>
              <w:t>Correct scope and exact retained model/​link revision</w:t>
            </w:r>
          </w:p>
        </w:tc>
      </w:tr>
      <w:tr>
        <w:trPr>
          <w:cantSplit/>
        </w:trPr>
        <w:tc>
          <w:tcPr>
            <w:tcW w:type="dxa" w:w="2268"/>
          </w:tcPr>
          <w:p>
            <w:r>
              <w:rPr>
                <w:sz w:val="17"/>
              </w:rPr>
            </w:r>
            <w:r>
              <w:rPr>
                <w:sz w:val="17"/>
              </w:rPr>
              <w:t>Calculated exercise value</w:t>
            </w:r>
          </w:p>
        </w:tc>
        <w:tc>
          <w:tcPr>
            <w:tcW w:type="dxa" w:w="2601"/>
          </w:tcPr>
          <w:p>
            <w:r>
              <w:rPr>
                <w:sz w:val="17"/>
              </w:rPr>
            </w:r>
            <w:r>
              <w:rPr>
                <w:sz w:val="17"/>
              </w:rPr>
              <w:t>TestValue /​ numeric unit</w:t>
            </w:r>
          </w:p>
        </w:tc>
        <w:tc>
          <w:tcPr>
            <w:tcW w:type="dxa" w:w="5597"/>
          </w:tcPr>
          <w:p>
            <w:r>
              <w:rPr>
                <w:sz w:val="17"/>
              </w:rPr>
            </w:r>
            <w:r>
              <w:rPr>
                <w:sz w:val="17"/>
              </w:rPr>
              <w:t>Same formula/​scope; independent 100.00 total</w:t>
            </w:r>
          </w:p>
        </w:tc>
      </w:tr>
    </w:tbl>
    <w:p/>
    <w:p>
      <w:pPr/>
      <w:r>
        <w:t>Retain specification/template revision, model and linked revisions, export filename/hash/date, receiver build, import field types, comparison report, reviewer and disposition. Missing receiver support needs a documented checked alternative. Join by stable key, never by row position after sorting/grouping. Issued sheet/legend and exported audit must reconcile to this same baseline; retain superseded results and repeat checks after changes.</w:t>
      </w:r>
    </w:p>
    <w:p>
      <w:pPr>
        <w:pStyle w:val="Heading1"/>
      </w:pPr>
      <w:r>
        <w:t>Acceptance criteria / self-check list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Purpose/category/schedule kind, scope, fields/identities, units, phase/filters, grouping and owner are defined.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Shared GUID/category bindings, type/instance decisions and controlled key behaviour are tested.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Itemised and grouped counts/totals/calculations pass the known dataset; phase/link/sheet capability is proved in the adopted build.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Complete/exception views expose required missing/duplicate/invalid data even when presentation filters hide blanks.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Edits/deletions have a pre-edit snapshot, known selected IDs/types, reviewed broad type/group scope and tested recovery.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Material/type legend meaning and category coverage match actual tags and sheet views.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Export field types, keys, units and totals reconcile in the receiver; source and published/printed schedule revisions match.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Checker, authoriser and recipient decisions, failure/resubmission and lineage evidence are retained.</w:t>
      </w:r>
    </w:p>
    <w:p>
      <w:pPr>
        <w:pStyle w:val="Heading1"/>
      </w:pPr>
      <w:r>
        <w:t>Common mistakes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Counting schedule rows instead of elements or material records.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Editing a type while expecting only one visible grouped row to change.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Removing a blank-looking grouped row that contains physical geometry.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Using non-empty-code presentation filtering as the only QA check.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Assuming every category supports multi-category, linked or sheet filtering identically.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Importing 001 as numeric 1, or joining exports by row order rather than stable keys.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Issuing an updated live schedule without repeating the exchange checks against its new model revision.</w:t>
      </w:r>
    </w:p>
    <w:p>
      <w:pPr>
        <w:pStyle w:val="Heading1"/>
      </w:pPr>
      <w:r>
        <w:t>Related guides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26–27: controlled parameter definitions/bindings; 28: templates and checked sheet outputs.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30: URS responsibility and source baseline; 31: logged data/numbering changes.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32: complete/exception room and area schedules; 33: finish keys, materials and phase quantities; 35: library information checks.</w:t>
      </w:r>
    </w:p>
    <w:p>
      <w:pPr>
        <w:pStyle w:val="Heading1"/>
      </w:pPr>
      <w:r>
        <w:t>Editorial coverage record</w:t>
      </w:r>
    </w:p>
    <w:p>
      <w:pPr/>
      <w:r>
        <w:t>R14.1–R14.5: specification/procedure 1–5; shared/key definitions; known-data filter/phase/count/totals and calculations; receiver mapping; source-to-issued lineage. C02/C04/C09/C13/C19/C20 addressed with controlled identity/revision, corrected record/edit scope, exceptions and tested capability. No independent P1 defect was established (0/0); the pre-edit/bulk-edit warning is strengthened. P2 1/1 fixed; P3 five-element missing/duplicate-code exercise included. Exercise results require office assessment in the adopted build.</w:t>
      </w:r>
    </w:p>
    <w:p>
      <w:pPr>
        <w:pStyle w:val="Heading1"/>
      </w:pPr>
      <w:r>
        <w:t>References</w:t>
      </w:r>
    </w:p>
    <w:p>
      <w:pPr/>
      <w:r>
        <w:t>Source IDs refer to the supplied RESEARCH.md register. Autodesk Help describes the listed release; verify commands in the project-approved build. Public ISO abstracts establish scope and edition, not clause-level compliance.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S01 — ISO 19650-1 — Concepts and principles. ISO, 2018, ed.1. https://www.iso.org/standard/68078.html?browse=tc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S02 — ISO 19650-2 — Delivery phase of the assets. ISO, 2018, ed.1. https://www.iso.org/fr/standard/68080.html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S04 — ISO 19650-4 — Information exchange. ISO, 2022, ed.1. https://www.iso.org/cms/live/live/en/sites/isoorg/contents/data/standard/07/82/78246.html?browse=tc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S07 — ISO 7817-1 — Level of information need: concepts and principles. ISO, 2024, ed.1. https://www.iso.org/standard/82914.html?browse=tc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S16 — ISO 23386 — Methodology to describe, author and maintain properties in interconnected data dictionaries. ISO, 2020, ed.1. https://www.iso.org/standard/75401.html?browse=tc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A21 — Schedules; About Schedules. Autodesk Revit Help, 2026 / 2024. https://help.autodesk.com/cloudhelp/2026/ENU/Revit-DocumentPresent/files/GUID-F50D6FF4-859E-43A2-A2F6-81C84A1BA0EB.htm ; https://help.autodesk.com/cloudhelp/2024/ENU/Revit-DocumentPresent/files/GUID-73090B70-8A13-4E12-909C-F25D724D5BA7.htm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A06 — Create Shared Project Parameters. Autodesk Revit Help, Revit 2026. https://help.autodesk.com/cloudhelp/2026/ENU/Revit-Model/files/GUID-114C68A9-FF2B-4D4C-A2DF-3AE7E1F174C8.htm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A17 — Key Schedules; Create a Key Schedule. Autodesk Revit Help, Revit 2026. https://help.autodesk.com/cloudhelp/2026/ENU/Revit-DocumentPresent/files/GUID-CD22DA24-4162-4AB2-B1D3-02CEBE918444.htm ; https://help.autodesk.com/cloudhelp/2026/ENU/Revit-DocumentPresent/files/GUID-75B3B9C4-6899-4DC9-8424-DFC901701B48.htm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A14 — Project Phasing. Autodesk Revit Help, Revit 2026. https://help.autodesk.com/cloudhelp/2026/ENU/Revit-DocumentPresent/files/GUID-2E104AB8-68B9-46F2-9BE2-B54E767429E5.htm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P05 — Data lineage. Microsoft Learn, Undated live documentation. https://learn.microsoft.com/en-us/power-bi/collaborate-share/service-data-lineage</w:t>
      </w:r>
    </w:p>
    <w:p>
      <w:pPr>
        <w:pStyle w:val="ListParagraph"/>
        <w:spacing w:after="40"/>
        <w:ind w:left="360" w:hanging="240"/>
      </w:pPr>
      <w:r>
        <w:t xml:space="preserve">•  </w:t>
      </w:r>
      <w:r>
        <w:t>G-C — Guidance C — Facilitating the CDE workflow and technical solutions. UK BIM Framework, ed.1, September 2020. https://ukbimframework.org/wp-content/uploads/2020/09/Guidance-Part-C_Facilitating-the-common-data-environment-workflow-and-technical-solutions_Edition-1.pdf</w:t>
      </w:r>
    </w:p>
    <w:sectPr w:rsidR="00922C46" w:rsidSect="00922C46">
      <w:headerReference w:type="default" r:id="rId8"/>
      <w:footerReference w:type="default" r:id="rId9"/>
      <w:headerReference w:type="first" r:id="rId10"/>
      <w:pgSz w:w="11906" w:h="16838"/>
      <w:pgMar w:top="1701" w:right="720" w:bottom="720" w:left="720" w:header="454" w:footer="20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C3B23" w14:textId="77777777" w:rsidR="00721C27" w:rsidRDefault="00721C27" w:rsidP="00CB352A">
      <w:pPr>
        <w:spacing w:after="0" w:line="240" w:lineRule="auto"/>
      </w:pPr>
      <w:r>
        <w:separator/>
      </w:r>
    </w:p>
  </w:endnote>
  <w:endnote w:type="continuationSeparator" w:id="0">
    <w:p w14:paraId="311C7F5C" w14:textId="77777777" w:rsidR="00721C27" w:rsidRDefault="00721C27" w:rsidP="00CB35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Inter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24038748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71233345" w14:textId="16A281E0" w:rsidR="00F66F4B" w:rsidRDefault="00F66F4B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3B1D756A" w14:textId="666CA5D8" w:rsidR="00F66F4B" w:rsidRDefault="00F66F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19EE4E" w14:textId="77777777" w:rsidR="00721C27" w:rsidRDefault="00721C27" w:rsidP="00CB352A">
      <w:pPr>
        <w:spacing w:after="0" w:line="240" w:lineRule="auto"/>
      </w:pPr>
      <w:r>
        <w:separator/>
      </w:r>
    </w:p>
  </w:footnote>
  <w:footnote w:type="continuationSeparator" w:id="0">
    <w:p w14:paraId="12244030" w14:textId="77777777" w:rsidR="00721C27" w:rsidRDefault="00721C27" w:rsidP="00CB35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28C6C" w14:textId="515D1FCF" w:rsidR="00CB352A" w:rsidRDefault="009C7B28">
    <w:pPr>
      <w:pStyle w:val="Header"/>
      <w:rPr>
        <w:b/>
        <w:bCs/>
      </w:rPr>
    </w:pPr>
    <w:r w:rsidRPr="0089320F">
      <w:rPr>
        <w:rFonts w:ascii="Calibri" w:eastAsia="Times New Roman" w:hAnsi="Calibri" w:cs="Calibri"/>
        <w:b/>
        <w:bCs/>
        <w:noProof/>
        <w:color w:val="1F497D"/>
        <w:sz w:val="22"/>
        <w:szCs w:val="22"/>
        <w:lang w:val="en-US"/>
        <w14:ligatures w14:val="none"/>
      </w:rPr>
      <w:drawing>
        <wp:anchor distT="0" distB="0" distL="114300" distR="114300" simplePos="0" relativeHeight="251658240" behindDoc="0" locked="0" layoutInCell="1" allowOverlap="1" wp14:anchorId="0228A8AB" wp14:editId="336A9345">
          <wp:simplePos x="0" y="0"/>
          <wp:positionH relativeFrom="margin">
            <wp:align>right</wp:align>
          </wp:positionH>
          <wp:positionV relativeFrom="page">
            <wp:posOffset>288000</wp:posOffset>
          </wp:positionV>
          <wp:extent cx="900000" cy="282750"/>
          <wp:effectExtent l="0" t="0" r="0" b="9525"/>
          <wp:wrapNone/>
          <wp:docPr id="923870934" name="Picture 1" descr="BBM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BM_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 cx="900000" cy="282750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0000" cy="282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9320F" w:rsidRPr="0089320F">
      <w:rPr>
        <w:b/>
        <w:bCs/>
      </w:rPr>
      <w:t>BBM-BIM | BBM-STD-36-GUIDE-DATA_CONTROL_WITH_SCHEDULES-V0.2</w:t>
    </w:r>
    <w:r w:rsidR="00A018A2">
      <w:rPr>
        <w:b/>
        <w:bCs/>
      </w:rPr>
    </w:r>
    <w:r w:rsidR="00050B13">
      <w:rPr>
        <w:b/>
        <w:bCs/>
      </w:rPr>
    </w:r>
  </w:p>
  <w:p w14:paraId="6DEDEFD4" w14:textId="77777777" w:rsidR="00F66F4B" w:rsidRDefault="00F66F4B">
    <w:pPr>
      <w:pStyle w:val="Header"/>
      <w:rPr>
        <w:b/>
        <w:bCs/>
      </w:rPr>
    </w:pPr>
  </w:p>
  <w:p w14:paraId="1F087E3B" w14:textId="77777777" w:rsidR="0089320F" w:rsidRPr="0089320F" w:rsidRDefault="0089320F">
    <w:pPr>
      <w:pStyle w:val="Header"/>
      <w:rPr>
        <w:b/>
        <w:b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3CAFC" w14:textId="11F1D81D" w:rsidR="0038312B" w:rsidRDefault="0038312B">
    <w:pPr>
      <w:pStyle w:val="Header"/>
    </w:pPr>
    <w:r w:rsidRPr="0089320F">
      <w:rPr>
        <w:rFonts w:ascii="Calibri" w:eastAsia="Times New Roman" w:hAnsi="Calibri" w:cs="Calibri"/>
        <w:b/>
        <w:bCs/>
        <w:noProof/>
        <w:color w:val="1F497D"/>
        <w:sz w:val="22"/>
        <w:szCs w:val="22"/>
        <w:lang w:val="en-US"/>
        <w14:ligatures w14:val="none"/>
      </w:rPr>
      <w:drawing>
        <wp:anchor distT="0" distB="0" distL="114300" distR="114300" simplePos="0" relativeHeight="251660288" behindDoc="0" locked="0" layoutInCell="1" allowOverlap="1" wp14:anchorId="05FC8F1B" wp14:editId="450AA59F">
          <wp:simplePos x="0" y="0"/>
          <wp:positionH relativeFrom="margin">
            <wp:align>right</wp:align>
          </wp:positionH>
          <wp:positionV relativeFrom="page">
            <wp:posOffset>288000</wp:posOffset>
          </wp:positionV>
          <wp:extent cx="900000" cy="282750"/>
          <wp:effectExtent l="0" t="0" r="0" b="9525"/>
          <wp:wrapNone/>
          <wp:docPr id="1296434436" name="Picture 1" descr="BBM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BM_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 cx="900000" cy="282750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0000" cy="282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75CB5"/>
    <w:multiLevelType w:val="multilevel"/>
    <w:tmpl w:val="A9BE5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BE5580"/>
    <w:multiLevelType w:val="multilevel"/>
    <w:tmpl w:val="9F8C4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810C3F"/>
    <w:multiLevelType w:val="multilevel"/>
    <w:tmpl w:val="FDB47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1F5278"/>
    <w:multiLevelType w:val="multilevel"/>
    <w:tmpl w:val="D27A30C0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5E607D4"/>
    <w:multiLevelType w:val="multilevel"/>
    <w:tmpl w:val="0F58E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D22449"/>
    <w:multiLevelType w:val="multilevel"/>
    <w:tmpl w:val="7FDA3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291BE1"/>
    <w:multiLevelType w:val="multilevel"/>
    <w:tmpl w:val="9A982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9B16DFE"/>
    <w:multiLevelType w:val="multilevel"/>
    <w:tmpl w:val="10F84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A480DBE"/>
    <w:multiLevelType w:val="multilevel"/>
    <w:tmpl w:val="C8506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AE3636F"/>
    <w:multiLevelType w:val="multilevel"/>
    <w:tmpl w:val="DA9E6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B1543BB"/>
    <w:multiLevelType w:val="multilevel"/>
    <w:tmpl w:val="19F65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CB2324D"/>
    <w:multiLevelType w:val="multilevel"/>
    <w:tmpl w:val="FC389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D3A2E07"/>
    <w:multiLevelType w:val="multilevel"/>
    <w:tmpl w:val="E2403C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EBD2A97"/>
    <w:multiLevelType w:val="multilevel"/>
    <w:tmpl w:val="43A21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EC43213"/>
    <w:multiLevelType w:val="multilevel"/>
    <w:tmpl w:val="84809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0B110E8"/>
    <w:multiLevelType w:val="multilevel"/>
    <w:tmpl w:val="80524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0C465B0"/>
    <w:multiLevelType w:val="multilevel"/>
    <w:tmpl w:val="C0504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49A7D33"/>
    <w:multiLevelType w:val="hybridMultilevel"/>
    <w:tmpl w:val="ACE66CBA"/>
    <w:lvl w:ilvl="0" w:tplc="4C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8" w15:restartNumberingAfterBreak="0">
    <w:nsid w:val="187B4E90"/>
    <w:multiLevelType w:val="multilevel"/>
    <w:tmpl w:val="5EAA3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CF47AEF"/>
    <w:multiLevelType w:val="multilevel"/>
    <w:tmpl w:val="0CD46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F651B91"/>
    <w:multiLevelType w:val="multilevel"/>
    <w:tmpl w:val="9998F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08076E0"/>
    <w:multiLevelType w:val="multilevel"/>
    <w:tmpl w:val="9A4E11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1916E4C"/>
    <w:multiLevelType w:val="multilevel"/>
    <w:tmpl w:val="73085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3983E25"/>
    <w:multiLevelType w:val="multilevel"/>
    <w:tmpl w:val="9FD66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49F27FC"/>
    <w:multiLevelType w:val="multilevel"/>
    <w:tmpl w:val="43102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5CE0CD0"/>
    <w:multiLevelType w:val="hybridMultilevel"/>
    <w:tmpl w:val="877C0468"/>
    <w:lvl w:ilvl="0" w:tplc="4C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6" w15:restartNumberingAfterBreak="0">
    <w:nsid w:val="25E45045"/>
    <w:multiLevelType w:val="multilevel"/>
    <w:tmpl w:val="6D222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8BD15BC"/>
    <w:multiLevelType w:val="multilevel"/>
    <w:tmpl w:val="E4B21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A054ACD"/>
    <w:multiLevelType w:val="multilevel"/>
    <w:tmpl w:val="A5BE0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BBE48F0"/>
    <w:multiLevelType w:val="multilevel"/>
    <w:tmpl w:val="A142F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EDA1723"/>
    <w:multiLevelType w:val="hybridMultilevel"/>
    <w:tmpl w:val="1AD011EC"/>
    <w:lvl w:ilvl="0" w:tplc="498CDACA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0B418A3"/>
    <w:multiLevelType w:val="multilevel"/>
    <w:tmpl w:val="93280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13038C1"/>
    <w:multiLevelType w:val="multilevel"/>
    <w:tmpl w:val="252A2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1D27B7E"/>
    <w:multiLevelType w:val="multilevel"/>
    <w:tmpl w:val="BB3A3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33824DB"/>
    <w:multiLevelType w:val="hybridMultilevel"/>
    <w:tmpl w:val="BD40DAAE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5AC3C79"/>
    <w:multiLevelType w:val="hybridMultilevel"/>
    <w:tmpl w:val="743EF4BA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CE442A6"/>
    <w:multiLevelType w:val="hybridMultilevel"/>
    <w:tmpl w:val="25DCC4CC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D203C6B"/>
    <w:multiLevelType w:val="multilevel"/>
    <w:tmpl w:val="482E7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3E80033A"/>
    <w:multiLevelType w:val="multilevel"/>
    <w:tmpl w:val="F54CE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F990FD6"/>
    <w:multiLevelType w:val="multilevel"/>
    <w:tmpl w:val="5DB66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5B207C1"/>
    <w:multiLevelType w:val="multilevel"/>
    <w:tmpl w:val="3F588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74743A6"/>
    <w:multiLevelType w:val="multilevel"/>
    <w:tmpl w:val="0464C7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89D6270"/>
    <w:multiLevelType w:val="multilevel"/>
    <w:tmpl w:val="493859AE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3" w15:restartNumberingAfterBreak="0">
    <w:nsid w:val="4B37442B"/>
    <w:multiLevelType w:val="multilevel"/>
    <w:tmpl w:val="DCC4D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D4D4C7F"/>
    <w:multiLevelType w:val="multilevel"/>
    <w:tmpl w:val="F8B83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4D6C620A"/>
    <w:multiLevelType w:val="multilevel"/>
    <w:tmpl w:val="D01A0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4DA02F28"/>
    <w:multiLevelType w:val="hybridMultilevel"/>
    <w:tmpl w:val="89589A58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10A30BE"/>
    <w:multiLevelType w:val="multilevel"/>
    <w:tmpl w:val="387A2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51D07053"/>
    <w:multiLevelType w:val="hybridMultilevel"/>
    <w:tmpl w:val="753CE6EA"/>
    <w:lvl w:ilvl="0" w:tplc="137A8158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1F9764D"/>
    <w:multiLevelType w:val="hybridMultilevel"/>
    <w:tmpl w:val="6D90A5FE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3257493"/>
    <w:multiLevelType w:val="multilevel"/>
    <w:tmpl w:val="1862E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555033D6"/>
    <w:multiLevelType w:val="multilevel"/>
    <w:tmpl w:val="C024A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55DF1E1A"/>
    <w:multiLevelType w:val="multilevel"/>
    <w:tmpl w:val="EA0AF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57897B19"/>
    <w:multiLevelType w:val="hybridMultilevel"/>
    <w:tmpl w:val="C5142CA6"/>
    <w:lvl w:ilvl="0" w:tplc="D1F2EEA4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8987667"/>
    <w:multiLevelType w:val="multilevel"/>
    <w:tmpl w:val="44282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5A4841AC"/>
    <w:multiLevelType w:val="multilevel"/>
    <w:tmpl w:val="65D41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5C154B9E"/>
    <w:multiLevelType w:val="multilevel"/>
    <w:tmpl w:val="3EDCE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5CF446D6"/>
    <w:multiLevelType w:val="multilevel"/>
    <w:tmpl w:val="9AE83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5DA12C63"/>
    <w:multiLevelType w:val="multilevel"/>
    <w:tmpl w:val="19BA55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5EA64FFB"/>
    <w:multiLevelType w:val="multilevel"/>
    <w:tmpl w:val="4BEC1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5F26775D"/>
    <w:multiLevelType w:val="multilevel"/>
    <w:tmpl w:val="0DCCC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5F4C2599"/>
    <w:multiLevelType w:val="multilevel"/>
    <w:tmpl w:val="13B8F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607C44F1"/>
    <w:multiLevelType w:val="multilevel"/>
    <w:tmpl w:val="3CC6F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643467FE"/>
    <w:multiLevelType w:val="multilevel"/>
    <w:tmpl w:val="9522E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6DB57CDF"/>
    <w:multiLevelType w:val="multilevel"/>
    <w:tmpl w:val="72E67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6E964972"/>
    <w:multiLevelType w:val="multilevel"/>
    <w:tmpl w:val="C3AC1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70511F6D"/>
    <w:multiLevelType w:val="multilevel"/>
    <w:tmpl w:val="9BEC2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7123172F"/>
    <w:multiLevelType w:val="multilevel"/>
    <w:tmpl w:val="12B65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74BE5B37"/>
    <w:multiLevelType w:val="multilevel"/>
    <w:tmpl w:val="27C63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78180DFE"/>
    <w:multiLevelType w:val="multilevel"/>
    <w:tmpl w:val="176CF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783555A3"/>
    <w:multiLevelType w:val="multilevel"/>
    <w:tmpl w:val="1EF28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79CD7C91"/>
    <w:multiLevelType w:val="multilevel"/>
    <w:tmpl w:val="0FC41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79D12550"/>
    <w:multiLevelType w:val="multilevel"/>
    <w:tmpl w:val="5F00E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79FC1C66"/>
    <w:multiLevelType w:val="hybridMultilevel"/>
    <w:tmpl w:val="6246873E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7BAE16B6"/>
    <w:multiLevelType w:val="hybridMultilevel"/>
    <w:tmpl w:val="E8164416"/>
    <w:lvl w:ilvl="0" w:tplc="D52ED5B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7D3F25B3"/>
    <w:multiLevelType w:val="multilevel"/>
    <w:tmpl w:val="EA489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7EC23B7E"/>
    <w:multiLevelType w:val="multilevel"/>
    <w:tmpl w:val="416C6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7EF26A17"/>
    <w:multiLevelType w:val="hybridMultilevel"/>
    <w:tmpl w:val="E7F42ABC"/>
    <w:lvl w:ilvl="0" w:tplc="51D0EC10">
      <w:start w:val="2"/>
      <w:numFmt w:val="bullet"/>
      <w:lvlText w:val="•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7EFD14F4"/>
    <w:multiLevelType w:val="hybridMultilevel"/>
    <w:tmpl w:val="1E980114"/>
    <w:lvl w:ilvl="0" w:tplc="4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7F303287"/>
    <w:multiLevelType w:val="multilevel"/>
    <w:tmpl w:val="2EBAE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8837531">
    <w:abstractNumId w:val="11"/>
  </w:num>
  <w:num w:numId="2" w16cid:durableId="1351297986">
    <w:abstractNumId w:val="53"/>
  </w:num>
  <w:num w:numId="3" w16cid:durableId="1365397943">
    <w:abstractNumId w:val="56"/>
  </w:num>
  <w:num w:numId="4" w16cid:durableId="2071027318">
    <w:abstractNumId w:val="75"/>
  </w:num>
  <w:num w:numId="5" w16cid:durableId="210533793">
    <w:abstractNumId w:val="32"/>
  </w:num>
  <w:num w:numId="6" w16cid:durableId="445732298">
    <w:abstractNumId w:val="61"/>
  </w:num>
  <w:num w:numId="7" w16cid:durableId="133573405">
    <w:abstractNumId w:val="30"/>
  </w:num>
  <w:num w:numId="8" w16cid:durableId="574585613">
    <w:abstractNumId w:val="74"/>
  </w:num>
  <w:num w:numId="9" w16cid:durableId="1349478103">
    <w:abstractNumId w:val="59"/>
  </w:num>
  <w:num w:numId="10" w16cid:durableId="2110003057">
    <w:abstractNumId w:val="45"/>
  </w:num>
  <w:num w:numId="11" w16cid:durableId="1874147494">
    <w:abstractNumId w:val="28"/>
  </w:num>
  <w:num w:numId="12" w16cid:durableId="2079087691">
    <w:abstractNumId w:val="3"/>
  </w:num>
  <w:num w:numId="13" w16cid:durableId="1823153762">
    <w:abstractNumId w:val="36"/>
  </w:num>
  <w:num w:numId="14" w16cid:durableId="1909921589">
    <w:abstractNumId w:val="12"/>
  </w:num>
  <w:num w:numId="15" w16cid:durableId="641083692">
    <w:abstractNumId w:val="77"/>
  </w:num>
  <w:num w:numId="16" w16cid:durableId="1245065181">
    <w:abstractNumId w:val="21"/>
  </w:num>
  <w:num w:numId="17" w16cid:durableId="398945280">
    <w:abstractNumId w:val="14"/>
  </w:num>
  <w:num w:numId="18" w16cid:durableId="16122890">
    <w:abstractNumId w:val="42"/>
  </w:num>
  <w:num w:numId="19" w16cid:durableId="1635210469">
    <w:abstractNumId w:val="25"/>
  </w:num>
  <w:num w:numId="20" w16cid:durableId="218126872">
    <w:abstractNumId w:val="17"/>
  </w:num>
  <w:num w:numId="21" w16cid:durableId="1801800760">
    <w:abstractNumId w:val="34"/>
  </w:num>
  <w:num w:numId="22" w16cid:durableId="1988775808">
    <w:abstractNumId w:val="47"/>
  </w:num>
  <w:num w:numId="23" w16cid:durableId="471681732">
    <w:abstractNumId w:val="27"/>
  </w:num>
  <w:num w:numId="24" w16cid:durableId="1064639593">
    <w:abstractNumId w:val="72"/>
  </w:num>
  <w:num w:numId="25" w16cid:durableId="2090497845">
    <w:abstractNumId w:val="23"/>
  </w:num>
  <w:num w:numId="26" w16cid:durableId="1181160950">
    <w:abstractNumId w:val="66"/>
  </w:num>
  <w:num w:numId="27" w16cid:durableId="1095247099">
    <w:abstractNumId w:val="26"/>
  </w:num>
  <w:num w:numId="28" w16cid:durableId="1520775121">
    <w:abstractNumId w:val="55"/>
  </w:num>
  <w:num w:numId="29" w16cid:durableId="600991068">
    <w:abstractNumId w:val="29"/>
  </w:num>
  <w:num w:numId="30" w16cid:durableId="1683556577">
    <w:abstractNumId w:val="51"/>
  </w:num>
  <w:num w:numId="31" w16cid:durableId="974061579">
    <w:abstractNumId w:val="43"/>
  </w:num>
  <w:num w:numId="32" w16cid:durableId="1131433968">
    <w:abstractNumId w:val="50"/>
  </w:num>
  <w:num w:numId="33" w16cid:durableId="512912934">
    <w:abstractNumId w:val="58"/>
  </w:num>
  <w:num w:numId="34" w16cid:durableId="1647661682">
    <w:abstractNumId w:val="5"/>
  </w:num>
  <w:num w:numId="35" w16cid:durableId="973022565">
    <w:abstractNumId w:val="24"/>
  </w:num>
  <w:num w:numId="36" w16cid:durableId="2025981299">
    <w:abstractNumId w:val="37"/>
  </w:num>
  <w:num w:numId="37" w16cid:durableId="60642266">
    <w:abstractNumId w:val="31"/>
  </w:num>
  <w:num w:numId="38" w16cid:durableId="2132359830">
    <w:abstractNumId w:val="9"/>
  </w:num>
  <w:num w:numId="39" w16cid:durableId="313875134">
    <w:abstractNumId w:val="38"/>
  </w:num>
  <w:num w:numId="40" w16cid:durableId="1400589230">
    <w:abstractNumId w:val="1"/>
  </w:num>
  <w:num w:numId="41" w16cid:durableId="2120292575">
    <w:abstractNumId w:val="22"/>
  </w:num>
  <w:num w:numId="42" w16cid:durableId="1371876170">
    <w:abstractNumId w:val="57"/>
  </w:num>
  <w:num w:numId="43" w16cid:durableId="1466267942">
    <w:abstractNumId w:val="62"/>
  </w:num>
  <w:num w:numId="44" w16cid:durableId="3631326">
    <w:abstractNumId w:val="4"/>
  </w:num>
  <w:num w:numId="45" w16cid:durableId="1991057930">
    <w:abstractNumId w:val="41"/>
  </w:num>
  <w:num w:numId="46" w16cid:durableId="664094968">
    <w:abstractNumId w:val="76"/>
  </w:num>
  <w:num w:numId="47" w16cid:durableId="1739940048">
    <w:abstractNumId w:val="49"/>
  </w:num>
  <w:num w:numId="48" w16cid:durableId="286551571">
    <w:abstractNumId w:val="16"/>
  </w:num>
  <w:num w:numId="49" w16cid:durableId="846596105">
    <w:abstractNumId w:val="40"/>
  </w:num>
  <w:num w:numId="50" w16cid:durableId="510607186">
    <w:abstractNumId w:val="63"/>
  </w:num>
  <w:num w:numId="51" w16cid:durableId="12155379">
    <w:abstractNumId w:val="2"/>
  </w:num>
  <w:num w:numId="52" w16cid:durableId="1045834822">
    <w:abstractNumId w:val="54"/>
  </w:num>
  <w:num w:numId="53" w16cid:durableId="804196552">
    <w:abstractNumId w:val="73"/>
  </w:num>
  <w:num w:numId="54" w16cid:durableId="178736295">
    <w:abstractNumId w:val="10"/>
  </w:num>
  <w:num w:numId="55" w16cid:durableId="1877966397">
    <w:abstractNumId w:val="46"/>
  </w:num>
  <w:num w:numId="56" w16cid:durableId="1944485735">
    <w:abstractNumId w:val="8"/>
  </w:num>
  <w:num w:numId="57" w16cid:durableId="1237714374">
    <w:abstractNumId w:val="35"/>
  </w:num>
  <w:num w:numId="58" w16cid:durableId="165638271">
    <w:abstractNumId w:val="78"/>
  </w:num>
  <w:num w:numId="59" w16cid:durableId="881479234">
    <w:abstractNumId w:val="48"/>
  </w:num>
  <w:num w:numId="60" w16cid:durableId="861405408">
    <w:abstractNumId w:val="18"/>
  </w:num>
  <w:num w:numId="61" w16cid:durableId="1968507311">
    <w:abstractNumId w:val="52"/>
  </w:num>
  <w:num w:numId="62" w16cid:durableId="726805067">
    <w:abstractNumId w:val="7"/>
  </w:num>
  <w:num w:numId="63" w16cid:durableId="694841789">
    <w:abstractNumId w:val="19"/>
  </w:num>
  <w:num w:numId="64" w16cid:durableId="628516054">
    <w:abstractNumId w:val="69"/>
  </w:num>
  <w:num w:numId="65" w16cid:durableId="1222668138">
    <w:abstractNumId w:val="65"/>
  </w:num>
  <w:num w:numId="66" w16cid:durableId="1019281562">
    <w:abstractNumId w:val="70"/>
  </w:num>
  <w:num w:numId="67" w16cid:durableId="1271547946">
    <w:abstractNumId w:val="20"/>
  </w:num>
  <w:num w:numId="68" w16cid:durableId="726295327">
    <w:abstractNumId w:val="64"/>
  </w:num>
  <w:num w:numId="69" w16cid:durableId="831221370">
    <w:abstractNumId w:val="68"/>
  </w:num>
  <w:num w:numId="70" w16cid:durableId="137649203">
    <w:abstractNumId w:val="44"/>
  </w:num>
  <w:num w:numId="71" w16cid:durableId="1085299768">
    <w:abstractNumId w:val="71"/>
  </w:num>
  <w:num w:numId="72" w16cid:durableId="1020814749">
    <w:abstractNumId w:val="79"/>
  </w:num>
  <w:num w:numId="73" w16cid:durableId="1082262486">
    <w:abstractNumId w:val="33"/>
  </w:num>
  <w:num w:numId="74" w16cid:durableId="1776947863">
    <w:abstractNumId w:val="67"/>
  </w:num>
  <w:num w:numId="75" w16cid:durableId="115297018">
    <w:abstractNumId w:val="60"/>
  </w:num>
  <w:num w:numId="76" w16cid:durableId="23871195">
    <w:abstractNumId w:val="39"/>
  </w:num>
  <w:num w:numId="77" w16cid:durableId="2099859680">
    <w:abstractNumId w:val="13"/>
  </w:num>
  <w:num w:numId="78" w16cid:durableId="900794897">
    <w:abstractNumId w:val="0"/>
  </w:num>
  <w:num w:numId="79" w16cid:durableId="2037386573">
    <w:abstractNumId w:val="15"/>
  </w:num>
  <w:num w:numId="80" w16cid:durableId="116589623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7A1"/>
    <w:rsid w:val="00011DE7"/>
    <w:rsid w:val="00014181"/>
    <w:rsid w:val="00015002"/>
    <w:rsid w:val="00031E93"/>
    <w:rsid w:val="00050B13"/>
    <w:rsid w:val="00071679"/>
    <w:rsid w:val="000B77CC"/>
    <w:rsid w:val="000D2CAD"/>
    <w:rsid w:val="000D3F31"/>
    <w:rsid w:val="000E40BB"/>
    <w:rsid w:val="00106139"/>
    <w:rsid w:val="001344DE"/>
    <w:rsid w:val="00135631"/>
    <w:rsid w:val="001455B9"/>
    <w:rsid w:val="00166022"/>
    <w:rsid w:val="001921A6"/>
    <w:rsid w:val="001C3FBF"/>
    <w:rsid w:val="001E35E1"/>
    <w:rsid w:val="0024151C"/>
    <w:rsid w:val="00244E2A"/>
    <w:rsid w:val="002B62CB"/>
    <w:rsid w:val="002B72A5"/>
    <w:rsid w:val="002E22B1"/>
    <w:rsid w:val="002E26B1"/>
    <w:rsid w:val="002E7B1C"/>
    <w:rsid w:val="003465B5"/>
    <w:rsid w:val="00381C02"/>
    <w:rsid w:val="0038312B"/>
    <w:rsid w:val="00384EA1"/>
    <w:rsid w:val="00386C78"/>
    <w:rsid w:val="003E3D4A"/>
    <w:rsid w:val="003F0FED"/>
    <w:rsid w:val="0044196E"/>
    <w:rsid w:val="0046252B"/>
    <w:rsid w:val="004A6153"/>
    <w:rsid w:val="004B0410"/>
    <w:rsid w:val="004C5116"/>
    <w:rsid w:val="004F0F2D"/>
    <w:rsid w:val="00584E33"/>
    <w:rsid w:val="005C3D0B"/>
    <w:rsid w:val="005C6025"/>
    <w:rsid w:val="00603D1F"/>
    <w:rsid w:val="00606DB4"/>
    <w:rsid w:val="00670C60"/>
    <w:rsid w:val="00675752"/>
    <w:rsid w:val="006A3C85"/>
    <w:rsid w:val="006F2333"/>
    <w:rsid w:val="00721C27"/>
    <w:rsid w:val="0072403D"/>
    <w:rsid w:val="00811E67"/>
    <w:rsid w:val="0081580C"/>
    <w:rsid w:val="008246ED"/>
    <w:rsid w:val="00832F4E"/>
    <w:rsid w:val="00836FBF"/>
    <w:rsid w:val="008449E9"/>
    <w:rsid w:val="00872D61"/>
    <w:rsid w:val="00884127"/>
    <w:rsid w:val="0089320F"/>
    <w:rsid w:val="00922C46"/>
    <w:rsid w:val="009C7B28"/>
    <w:rsid w:val="009E6369"/>
    <w:rsid w:val="009F2E66"/>
    <w:rsid w:val="009F657F"/>
    <w:rsid w:val="00A018A2"/>
    <w:rsid w:val="00A11121"/>
    <w:rsid w:val="00A267E2"/>
    <w:rsid w:val="00A8584F"/>
    <w:rsid w:val="00AA67BF"/>
    <w:rsid w:val="00AA7E9A"/>
    <w:rsid w:val="00AB36A2"/>
    <w:rsid w:val="00AD592D"/>
    <w:rsid w:val="00B26407"/>
    <w:rsid w:val="00B82C0A"/>
    <w:rsid w:val="00BA4935"/>
    <w:rsid w:val="00BB2E0C"/>
    <w:rsid w:val="00BF5F8A"/>
    <w:rsid w:val="00BF6C96"/>
    <w:rsid w:val="00C10D76"/>
    <w:rsid w:val="00C128AF"/>
    <w:rsid w:val="00C47258"/>
    <w:rsid w:val="00C62CFE"/>
    <w:rsid w:val="00C90F45"/>
    <w:rsid w:val="00CB352A"/>
    <w:rsid w:val="00CC064F"/>
    <w:rsid w:val="00CF67A1"/>
    <w:rsid w:val="00D04E04"/>
    <w:rsid w:val="00D50B5A"/>
    <w:rsid w:val="00D676C0"/>
    <w:rsid w:val="00D76C48"/>
    <w:rsid w:val="00DD0AC6"/>
    <w:rsid w:val="00DE2E50"/>
    <w:rsid w:val="00E070CA"/>
    <w:rsid w:val="00E07122"/>
    <w:rsid w:val="00E61CAC"/>
    <w:rsid w:val="00E74AA0"/>
    <w:rsid w:val="00E86154"/>
    <w:rsid w:val="00E868BF"/>
    <w:rsid w:val="00E94A0E"/>
    <w:rsid w:val="00EA0679"/>
    <w:rsid w:val="00EA3575"/>
    <w:rsid w:val="00EC0C97"/>
    <w:rsid w:val="00ED53F1"/>
    <w:rsid w:val="00F3602F"/>
    <w:rsid w:val="00F66F4B"/>
    <w:rsid w:val="00F861B0"/>
    <w:rsid w:val="00F93E7C"/>
    <w:rsid w:val="00FA2C09"/>
    <w:rsid w:val="00FA42A9"/>
    <w:rsid w:val="00FF7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4A9A19"/>
  <w15:chartTrackingRefBased/>
  <w15:docId w15:val="{97BBD25F-B166-4413-9BF0-9496AD416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6C78"/>
    <w:rPr>
      <w:rFonts w:ascii="Inter" w:hAnsi="Inter" w:eastAsia="Inter" w:cs="Inter"/>
      <w:color w:val="14130F"/>
      <w:sz w:val="2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C7B28"/>
    <w:pPr>
      <w:keepNext/>
      <w:keepLines/>
      <w:spacing w:before="360" w:after="80"/>
      <w:outlineLvl w:val="0"/>
    </w:pPr>
    <w:rPr>
      <w:rFonts w:ascii="Inter" w:eastAsiaTheme="majorEastAsia" w:hAnsi="Inter" w:cstheme="majorBidi" w:eastAsia="Inter" w:cs="Inter"/>
      <w:b/>
      <w:color w:val="9A7B45"/>
      <w:sz w:val="32"/>
      <w:szCs w:val="40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386C78"/>
    <w:pPr>
      <w:keepNext/>
      <w:keepLines/>
      <w:tabs>
        <w:tab w:val="left" w:pos="1080"/>
      </w:tabs>
      <w:spacing w:before="280" w:after="200"/>
      <w:outlineLvl w:val="1"/>
    </w:pPr>
    <w:rPr>
      <w:rFonts w:ascii="Inter" w:eastAsiaTheme="majorEastAsia" w:hAnsi="Inter" w:cstheme="majorBidi" w:eastAsia="Inter" w:cs="Inter"/>
      <w:b/>
      <w:color w:val="14130F"/>
      <w:sz w:val="26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26B1"/>
    <w:pPr>
      <w:keepNext/>
      <w:keepLines/>
      <w:spacing w:before="160" w:after="80"/>
      <w:outlineLvl w:val="2"/>
    </w:pPr>
    <w:rPr>
      <w:rFonts w:eastAsiaTheme="majorEastAsia" w:cstheme="majorBidi" w:ascii="Inter" w:hAnsi="Inter" w:eastAsia="Inter" w:cs="Inter"/>
      <w:b/>
      <w:color w:val="111113"/>
      <w:sz w:val="22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67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67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67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67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67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67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7B28"/>
    <w:rPr>
      <w:rFonts w:ascii="Verdana" w:eastAsiaTheme="majorEastAsia" w:hAnsi="Verdana" w:cstheme="majorBidi"/>
      <w:b/>
      <w:color w:val="FF3300"/>
      <w:sz w:val="28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4151C"/>
    <w:rPr>
      <w:rFonts w:ascii="Verdana" w:eastAsiaTheme="majorEastAsia" w:hAnsi="Verdana" w:cstheme="majorBidi"/>
      <w:b/>
      <w:color w:val="1C1C1C"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2E26B1"/>
    <w:rPr>
      <w:rFonts w:eastAsiaTheme="majorEastAsia" w:cstheme="majorBidi"/>
      <w:color w:val="000000" w:themeColor="text1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67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67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67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67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67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67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9C7B28"/>
    <w:pPr>
      <w:spacing w:after="80" w:line="240" w:lineRule="auto"/>
      <w:contextualSpacing/>
      <w:jc w:val="center"/>
    </w:pPr>
    <w:rPr>
      <w:rFonts w:ascii="Inter" w:eastAsiaTheme="majorEastAsia" w:hAnsi="Inter" w:cstheme="majorBidi" w:eastAsia="Inter" w:cs="Inter"/>
      <w:b/>
      <w:color w:val="9A7B45"/>
      <w:spacing w:val="-1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7B28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67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67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67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67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67A1"/>
    <w:pPr>
      <w:ind w:left="720"/>
      <w:contextualSpacing/>
    </w:pPr>
    <w:rPr>
      <w:rFonts w:ascii="Inter" w:hAnsi="Inter" w:eastAsia="Inter" w:cs="Inter"/>
    </w:rPr>
  </w:style>
  <w:style w:type="character" w:styleId="IntenseEmphasis">
    <w:name w:val="Intense Emphasis"/>
    <w:basedOn w:val="DefaultParagraphFont"/>
    <w:uiPriority w:val="21"/>
    <w:qFormat/>
    <w:rsid w:val="00CF67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67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67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67A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B352A"/>
    <w:pPr>
      <w:tabs>
        <w:tab w:val="center" w:pos="4513"/>
        <w:tab w:val="right" w:pos="9026"/>
      </w:tabs>
      <w:spacing w:after="0" w:line="240" w:lineRule="auto"/>
    </w:pPr>
    <w:rPr>
      <w:rFonts w:ascii="Inter" w:hAnsi="Inter" w:eastAsia="Inter" w:cs="Inter"/>
      <w:color w:val="3A3A3C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CB352A"/>
  </w:style>
  <w:style w:type="paragraph" w:styleId="Footer">
    <w:name w:val="footer"/>
    <w:basedOn w:val="Normal"/>
    <w:link w:val="FooterChar"/>
    <w:uiPriority w:val="99"/>
    <w:unhideWhenUsed/>
    <w:rsid w:val="00CB352A"/>
    <w:pPr>
      <w:tabs>
        <w:tab w:val="center" w:pos="4513"/>
        <w:tab w:val="right" w:pos="9026"/>
      </w:tabs>
      <w:spacing w:after="0" w:line="240" w:lineRule="auto"/>
    </w:pPr>
    <w:rPr>
      <w:rFonts w:ascii="Inter" w:hAnsi="Inter" w:eastAsia="Inter" w:cs="Inter"/>
      <w:color w:val="3A3A3C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CB352A"/>
  </w:style>
  <w:style w:type="character" w:styleId="Strong">
    <w:name w:val="Strong"/>
    <w:basedOn w:val="DefaultParagraphFont"/>
    <w:uiPriority w:val="22"/>
    <w:qFormat/>
    <w:rsid w:val="009C7B28"/>
    <w:rPr>
      <w:rFonts w:ascii="Verdana" w:hAnsi="Verdana"/>
      <w:b/>
      <w:bCs/>
      <w:sz w:val="20"/>
    </w:rPr>
  </w:style>
  <w:style w:type="table" w:styleId="TableGrid">
    <w:name w:val="Table Grid"/>
    <w:basedOn w:val="TableNormal"/>
    <w:uiPriority w:val="39"/>
    <w:rsid w:val="00AD59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922C46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922C46"/>
    <w:rPr>
      <w:rFonts w:eastAsiaTheme="minorEastAsia"/>
      <w:kern w:val="0"/>
      <w:sz w:val="22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9E636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63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48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7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7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4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0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1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0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5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3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5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3" Type="http://schemas.openxmlformats.org/officeDocument/2006/relationships/hyperlink" Target="https://www.notion.so/28ff57b4e72f80d082a8d79ff687fc07" TargetMode="External"/><Relationship Id="rId14" Type="http://schemas.openxmlformats.org/officeDocument/2006/relationships/hyperlink" Target="https://github.com/Fargaly/baboom-bim-standard/blob/main/05-METHODOLOGIES-AND-GUIDELINES/BBM-STD-36-GUIDE-DATA_CONTROL_WITH_SCHEDULES-V0.2.docx" TargetMode="External"/><Relationship Id="rId15" Type="http://schemas.openxmlformats.org/officeDocument/2006/relationships/image" Target="media/image3.png"/><Relationship Id="rId16" Type="http://schemas.openxmlformats.org/officeDocument/2006/relationships/image" Target="media/image4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Custom 1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2024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21</Pages>
  <Words>4872</Words>
  <Characters>27773</Characters>
  <Application>Microsoft Office Word</Application>
  <DocSecurity>0</DocSecurity>
  <Lines>231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GLOSSARY</vt:lpstr>
    </vt:vector>
  </TitlesOfParts>
  <Company/>
  <LinksUpToDate>false</LinksUpToDate>
  <CharactersWithSpaces>32580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GLOSSARY</dc:title>
  <dc:subject>Bep</dc:subject>
  <dc:creator>Fargaly</dc:creator>
  <cp:keywords/>
  <dc:description/>
  <cp:lastModifiedBy>Fargaly</cp:lastModifiedBy>
  <cp:revision>20</cp:revision>
  <dcterms:created xsi:type="dcterms:W3CDTF">2024-11-06T10:52:00Z</dcterms:created>
  <dcterms:modified xsi:type="dcterms:W3CDTF">2025-10-21T13:40:00Z</dcterms:modified>
</cp:coreProperties>
</file>